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Arial;sans-serif" w:hAnsi="Arial;sans-serif"/>
          <w:b/>
          <w:color w:val="000000"/>
          <w:sz w:val="32"/>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64" w:before="0" w:after="0"/>
        <w:jc w:val="left"/>
        <w:rPr>
          <w:rFonts w:ascii="Arial;sans-serif" w:hAnsi="Arial;sans-serif"/>
          <w:b w:val="false"/>
          <w:color w:val="000000"/>
          <w:sz w:val="19"/>
        </w:rPr>
      </w:pPr>
      <w:r>
        <w:rPr>
          <w:rFonts w:ascii="Arial;sans-serif" w:hAnsi="Arial;sans-serif"/>
          <w:b w:val="false"/>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QUARTERLY REPORT PURSUANT TO SECTION 13 OR 15(d) OF THE SECURITIES EXCHANGE ACT OF 1934</w:t>
            </w:r>
          </w:p>
        </w:tc>
      </w:tr>
    </w:tbl>
    <w:p>
      <w:pPr>
        <w:pStyle w:val="TextBody"/>
        <w:bidi w:val="0"/>
        <w:spacing w:lineRule="auto" w:line="264" w:before="0" w:after="0"/>
        <w:jc w:val="center"/>
        <w:rPr>
          <w:rFonts w:ascii="Arial;sans-serif" w:hAnsi="Arial;sans-serif"/>
          <w:b/>
          <w:color w:val="000000"/>
          <w:sz w:val="19"/>
        </w:rPr>
      </w:pPr>
      <w:r>
        <w:rPr>
          <w:rFonts w:ascii="Arial;sans-serif" w:hAnsi="Arial;sans-serif"/>
          <w:b/>
          <w:color w:val="000000"/>
          <w:sz w:val="19"/>
        </w:rPr>
        <w:t>For the quarterly period ended June 28, 2026</w:t>
      </w:r>
    </w:p>
    <w:p>
      <w:pPr>
        <w:pStyle w:val="TextBody"/>
        <w:bidi w:val="0"/>
        <w:spacing w:lineRule="auto" w:line="288" w:before="80" w:after="8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TRANSITION REPORT PURSUANT TO SECTION 13 OR 15(d) OF THE SECURITIES EXCHANGE ACT OF 1934</w:t>
            </w:r>
          </w:p>
        </w:tc>
      </w:tr>
    </w:tbl>
    <w:p>
      <w:pPr>
        <w:pStyle w:val="TextBody"/>
        <w:bidi w:val="0"/>
        <w:spacing w:lineRule="auto" w:line="288" w:before="80" w:after="80"/>
        <w:jc w:val="center"/>
        <w:rPr>
          <w:rFonts w:ascii="Arial;sans-serif" w:hAnsi="Arial;sans-serif"/>
          <w:b w:val="false"/>
          <w:color w:val="000000"/>
          <w:sz w:val="19"/>
        </w:rPr>
      </w:pPr>
      <w:r>
        <w:rPr>
          <w:rFonts w:ascii="Arial;sans-serif" w:hAnsi="Arial;sans-serif"/>
          <w:b w:val="false"/>
          <w:color w:val="000000"/>
          <w:sz w:val="19"/>
        </w:rPr>
        <w:t>For the transition period from ______ to ______</w:t>
      </w:r>
    </w:p>
    <w:p>
      <w:pPr>
        <w:pStyle w:val="TextBody"/>
        <w:bidi w:val="0"/>
        <w:spacing w:lineRule="auto" w:line="288" w:before="200" w:after="283"/>
        <w:jc w:val="center"/>
        <w:rPr/>
      </w:pPr>
      <w:r>
        <w:rPr>
          <w:rFonts w:ascii="Arial;sans-serif" w:hAnsi="Arial;sans-serif"/>
          <w:b w:val="false"/>
          <w:color w:val="000000"/>
          <w:sz w:val="22"/>
        </w:rPr>
        <w:t>Commission file number: 1-11437</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LOCKHEED MARTIN CORPORATION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7195" w:type="dxa"/>
        <w:jc w:val="center"/>
        <w:tblInd w:w="0" w:type="dxa"/>
        <w:tblLayout w:type="fixed"/>
        <w:tblCellMar>
          <w:top w:w="28" w:type="dxa"/>
          <w:left w:w="28" w:type="dxa"/>
          <w:bottom w:w="28" w:type="dxa"/>
          <w:right w:w="28" w:type="dxa"/>
        </w:tblCellMar>
      </w:tblPr>
      <w:tblGrid>
        <w:gridCol w:w="744"/>
        <w:gridCol w:w="654"/>
        <w:gridCol w:w="656"/>
        <w:gridCol w:w="324"/>
        <w:gridCol w:w="324"/>
        <w:gridCol w:w="326"/>
        <w:gridCol w:w="297"/>
        <w:gridCol w:w="297"/>
        <w:gridCol w:w="307"/>
        <w:gridCol w:w="109"/>
        <w:gridCol w:w="109"/>
        <w:gridCol w:w="109"/>
        <w:gridCol w:w="857"/>
        <w:gridCol w:w="857"/>
        <w:gridCol w:w="1225"/>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52-1893632</w:t>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6801 Rockledge Drive,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Bethesda,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20817</w:t>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(301) 897-6000 </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664" w:type="dxa"/>
        <w:jc w:val="left"/>
        <w:tblInd w:w="0" w:type="dxa"/>
        <w:tblLayout w:type="fixed"/>
        <w:tblCellMar>
          <w:top w:w="28" w:type="dxa"/>
          <w:left w:w="28" w:type="dxa"/>
          <w:bottom w:w="28" w:type="dxa"/>
          <w:right w:w="28" w:type="dxa"/>
        </w:tblCellMar>
      </w:tblPr>
      <w:tblGrid>
        <w:gridCol w:w="896"/>
        <w:gridCol w:w="788"/>
        <w:gridCol w:w="791"/>
        <w:gridCol w:w="464"/>
        <w:gridCol w:w="464"/>
        <w:gridCol w:w="466"/>
        <w:gridCol w:w="1108"/>
        <w:gridCol w:w="1108"/>
        <w:gridCol w:w="1579"/>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LMT</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60" w:after="283"/>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60" w:after="283"/>
        <w:jc w:val="left"/>
        <w:rPr/>
      </w:pPr>
      <w:r>
        <w:rPr>
          <w:rFonts w:ascii="Arial;sans-serif" w:hAnsi="Arial;sans-serif"/>
          <w:b w:val="false"/>
          <w:color w:val="000000"/>
          <w:sz w:val="18"/>
        </w:rPr>
        <w:t xml:space="preserve">Large accelerated filer </w:t>
      </w:r>
      <w:r>
        <w:rPr>
          <w:color w:val="000000"/>
        </w:rPr>
        <w:t xml:space="preserve">☒ </w:t>
      </w:r>
      <w:r>
        <w:rPr>
          <w:rFonts w:ascii="Arial;sans-serif" w:hAnsi="Arial;sans-serif"/>
          <w:b w:val="false"/>
          <w:color w:val="000000"/>
          <w:sz w:val="18"/>
        </w:rPr>
        <w:t xml:space="preserve">Accelerated filer </w:t>
      </w:r>
      <w:r>
        <w:rPr>
          <w:color w:val="000000"/>
        </w:rPr>
        <w:t xml:space="preserve">☐ </w:t>
      </w:r>
      <w:r>
        <w:rPr>
          <w:rFonts w:ascii="Arial;sans-serif" w:hAnsi="Arial;sans-serif"/>
          <w:b w:val="false"/>
          <w:color w:val="000000"/>
          <w:sz w:val="18"/>
        </w:rPr>
        <w:t xml:space="preserve">Non–accelerated filer </w:t>
      </w:r>
      <w:r>
        <w:rPr>
          <w:color w:val="000000"/>
        </w:rPr>
        <w:t xml:space="preserve">☐ </w:t>
      </w:r>
      <w:r>
        <w:rPr>
          <w:rFonts w:ascii="Arial;sans-serif" w:hAnsi="Arial;sans-serif"/>
          <w:b w:val="false"/>
          <w:color w:val="000000"/>
          <w:sz w:val="18"/>
        </w:rPr>
        <w:t xml:space="preserve">Smaller reporting company </w:t>
      </w:r>
      <w:r>
        <w:rPr>
          <w:color w:val="000000"/>
        </w:rPr>
        <w:t xml:space="preserve">☐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There were 230,790,753 shares of our common stock, $1 par value per share, outstanding as of July 20,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28,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333"/>
        <w:gridCol w:w="291"/>
        <w:gridCol w:w="291"/>
        <w:gridCol w:w="364"/>
        <w:gridCol w:w="364"/>
        <w:gridCol w:w="311"/>
        <w:gridCol w:w="2596"/>
        <w:gridCol w:w="2473"/>
        <w:gridCol w:w="2561"/>
        <w:gridCol w:w="180"/>
        <w:gridCol w:w="180"/>
        <w:gridCol w:w="261"/>
      </w:tblGrid>
      <w:tr>
        <w:trPr/>
        <w:tc>
          <w:tcPr>
            <w:tcW w:w="3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 </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p>
        </w:tc>
        <w:tc>
          <w:tcPr>
            <w:tcW w:w="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C2C2C"/>
                <w:sz w:val="20"/>
              </w:rPr>
            </w:pPr>
            <w:r>
              <w:rPr>
                <w:rFonts w:ascii="Arial;sans-serif" w:hAnsi="Arial;sans-serif"/>
                <w:b/>
                <w:color w:val="2C2C2C"/>
                <w:sz w:val="20"/>
              </w:rPr>
              <w:t>Page</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0">
              <w:r>
                <w:rPr>
                  <w:rStyle w:val="InternetLink"/>
                  <w:rFonts w:ascii="Arial;sans-serif" w:hAnsi="Arial;sans-serif"/>
                  <w:b/>
                  <w:color w:val="0000FF"/>
                  <w:sz w:val="20"/>
                  <w:u w:val="single"/>
                </w:rPr>
                <w:t>PART I. FINANCIAL INFORMATION</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3">
              <w:r>
                <w:rPr>
                  <w:rStyle w:val="InternetLink"/>
                  <w:rFonts w:ascii="Arial;sans-serif" w:hAnsi="Arial;sans-serif"/>
                  <w:b w:val="false"/>
                  <w:color w:val="0000FF"/>
                  <w:sz w:val="20"/>
                  <w:u w:val="single"/>
                </w:rPr>
                <w:t xml:space="preserve">Financial Statements (Unaudited) </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12c215813e4eed8dbce3e1b5d6d8e5_16">
              <w:r>
                <w:rPr>
                  <w:rStyle w:val="InternetLink"/>
                  <w:rFonts w:ascii="Arial;sans-serif" w:hAnsi="Arial;sans-serif"/>
                  <w:b w:val="false"/>
                  <w:color w:val="0000FF"/>
                  <w:sz w:val="20"/>
                  <w:u w:val="single"/>
                </w:rPr>
                <w:t>Consolidated Statements of Earnings for the Quarters and Six Months Ended June 28, 2026 and June 29,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6">
              <w:r>
                <w:rPr>
                  <w:rStyle w:val="InternetLink"/>
                  <w:rFonts w:ascii="Arial;sans-serif" w:hAnsi="Arial;sans-serif"/>
                  <w:b w:val="false"/>
                  <w:strike w:val="false"/>
                  <w:dstrike w:val="false"/>
                  <w:color w:val="2C2C2C"/>
                  <w:sz w:val="20"/>
                  <w:u w:val="none"/>
                  <w:effect w:val="none"/>
                </w:rPr>
                <w:t>3</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9">
              <w:r>
                <w:rPr>
                  <w:rStyle w:val="InternetLink"/>
                  <w:rFonts w:ascii="Arial;sans-serif" w:hAnsi="Arial;sans-serif"/>
                  <w:b w:val="false"/>
                  <w:color w:val="0000FF"/>
                  <w:sz w:val="20"/>
                  <w:u w:val="single"/>
                </w:rPr>
                <w:t>Consolidated Statements of Comprehensive Income for the Quarters and Six Months Ended June 28, 2026 and June 29,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9">
              <w:r>
                <w:rPr>
                  <w:rStyle w:val="InternetLink"/>
                  <w:rFonts w:ascii="Arial;sans-serif" w:hAnsi="Arial;sans-serif"/>
                  <w:b w:val="false"/>
                  <w:strike w:val="false"/>
                  <w:dstrike w:val="false"/>
                  <w:color w:val="2C2C2C"/>
                  <w:sz w:val="20"/>
                  <w:u w:val="none"/>
                  <w:effect w:val="none"/>
                </w:rPr>
                <w:t>4</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22">
              <w:r>
                <w:rPr>
                  <w:rStyle w:val="InternetLink"/>
                  <w:rFonts w:ascii="Arial;sans-serif" w:hAnsi="Arial;sans-serif"/>
                  <w:b w:val="false"/>
                  <w:color w:val="0000FF"/>
                  <w:sz w:val="20"/>
                  <w:u w:val="single"/>
                </w:rPr>
                <w:t>Consolidated Balance Sheets as of June 28, 2026 and December 31,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22">
              <w:r>
                <w:rPr>
                  <w:rStyle w:val="InternetLink"/>
                  <w:rFonts w:ascii="Arial;sans-serif" w:hAnsi="Arial;sans-serif"/>
                  <w:b w:val="false"/>
                  <w:strike w:val="false"/>
                  <w:dstrike w:val="false"/>
                  <w:color w:val="2C2C2C"/>
                  <w:sz w:val="20"/>
                  <w:u w:val="none"/>
                  <w:effect w:val="none"/>
                </w:rPr>
                <w:t>5</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12c215813e4eed8dbce3e1b5d6d8e5_25">
              <w:r>
                <w:rPr>
                  <w:rStyle w:val="InternetLink"/>
                  <w:rFonts w:ascii="Arial;sans-serif" w:hAnsi="Arial;sans-serif"/>
                  <w:b w:val="false"/>
                  <w:color w:val="0000FF"/>
                  <w:sz w:val="20"/>
                  <w:u w:val="single"/>
                </w:rPr>
                <w:t>Consolidated Statements of Cash Flows for the Six Months Ended June 28, 2026 and June 29,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25">
              <w:r>
                <w:rPr>
                  <w:rStyle w:val="InternetLink"/>
                  <w:rFonts w:ascii="Arial;sans-serif" w:hAnsi="Arial;sans-serif"/>
                  <w:b w:val="false"/>
                  <w:strike w:val="false"/>
                  <w:dstrike w:val="false"/>
                  <w:color w:val="2C2C2C"/>
                  <w:sz w:val="20"/>
                  <w:u w:val="none"/>
                  <w:effect w:val="none"/>
                </w:rPr>
                <w:t>6</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12c215813e4eed8dbce3e1b5d6d8e5_28">
              <w:r>
                <w:rPr>
                  <w:rStyle w:val="InternetLink"/>
                  <w:rFonts w:ascii="Arial;sans-serif" w:hAnsi="Arial;sans-serif"/>
                  <w:b w:val="false"/>
                  <w:color w:val="0000FF"/>
                  <w:sz w:val="20"/>
                  <w:u w:val="single"/>
                </w:rPr>
                <w:t>Consolidated Statements of Equity for the Quarters Ended June 28, 2026 and June 29,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2C2C2C"/>
              </w:rPr>
              <w:t> </w:t>
            </w:r>
            <w:hyperlink w:anchor="ibf12c215813e4eed8dbce3e1b5d6d8e5_28">
              <w:r>
                <w:rPr>
                  <w:rStyle w:val="InternetLink"/>
                  <w:rFonts w:ascii="Arial;sans-serif" w:hAnsi="Arial;sans-serif"/>
                  <w:b w:val="false"/>
                  <w:strike w:val="false"/>
                  <w:dstrike w:val="false"/>
                  <w:color w:val="2C2C2C"/>
                  <w:sz w:val="20"/>
                  <w:u w:val="none"/>
                  <w:effect w:val="none"/>
                </w:rPr>
                <w:t>7</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12c215813e4eed8dbce3e1b5d6d8e5_31">
              <w:r>
                <w:rPr>
                  <w:rStyle w:val="InternetLink"/>
                  <w:rFonts w:ascii="Arial;sans-serif" w:hAnsi="Arial;sans-serif"/>
                  <w:b w:val="false"/>
                  <w:color w:val="0000FF"/>
                  <w:sz w:val="20"/>
                  <w:u w:val="single"/>
                </w:rPr>
                <w:t>Consolidated Statements of Equity for the Six Months Ended June 28, 2026 and June 29,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31">
              <w:r>
                <w:rPr>
                  <w:rStyle w:val="InternetLink"/>
                  <w:rFonts w:ascii="Arial;sans-serif" w:hAnsi="Arial;sans-serif"/>
                  <w:b w:val="false"/>
                  <w:strike w:val="false"/>
                  <w:dstrike w:val="false"/>
                  <w:color w:val="2C2C2C"/>
                  <w:sz w:val="20"/>
                  <w:u w:val="none"/>
                  <w:effect w:val="none"/>
                </w:rPr>
                <w:t>8</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34">
              <w:r>
                <w:rPr>
                  <w:rStyle w:val="InternetLink"/>
                  <w:rFonts w:ascii="Arial;sans-serif" w:hAnsi="Arial;sans-serif"/>
                  <w:b w:val="false"/>
                  <w:color w:val="0000FF"/>
                  <w:sz w:val="20"/>
                  <w:u w:val="single"/>
                </w:rPr>
                <w:t>Notes to Consolidated Financial Statements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34">
              <w:r>
                <w:rPr>
                  <w:rStyle w:val="InternetLink"/>
                  <w:rFonts w:ascii="Arial;sans-serif" w:hAnsi="Arial;sans-serif"/>
                  <w:b w:val="false"/>
                  <w:strike w:val="false"/>
                  <w:dstrike w:val="false"/>
                  <w:color w:val="2C2C2C"/>
                  <w:sz w:val="20"/>
                  <w:u w:val="none"/>
                  <w:effect w:val="none"/>
                </w:rPr>
                <w:t>9</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79">
              <w:r>
                <w:rPr>
                  <w:rStyle w:val="InternetLink"/>
                  <w:rFonts w:ascii="Arial;sans-serif" w:hAnsi="Arial;sans-serif"/>
                  <w:b w:val="false"/>
                  <w:color w:val="0000FF"/>
                  <w:sz w:val="20"/>
                  <w:u w:val="single"/>
                </w:rPr>
                <w:t>Report of Independent Registered Public Accounting Firm</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79">
              <w:r>
                <w:rPr>
                  <w:rStyle w:val="InternetLink"/>
                  <w:rFonts w:ascii="Arial;sans-serif" w:hAnsi="Arial;sans-serif"/>
                  <w:b w:val="false"/>
                  <w:strike w:val="false"/>
                  <w:dstrike w:val="false"/>
                  <w:color w:val="2C2C2C"/>
                  <w:sz w:val="20"/>
                  <w:u w:val="none"/>
                  <w:effect w:val="none"/>
                </w:rPr>
                <w:t>25</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2.</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82">
              <w:r>
                <w:rPr>
                  <w:rStyle w:val="InternetLink"/>
                  <w:rFonts w:ascii="Arial;sans-serif" w:hAnsi="Arial;sans-serif"/>
                  <w:b w:val="false"/>
                  <w:color w:val="0000FF"/>
                  <w:sz w:val="20"/>
                  <w:u w:val="single"/>
                </w:rPr>
                <w:t>Management’s Discussion and Analysis of Financial Condition and Results of Operations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82">
              <w:r>
                <w:rPr>
                  <w:rStyle w:val="InternetLink"/>
                  <w:rFonts w:ascii="Arial;sans-serif" w:hAnsi="Arial;sans-serif"/>
                  <w:b w:val="false"/>
                  <w:strike w:val="false"/>
                  <w:dstrike w:val="false"/>
                  <w:color w:val="2C2C2C"/>
                  <w:sz w:val="20"/>
                  <w:u w:val="none"/>
                  <w:effect w:val="none"/>
                </w:rPr>
                <w:t>26</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3.</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03">
              <w:r>
                <w:rPr>
                  <w:rStyle w:val="InternetLink"/>
                  <w:rFonts w:ascii="Arial;sans-serif" w:hAnsi="Arial;sans-serif"/>
                  <w:b w:val="false"/>
                  <w:color w:val="0000FF"/>
                  <w:sz w:val="20"/>
                  <w:u w:val="single"/>
                </w:rPr>
                <w:t>Quantitative and Qualitative Disclosures About Market Risk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03">
              <w:r>
                <w:rPr>
                  <w:rStyle w:val="InternetLink"/>
                  <w:rFonts w:ascii="Arial;sans-serif" w:hAnsi="Arial;sans-serif"/>
                  <w:b w:val="false"/>
                  <w:strike w:val="false"/>
                  <w:dstrike w:val="false"/>
                  <w:color w:val="2C2C2C"/>
                  <w:sz w:val="20"/>
                  <w:u w:val="none"/>
                  <w:effect w:val="none"/>
                </w:rPr>
                <w:t>38</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4.</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06">
              <w:r>
                <w:rPr>
                  <w:rStyle w:val="InternetLink"/>
                  <w:rFonts w:ascii="Arial;sans-serif" w:hAnsi="Arial;sans-serif"/>
                  <w:b w:val="false"/>
                  <w:color w:val="0000FF"/>
                  <w:sz w:val="20"/>
                  <w:u w:val="single"/>
                </w:rPr>
                <w:t>Controls and Procedures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06">
              <w:r>
                <w:rPr>
                  <w:rStyle w:val="InternetLink"/>
                  <w:rFonts w:ascii="Arial;sans-serif" w:hAnsi="Arial;sans-serif"/>
                  <w:b w:val="false"/>
                  <w:strike w:val="false"/>
                  <w:dstrike w:val="false"/>
                  <w:color w:val="2C2C2C"/>
                  <w:sz w:val="20"/>
                  <w:u w:val="none"/>
                  <w:effect w:val="none"/>
                </w:rPr>
                <w:t>38</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09">
              <w:r>
                <w:rPr>
                  <w:rStyle w:val="InternetLink"/>
                  <w:rFonts w:ascii="Arial;sans-serif" w:hAnsi="Arial;sans-serif"/>
                  <w:b/>
                  <w:color w:val="0000FF"/>
                  <w:sz w:val="20"/>
                  <w:u w:val="single"/>
                </w:rPr>
                <w:t>PART II. OTHER INFORMATION</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12">
              <w:r>
                <w:rPr>
                  <w:rStyle w:val="InternetLink"/>
                  <w:rFonts w:ascii="Arial;sans-serif" w:hAnsi="Arial;sans-serif"/>
                  <w:b w:val="false"/>
                  <w:color w:val="0000FF"/>
                  <w:sz w:val="20"/>
                  <w:u w:val="single"/>
                </w:rPr>
                <w:t>Legal Proceedings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12">
              <w:r>
                <w:rPr>
                  <w:rStyle w:val="InternetLink"/>
                  <w:rFonts w:ascii="Arial;sans-serif" w:hAnsi="Arial;sans-serif"/>
                  <w:b w:val="false"/>
                  <w:strike w:val="false"/>
                  <w:dstrike w:val="false"/>
                  <w:color w:val="2C2C2C"/>
                  <w:sz w:val="20"/>
                  <w:u w:val="none"/>
                  <w:effect w:val="none"/>
                </w:rPr>
                <w:t>41</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1A.</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15">
              <w:r>
                <w:rPr>
                  <w:rStyle w:val="InternetLink"/>
                  <w:rFonts w:ascii="Arial;sans-serif" w:hAnsi="Arial;sans-serif"/>
                  <w:b w:val="false"/>
                  <w:color w:val="0000FF"/>
                  <w:sz w:val="20"/>
                  <w:u w:val="single"/>
                </w:rPr>
                <w:t>Risk Factors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15">
              <w:r>
                <w:rPr>
                  <w:rStyle w:val="InternetLink"/>
                  <w:rFonts w:ascii="Arial;sans-serif" w:hAnsi="Arial;sans-serif"/>
                  <w:b w:val="false"/>
                  <w:strike w:val="false"/>
                  <w:dstrike w:val="false"/>
                  <w:color w:val="2C2C2C"/>
                  <w:sz w:val="20"/>
                  <w:u w:val="none"/>
                  <w:effect w:val="none"/>
                </w:rPr>
                <w:t>41</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2.</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18">
              <w:r>
                <w:rPr>
                  <w:rStyle w:val="InternetLink"/>
                  <w:rFonts w:ascii="Arial;sans-serif" w:hAnsi="Arial;sans-serif"/>
                  <w:b w:val="false"/>
                  <w:color w:val="0000FF"/>
                  <w:sz w:val="20"/>
                  <w:u w:val="single"/>
                </w:rPr>
                <w:t>Unregistered Sales of Equity Securities and Use of Proceeds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18">
              <w:r>
                <w:rPr>
                  <w:rStyle w:val="InternetLink"/>
                  <w:rFonts w:ascii="Arial;sans-serif" w:hAnsi="Arial;sans-serif"/>
                  <w:b w:val="false"/>
                  <w:strike w:val="false"/>
                  <w:dstrike w:val="false"/>
                  <w:color w:val="2C2C2C"/>
                  <w:sz w:val="20"/>
                  <w:u w:val="none"/>
                  <w:effect w:val="none"/>
                </w:rPr>
                <w:t>42</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5.</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21">
              <w:r>
                <w:rPr>
                  <w:rStyle w:val="InternetLink"/>
                  <w:rFonts w:ascii="Arial;sans-serif" w:hAnsi="Arial;sans-serif"/>
                  <w:b w:val="false"/>
                  <w:color w:val="0000FF"/>
                  <w:sz w:val="20"/>
                  <w:u w:val="single"/>
                </w:rPr>
                <w:t>Other Information</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21">
              <w:r>
                <w:rPr>
                  <w:rStyle w:val="InternetLink"/>
                  <w:rFonts w:ascii="Arial;sans-serif" w:hAnsi="Arial;sans-serif"/>
                  <w:b w:val="false"/>
                  <w:strike w:val="false"/>
                  <w:dstrike w:val="false"/>
                  <w:color w:val="2C2C2C"/>
                  <w:sz w:val="20"/>
                  <w:u w:val="none"/>
                  <w:effect w:val="none"/>
                </w:rPr>
                <w:t>43</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6.</w:t>
            </w:r>
          </w:p>
        </w:tc>
        <w:tc>
          <w:tcPr>
            <w:tcW w:w="7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24">
              <w:r>
                <w:rPr>
                  <w:rStyle w:val="InternetLink"/>
                  <w:rFonts w:ascii="Arial;sans-serif" w:hAnsi="Arial;sans-serif"/>
                  <w:b w:val="false"/>
                  <w:color w:val="0000FF"/>
                  <w:sz w:val="20"/>
                  <w:u w:val="single"/>
                </w:rPr>
                <w:t>Exhibits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24">
              <w:r>
                <w:rPr>
                  <w:rStyle w:val="InternetLink"/>
                  <w:rFonts w:ascii="Arial;sans-serif" w:hAnsi="Arial;sans-serif"/>
                  <w:b w:val="false"/>
                  <w:strike w:val="false"/>
                  <w:dstrike w:val="false"/>
                  <w:color w:val="2C2C2C"/>
                  <w:sz w:val="20"/>
                  <w:u w:val="none"/>
                  <w:effect w:val="none"/>
                </w:rPr>
                <w:t>43</w:t>
              </w:r>
            </w:hyperlink>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f12c215813e4eed8dbce3e1b5d6d8e5_127">
              <w:r>
                <w:rPr>
                  <w:rStyle w:val="InternetLink"/>
                  <w:rFonts w:ascii="Arial;sans-serif" w:hAnsi="Arial;sans-serif"/>
                  <w:b/>
                  <w:color w:val="0000FF"/>
                  <w:sz w:val="20"/>
                  <w:u w:val="single"/>
                </w:rPr>
                <w:t>SIGNATURE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2c215813e4eed8dbce3e1b5d6d8e5_127">
              <w:r>
                <w:rPr>
                  <w:rStyle w:val="InternetLink"/>
                  <w:rFonts w:ascii="Arial;sans-serif" w:hAnsi="Arial;sans-serif"/>
                  <w:b w:val="false"/>
                  <w:strike w:val="false"/>
                  <w:dstrike w:val="false"/>
                  <w:color w:val="2C2C2C"/>
                  <w:sz w:val="20"/>
                  <w:u w:val="none"/>
                  <w:effect w:val="none"/>
                </w:rPr>
                <w:t>44</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 except per share data)</w:t>
      </w:r>
    </w:p>
    <w:tbl>
      <w:tblPr>
        <w:tblW w:w="10169" w:type="dxa"/>
        <w:jc w:val="center"/>
        <w:tblInd w:w="0" w:type="dxa"/>
        <w:tblLayout w:type="fixed"/>
        <w:tblCellMar>
          <w:top w:w="28" w:type="dxa"/>
          <w:left w:w="28" w:type="dxa"/>
          <w:bottom w:w="28" w:type="dxa"/>
          <w:right w:w="28" w:type="dxa"/>
        </w:tblCellMar>
      </w:tblPr>
      <w:tblGrid>
        <w:gridCol w:w="1162"/>
        <w:gridCol w:w="1028"/>
        <w:gridCol w:w="1034"/>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6"/>
        <w:gridCol w:w="1619"/>
        <w:gridCol w:w="1640"/>
        <w:gridCol w:w="211"/>
        <w:gridCol w:w="646"/>
        <w:gridCol w:w="109"/>
        <w:gridCol w:w="109"/>
        <w:gridCol w:w="109"/>
        <w:gridCol w:w="109"/>
        <w:gridCol w:w="218"/>
        <w:gridCol w:w="497"/>
        <w:gridCol w:w="112"/>
        <w:gridCol w:w="109"/>
        <w:gridCol w:w="109"/>
        <w:gridCol w:w="109"/>
        <w:gridCol w:w="211"/>
        <w:gridCol w:w="646"/>
        <w:gridCol w:w="109"/>
        <w:gridCol w:w="109"/>
        <w:gridCol w:w="109"/>
        <w:gridCol w:w="109"/>
        <w:gridCol w:w="211"/>
        <w:gridCol w:w="646"/>
        <w:gridCol w:w="109"/>
        <w:gridCol w:w="109"/>
        <w:gridCol w:w="109"/>
        <w:gridCol w:w="156"/>
      </w:tblGrid>
      <w:tr>
        <w:trPr/>
        <w:tc>
          <w:tcPr>
            <w:tcW w:w="186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5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losses and prior service costs, net of tax of $17 million and $33 million in 2026 and $18 million and $35 million in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net of tax of $4 million and $5 million in 2026 and $9 million and $15 million in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3,398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par value)</w:t>
      </w:r>
    </w:p>
    <w:tbl>
      <w:tblPr>
        <w:tblW w:w="7050" w:type="dxa"/>
        <w:jc w:val="center"/>
        <w:tblInd w:w="0" w:type="dxa"/>
        <w:tblLayout w:type="fixed"/>
        <w:tblCellMar>
          <w:top w:w="28" w:type="dxa"/>
          <w:left w:w="28" w:type="dxa"/>
          <w:bottom w:w="28" w:type="dxa"/>
          <w:right w:w="28" w:type="dxa"/>
        </w:tblCellMar>
      </w:tblPr>
      <w:tblGrid>
        <w:gridCol w:w="1283"/>
        <w:gridCol w:w="1127"/>
        <w:gridCol w:w="1145"/>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3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benefits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Common stock, $1 par value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516"/>
        <w:gridCol w:w="2198"/>
        <w:gridCol w:w="2205"/>
        <w:gridCol w:w="109"/>
        <w:gridCol w:w="109"/>
        <w:gridCol w:w="109"/>
        <w:gridCol w:w="211"/>
        <w:gridCol w:w="646"/>
        <w:gridCol w:w="109"/>
        <w:gridCol w:w="109"/>
        <w:gridCol w:w="109"/>
        <w:gridCol w:w="109"/>
        <w:gridCol w:w="109"/>
        <w:gridCol w:w="109"/>
        <w:gridCol w:w="109"/>
        <w:gridCol w:w="211"/>
        <w:gridCol w:w="646"/>
        <w:gridCol w:w="109"/>
        <w:gridCol w:w="109"/>
        <w:gridCol w:w="109"/>
        <w:gridCol w:w="155"/>
      </w:tblGrid>
      <w:tr>
        <w:trPr/>
        <w:tc>
          <w:tcPr>
            <w:tcW w:w="251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6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6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Reach-forward losses on select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commercial paper,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3,791</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Quarters Ended June 28, 2026 and June 29,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341"/>
        <w:gridCol w:w="1045"/>
        <w:gridCol w:w="1053"/>
        <w:gridCol w:w="253"/>
        <w:gridCol w:w="577"/>
        <w:gridCol w:w="131"/>
        <w:gridCol w:w="211"/>
        <w:gridCol w:w="481"/>
        <w:gridCol w:w="109"/>
        <w:gridCol w:w="109"/>
        <w:gridCol w:w="109"/>
        <w:gridCol w:w="109"/>
        <w:gridCol w:w="211"/>
        <w:gridCol w:w="751"/>
        <w:gridCol w:w="109"/>
        <w:gridCol w:w="254"/>
        <w:gridCol w:w="779"/>
        <w:gridCol w:w="131"/>
        <w:gridCol w:w="131"/>
        <w:gridCol w:w="131"/>
        <w:gridCol w:w="135"/>
        <w:gridCol w:w="109"/>
        <w:gridCol w:w="109"/>
        <w:gridCol w:w="706"/>
        <w:gridCol w:w="109"/>
        <w:gridCol w:w="211"/>
        <w:gridCol w:w="646"/>
        <w:gridCol w:w="155"/>
      </w:tblGrid>
      <w:tr>
        <w:trPr/>
        <w:tc>
          <w:tcPr>
            <w:tcW w:w="13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w:t>
              <w:br/>
              <w:t>Stock</w:t>
            </w:r>
          </w:p>
        </w:tc>
        <w:tc>
          <w:tcPr>
            <w:tcW w:w="11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w:t>
              <w:br/>
              <w:t>Paid-in</w:t>
              <w:br/>
              <w:t>Capital</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w:t>
              <w:br/>
              <w:t>Earnings</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Other</w:t>
              <w:br/>
              <w:t>Comprehensive</w:t>
              <w:b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Equity</w:t>
            </w:r>
          </w:p>
        </w:tc>
        <w:tc>
          <w:tcPr>
            <w:tcW w:w="1121" w:type="dxa"/>
            <w:gridSpan w:val="4"/>
            <w:tcBorders/>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29, 2026</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(7,496)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7,489</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($3.45 per share)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28, 2026</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8,768</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30, 2025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($3.30 per share)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29, 2025</w:t>
            </w:r>
          </w:p>
        </w:tc>
        <w:tc>
          <w:tcPr>
            <w:tcW w:w="2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(8,157)</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Six Months Ended June 28, 2026 and June 29,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310"/>
        <w:gridCol w:w="1061"/>
        <w:gridCol w:w="1068"/>
        <w:gridCol w:w="253"/>
        <w:gridCol w:w="577"/>
        <w:gridCol w:w="131"/>
        <w:gridCol w:w="211"/>
        <w:gridCol w:w="481"/>
        <w:gridCol w:w="109"/>
        <w:gridCol w:w="109"/>
        <w:gridCol w:w="109"/>
        <w:gridCol w:w="109"/>
        <w:gridCol w:w="211"/>
        <w:gridCol w:w="751"/>
        <w:gridCol w:w="109"/>
        <w:gridCol w:w="254"/>
        <w:gridCol w:w="779"/>
        <w:gridCol w:w="131"/>
        <w:gridCol w:w="131"/>
        <w:gridCol w:w="131"/>
        <w:gridCol w:w="135"/>
        <w:gridCol w:w="109"/>
        <w:gridCol w:w="109"/>
        <w:gridCol w:w="706"/>
        <w:gridCol w:w="109"/>
        <w:gridCol w:w="211"/>
        <w:gridCol w:w="646"/>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w:t>
              <w:br/>
              <w:t>Stock</w:t>
            </w:r>
          </w:p>
        </w:tc>
        <w:tc>
          <w:tcPr>
            <w:tcW w:w="11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w:t>
              <w:br/>
              <w:t>Paid-in</w:t>
              <w:br/>
              <w:t>Capital</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w:t>
              <w:br/>
              <w:t>Earnings</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Other</w:t>
              <w:br/>
              <w:t>Comprehensive</w:t>
              <w:b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Equity</w:t>
            </w:r>
          </w:p>
        </w:tc>
        <w:tc>
          <w:tcPr>
            <w:tcW w:w="1121" w:type="dxa"/>
            <w:gridSpan w:val="4"/>
            <w:tcBorders/>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(7,542)</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6,721</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($6.90 per share)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28, 2026</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8,768</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($6.60 per share)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29, 2025</w:t>
            </w:r>
          </w:p>
        </w:tc>
        <w:tc>
          <w:tcPr>
            <w:tcW w:w="2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(8,157)</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NOTE 1 -</w:t>
      </w:r>
      <w:r>
        <w:rPr>
          <w:color w:val="000000"/>
        </w:rPr>
        <w:t xml:space="preserve"> </w:t>
      </w:r>
      <w:r>
        <w:rPr>
          <w:rFonts w:ascii="Arial;sans-serif" w:hAnsi="Arial;sans-serif"/>
          <w:b/>
          <w:color w:val="000000"/>
          <w:sz w:val="20"/>
        </w:rPr>
        <w:t>BASIS OF PRESENTATION</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Estimates inherent in the preparation of our consolidated financial statements include, but are not limited to, accounting for sales, cost recognition and profit booking rates; retirement benefits;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 The consolidated financial statements include the accounts of subsidiaries we control and variable interest entities if we are the primary beneficiary. We eliminate intercompany balances and transactions in consolidation.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close our books and records on the last Sunday of each interim calendar quarter, which was on June 28 for the second quarter of 2026 and June 29 for the second quarter of 2025,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2025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2 - EARNINGS PER COMMON SHARE</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weighted average number of shares outstanding used to compute earnings per common share were as follows (in millions):</w:t>
      </w:r>
    </w:p>
    <w:tbl>
      <w:tblPr>
        <w:tblW w:w="10205" w:type="dxa"/>
        <w:jc w:val="left"/>
        <w:tblInd w:w="0" w:type="dxa"/>
        <w:tblLayout w:type="fixed"/>
        <w:tblCellMar>
          <w:top w:w="28" w:type="dxa"/>
          <w:left w:w="28" w:type="dxa"/>
          <w:bottom w:w="28" w:type="dxa"/>
          <w:right w:w="28" w:type="dxa"/>
        </w:tblCellMar>
      </w:tblPr>
      <w:tblGrid>
        <w:gridCol w:w="1823"/>
        <w:gridCol w:w="1601"/>
        <w:gridCol w:w="1605"/>
        <w:gridCol w:w="109"/>
        <w:gridCol w:w="109"/>
        <w:gridCol w:w="109"/>
        <w:gridCol w:w="323"/>
        <w:gridCol w:w="323"/>
        <w:gridCol w:w="137"/>
        <w:gridCol w:w="137"/>
        <w:gridCol w:w="137"/>
        <w:gridCol w:w="137"/>
        <w:gridCol w:w="323"/>
        <w:gridCol w:w="323"/>
        <w:gridCol w:w="137"/>
        <w:gridCol w:w="137"/>
        <w:gridCol w:w="137"/>
        <w:gridCol w:w="137"/>
        <w:gridCol w:w="323"/>
        <w:gridCol w:w="323"/>
        <w:gridCol w:w="138"/>
        <w:gridCol w:w="138"/>
        <w:gridCol w:w="138"/>
        <w:gridCol w:w="138"/>
        <w:gridCol w:w="323"/>
        <w:gridCol w:w="323"/>
        <w:gridCol w:w="138"/>
        <w:gridCol w:w="138"/>
        <w:gridCol w:w="138"/>
        <w:gridCol w:w="203"/>
      </w:tblGrid>
      <w:tr>
        <w:trPr/>
        <w:tc>
          <w:tcPr>
            <w:tcW w:w="182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246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119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11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126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20"/>
              </w:rPr>
            </w:pPr>
            <w:r>
              <w:rPr>
                <w:rFonts w:ascii="Arial;sans-serif" w:hAnsi="Arial;sans-serif"/>
                <w:b/>
                <w:color w:val="000000"/>
                <w:sz w:val="20"/>
              </w:rPr>
              <w:t>June 29,</w:t>
              <w:br/>
              <w:t>2025</w:t>
            </w:r>
          </w:p>
        </w:tc>
      </w:tr>
      <w:tr>
        <w:trPr/>
        <w:tc>
          <w:tcPr>
            <w:tcW w:w="5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for basic computations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230.2</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230.1</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dilutive effect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common shares outstanding for diluted computations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231.1</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231.1</w:t>
            </w:r>
            <w:r>
              <w:rPr>
                <w:color w:val="000000"/>
              </w:rPr>
              <w:t>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during the quarters and six months ended June 28, 2026 and June 29, 2025. Basic and diluted weighted average common shares outstanding decreased in 2026 compared to 2025 due to share repurchases in the second half of 2025, but none during the quarter and six months ended June 28,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pPr>
      <w:r>
        <w:rPr>
          <w:rFonts w:ascii="Arial;sans-serif" w:hAnsi="Arial;sans-serif"/>
          <w:b/>
          <w:color w:val="000000"/>
          <w:sz w:val="20"/>
        </w:rPr>
        <w:t>NOTE 3 -</w:t>
      </w:r>
      <w:r>
        <w:rPr>
          <w:color w:val="000000"/>
        </w:rPr>
        <w:t xml:space="preserve"> </w:t>
      </w:r>
      <w:r>
        <w:rPr>
          <w:rFonts w:ascii="Arial;sans-serif" w:hAnsi="Arial;sans-serif"/>
          <w:b/>
          <w:color w:val="000000"/>
          <w:sz w:val="20"/>
        </w:rPr>
        <w:t>INFORMATION ON BUSINESS SEGMENTS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Summary operating results for each of our business segments were as follows (in millions):</w:t>
      </w:r>
    </w:p>
    <w:tbl>
      <w:tblPr>
        <w:tblW w:w="10203" w:type="dxa"/>
        <w:jc w:val="left"/>
        <w:tblInd w:w="0" w:type="dxa"/>
        <w:tblLayout w:type="fixed"/>
        <w:tblCellMar>
          <w:top w:w="28" w:type="dxa"/>
          <w:left w:w="28" w:type="dxa"/>
          <w:bottom w:w="28" w:type="dxa"/>
          <w:right w:w="28" w:type="dxa"/>
        </w:tblCellMar>
      </w:tblPr>
      <w:tblGrid>
        <w:gridCol w:w="1294"/>
        <w:gridCol w:w="1141"/>
        <w:gridCol w:w="1150"/>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Quarters Ended</w:t>
            </w:r>
          </w:p>
        </w:tc>
        <w:tc>
          <w:tcPr>
            <w:tcW w:w="31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29,</w:t>
              <w:br/>
              <w:t>2025</w:t>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29,</w:t>
              <w:br/>
              <w:t>2025</w:t>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38,084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Other segment items </w:t>
            </w:r>
            <w:r>
              <w:rPr>
                <w:rFonts w:ascii="Arial;sans-serif" w:hAnsi="Arial;sans-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 segment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17,901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34,099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33,462 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Operating profit (loss)</w:t>
            </w: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Rotary and Mission Systems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FAS/CAS pension operating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Impairment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unallocated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consolidated 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Intersegment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intersegment sales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1,105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Arial;sans-serif" w:hAnsi="Arial;sans-serif"/>
          <w:b w:val="false"/>
          <w:color w:val="000000"/>
          <w:sz w:val="10"/>
        </w:rPr>
        <w:t>(a)</w:t>
      </w:r>
      <w:r>
        <w:rPr>
          <w:rFonts w:ascii="Arial;sans-serif" w:hAnsi="Arial;sans-serif"/>
          <w:b w:val="false"/>
          <w:color w:val="000000"/>
          <w:sz w:val="16"/>
        </w:rPr>
        <w:t>Other segment items include operating costs and expenses plus certain immaterial items, such as other income (primarily equity earnings).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Segment results exclude intersegment transactions as these activities are eliminated in consolidation and are not considered in assessing the performance of each segment. As described below, segment operating profit also excludes other transactions that are not part of management’s evaluation of segment operating performance, which are included in “Unallocated items” to reconcile total segment operating profit to consolidated amounts. Business segment operating profit includes our share of earnings or losses from equity method investees as the operating activities of the equity method investees are closely aligned with the operations of our business segments. See “Note 10 - Other” for a discussion related to certain factors that may impact the comparability of sales and operating profit of our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140" w:after="200"/>
        <w:jc w:val="left"/>
        <w:rPr>
          <w:rFonts w:ascii="Arial;sans-serif" w:hAnsi="Arial;sans-serif"/>
          <w:b/>
          <w:i/>
          <w:color w:val="000000"/>
          <w:sz w:val="20"/>
        </w:rPr>
      </w:pPr>
      <w:r>
        <w:rPr>
          <w:rFonts w:ascii="Arial;sans-serif" w:hAnsi="Arial;sans-serif"/>
          <w:b/>
          <w:i/>
          <w:color w:val="000000"/>
          <w:sz w:val="20"/>
        </w:rPr>
        <w:t>Unallocated Items</w:t>
      </w:r>
    </w:p>
    <w:p>
      <w:pPr>
        <w:pStyle w:val="TextBody"/>
        <w:bidi w:val="0"/>
        <w:spacing w:lineRule="auto" w:line="288" w:before="200" w:after="60"/>
        <w:jc w:val="left"/>
        <w:rPr>
          <w:rFonts w:ascii="Arial;sans-serif" w:hAnsi="Arial;sans-serif"/>
          <w:b w:val="false"/>
          <w:color w:val="000000"/>
          <w:sz w:val="20"/>
        </w:rPr>
      </w:pPr>
      <w:r>
        <w:rPr>
          <w:rFonts w:ascii="Arial;sans-serif" w:hAnsi="Arial;sans-serif"/>
          <w:b w:val="false"/>
          <w:color w:val="000000"/>
          <w:sz w:val="20"/>
        </w:rPr>
        <w:t xml:space="preserve">Business segment operating profit excludes the FAS/CAS pension operating adjustment discussed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stock-based compensation expense, changes in the fair value of assets and liabilities for deferred compensation plans, significant severance charges, significant asset impairments, intangible asset amortization expense, and other miscellaneous corporate activities. Collectively these items are included in “Unallocated items” to reconcile total segment operating profit to consolidated operating profit.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FAS/CAS Pension Operating Adjustment</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Our business segments’ results of operations include pension expense only as calculated under CAS, which we refer to as CAS pension cost. We recover CAS pension cost through the pricing of our products and services on U.S. Government contracts and, therefore, recognize CAS pension cost in each of our business segments’ sales and operating costs and expenses. Our consolidated financial statements must present pension expense calculated in accordance with Financial Accounting Standards (FAS) requirements under U.S. GAAP. The operating portion of the total FAS/CAS pension adjustment represents the difference between the service cost component of FAS pension expense and total CAS pension cost. The non-service FAS pension expense components are included in non-service FAS pension expense in our consolidated statements of earnings. As a result, to the extent that CAS pension cost exceeds the service cost component of FAS pension expense, we have a favorable FAS/CAS pension operating adjustment.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The total FAS/CAS pension adjustments, including the service and non-service cost components of FAS pension expense for our qualified defined benefit pension plans, were as follows (in millions):</w:t>
      </w:r>
    </w:p>
    <w:tbl>
      <w:tblPr>
        <w:tblW w:w="10185" w:type="dxa"/>
        <w:jc w:val="left"/>
        <w:tblInd w:w="0" w:type="dxa"/>
        <w:tblLayout w:type="fixed"/>
        <w:tblCellMar>
          <w:top w:w="28" w:type="dxa"/>
          <w:left w:w="28" w:type="dxa"/>
          <w:bottom w:w="28" w:type="dxa"/>
          <w:right w:w="28" w:type="dxa"/>
        </w:tblCellMar>
      </w:tblPr>
      <w:tblGrid>
        <w:gridCol w:w="1500"/>
        <w:gridCol w:w="1318"/>
        <w:gridCol w:w="1322"/>
        <w:gridCol w:w="109"/>
        <w:gridCol w:w="109"/>
        <w:gridCol w:w="109"/>
        <w:gridCol w:w="211"/>
        <w:gridCol w:w="481"/>
        <w:gridCol w:w="109"/>
        <w:gridCol w:w="109"/>
        <w:gridCol w:w="109"/>
        <w:gridCol w:w="109"/>
        <w:gridCol w:w="109"/>
        <w:gridCol w:w="109"/>
        <w:gridCol w:w="109"/>
        <w:gridCol w:w="211"/>
        <w:gridCol w:w="541"/>
        <w:gridCol w:w="109"/>
        <w:gridCol w:w="109"/>
        <w:gridCol w:w="109"/>
        <w:gridCol w:w="109"/>
        <w:gridCol w:w="109"/>
        <w:gridCol w:w="109"/>
        <w:gridCol w:w="109"/>
        <w:gridCol w:w="211"/>
        <w:gridCol w:w="541"/>
        <w:gridCol w:w="109"/>
        <w:gridCol w:w="109"/>
        <w:gridCol w:w="109"/>
        <w:gridCol w:w="109"/>
        <w:gridCol w:w="109"/>
        <w:gridCol w:w="109"/>
        <w:gridCol w:w="109"/>
        <w:gridCol w:w="211"/>
        <w:gridCol w:w="541"/>
        <w:gridCol w:w="109"/>
        <w:gridCol w:w="109"/>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4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FAS pension expense and CAS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FAS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CAS pension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Service and non-service cost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FAS pension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CAS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operating adjustment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Non-service FAS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adjustment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40" w:after="40"/>
        <w:jc w:val="left"/>
        <w:rPr>
          <w:rFonts w:ascii="Arial;sans-serif" w:hAnsi="Arial;sans-serif"/>
          <w:b/>
          <w:i/>
          <w:color w:val="000000"/>
          <w:sz w:val="20"/>
        </w:rPr>
      </w:pPr>
      <w:r>
        <w:rPr>
          <w:rFonts w:ascii="Arial;sans-serif" w:hAnsi="Arial;sans-serif"/>
          <w:b/>
          <w:i/>
          <w:color w:val="000000"/>
          <w:sz w:val="20"/>
        </w:rPr>
        <w:t>Disaggregation of Sales</w:t>
      </w:r>
    </w:p>
    <w:p>
      <w:pPr>
        <w:pStyle w:val="TextBody"/>
        <w:bidi w:val="0"/>
        <w:spacing w:lineRule="auto" w:line="288" w:before="80" w:after="283"/>
        <w:ind w:left="0" w:right="0" w:firstLine="495"/>
        <w:jc w:val="left"/>
        <w:rPr>
          <w:rFonts w:ascii="Arial;sans-serif" w:hAnsi="Arial;sans-serif"/>
          <w:b w:val="false"/>
          <w:color w:val="000000"/>
          <w:sz w:val="20"/>
        </w:rPr>
      </w:pPr>
      <w:r>
        <w:rPr>
          <w:rFonts w:ascii="Arial;sans-serif" w:hAnsi="Arial;sans-serif"/>
          <w:b w:val="false"/>
          <w:color w:val="000000"/>
          <w:sz w:val="20"/>
        </w:rPr>
        <w:t>Sales by products and services, contract type, customer, and geographic region were as follows (in millions):</w:t>
      </w:r>
    </w:p>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65"/>
        <w:gridCol w:w="813"/>
        <w:gridCol w:w="13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Quarter Ended June 28,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6,608</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16,783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8,112</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20,063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2,584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8,112</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20,063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4,745</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8,112</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20,063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4,750</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14,188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1,729</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1,143</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1,983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8,112</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20,063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39"/>
        <w:gridCol w:w="852"/>
        <w:gridCol w:w="125"/>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28,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12,113</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31,614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2,952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15,065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38,084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10,025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22,481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5,040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15,065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38,084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8,878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6,171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15,065</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38,084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8,894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26,567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3,166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15,065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38,084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65"/>
        <w:gridCol w:w="813"/>
        <w:gridCol w:w="13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Quarter Ended June 29,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39"/>
        <w:gridCol w:w="852"/>
        <w:gridCol w:w="125"/>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29,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14,477 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14,477 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14,477 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14,477 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Arial;sans-serif" w:hAnsi="Arial;sans-serif"/>
          <w:b w:val="false"/>
          <w:color w:val="000000"/>
          <w:sz w:val="12"/>
        </w:rPr>
        <w:t>(a)</w:t>
      </w:r>
      <w:r>
        <w:rPr>
          <w:rFonts w:ascii="Arial;sans-serif" w:hAnsi="Arial;sans-serif"/>
          <w:b w:val="false"/>
          <w:color w:val="000000"/>
          <w:sz w:val="18"/>
        </w:rPr>
        <w:t>International sales include foreign military sales (FMS) contracted through the U.S. Government and direct commercial sales to international governments and other international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Our Aeronautics business segment includes our largest program, the F-35 Lightning II, an international multi-role, multi-variant, stealth fighter aircraft. Sales for the F-35 program represented approximately 28% and 27% of our total consolidated sales for the quarters and six months ended both June 28, 2026 and June 29, 2025.</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Assets</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Total assets for each of our business segments were as follows (in millions):</w:t>
      </w:r>
    </w:p>
    <w:tbl>
      <w:tblPr>
        <w:tblW w:w="6345" w:type="dxa"/>
        <w:jc w:val="left"/>
        <w:tblInd w:w="0" w:type="dxa"/>
        <w:tblLayout w:type="fixed"/>
        <w:tblCellMar>
          <w:top w:w="28" w:type="dxa"/>
          <w:left w:w="28" w:type="dxa"/>
          <w:bottom w:w="28" w:type="dxa"/>
          <w:right w:w="28" w:type="dxa"/>
        </w:tblCellMar>
      </w:tblPr>
      <w:tblGrid>
        <w:gridCol w:w="1028"/>
        <w:gridCol w:w="905"/>
        <w:gridCol w:w="917"/>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MFC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business segment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48,604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assets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62,450</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pPr>
      <w:r>
        <w:rPr>
          <w:rFonts w:ascii="Arial;sans-serif" w:hAnsi="Arial;sans-serif"/>
          <w:b w:val="false"/>
          <w:color w:val="000000"/>
          <w:sz w:val="12"/>
        </w:rPr>
        <w:t>(a)</w:t>
      </w:r>
      <w:r>
        <w:rPr>
          <w:rFonts w:ascii="Arial;sans-serif" w:hAnsi="Arial;sans-serif"/>
          <w:b w:val="false"/>
          <w:color w:val="000000"/>
          <w:sz w:val="18"/>
        </w:rPr>
        <w:t>Corporate assets primarily include cash and cash equivalents, deferred income taxes, assets held in a trust for deferred compensation plans, capitalized software, assets for the portion of environmental costs that are probable of future recovery, property, plant and equipment used in our corporate operations, and other marketable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NOTE 4 - CONTRACT ASSETS AND LIABILITIES </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Contract assets and contract liabilities were as follows (in millions):</w:t>
      </w:r>
    </w:p>
    <w:tbl>
      <w:tblPr>
        <w:tblW w:w="5159"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1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Contract assets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12,151</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sales under contracts when the percentage-of-completion cost-to-cost method of revenue recognition is utilized and revenue recognized exceeds the amount billed to the customer. These assets are primarily driven by the recognition of revenue related to the satisfaction or partial satisfaction of performance obligations for which we have not yet billed our customers. During the six months ended June 28, 2026, contract assets increased $3.0 billion primarily due to the F-35 program at Aeronautics and tactical and strike missiles at MFC. There were no significant credit or impairment losses related to our contract assets during the quarters and six months ended June 28, 2026 and June 29, 2025.</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Contract liabilities include advance payments and billings in excess of revenue recognized. These liabilities increased $711 million during the six months ended June 28, 2026, primarily due to payment received in excess of revenue recognized on performance obligations (primarily for the F-16 program at Aeronautics). During the quarter and six months ended June 28, 2026, we recognized $1.8 billion and $4.8 billion of our contract liabilities at December 31, 2025 as revenue. During the quarter and six months ended June 29, 2025, we recognized $1.3 billion and $4.5 billion of our contract liabilities at December 31, 2024 as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5 - INVENTORIES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Inventories consisted of the following (in millions):</w:t>
      </w:r>
    </w:p>
    <w:tbl>
      <w:tblPr>
        <w:tblW w:w="6188" w:type="dxa"/>
        <w:jc w:val="left"/>
        <w:tblInd w:w="0" w:type="dxa"/>
        <w:tblLayout w:type="fixed"/>
        <w:tblCellMar>
          <w:top w:w="28" w:type="dxa"/>
          <w:left w:w="28" w:type="dxa"/>
          <w:bottom w:w="28" w:type="dxa"/>
          <w:right w:w="28" w:type="dxa"/>
        </w:tblCellMar>
      </w:tblPr>
      <w:tblGrid>
        <w:gridCol w:w="1025"/>
        <w:gridCol w:w="903"/>
        <w:gridCol w:w="906"/>
        <w:gridCol w:w="109"/>
        <w:gridCol w:w="109"/>
        <w:gridCol w:w="109"/>
        <w:gridCol w:w="211"/>
        <w:gridCol w:w="646"/>
        <w:gridCol w:w="109"/>
        <w:gridCol w:w="109"/>
        <w:gridCol w:w="109"/>
        <w:gridCol w:w="109"/>
        <w:gridCol w:w="109"/>
        <w:gridCol w:w="109"/>
        <w:gridCol w:w="109"/>
        <w:gridCol w:w="222"/>
        <w:gridCol w:w="681"/>
        <w:gridCol w:w="114"/>
        <w:gridCol w:w="114"/>
        <w:gridCol w:w="114"/>
        <w:gridCol w:w="162"/>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Materials, spares and supplies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4,411</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Costs incurred to fulfill a contract in advance of the contract being awarded are included in inventories as work-in-process if we determine that those costs relate directly to a contract or to an anticipated contract that we can specifically identify and determine that the contract award is probable, the costs generate or enhance resources that will be used in satisfying performance obligations, and the costs are recoverable (referred to as pre-contract costs). These advance procurement costs are generally incurred in order to enhance our ability to achieve schedule and certain customer milestones. Pre-contract costs that are initially capitalized in inventory generally are eventually recognized as operating costs consistent with the transfer of products and services to the customer upon the receipt of the anticipated contract. All other pre-contract costs, including start-up costs, are expensed as incurred. As of June 28, 2026 and December 31, 2025, $1.9 billion and $1.5 billion of pre-contract costs (primarily the classified contracts, F-35 program and F-16 program at Aeronautics and Sikorsky programs at RMS) were included in work-in-process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NOTE 6 -</w:t>
      </w:r>
      <w:r>
        <w:rPr>
          <w:color w:val="000000"/>
        </w:rPr>
        <w:t xml:space="preserve"> </w:t>
      </w:r>
      <w:r>
        <w:rPr>
          <w:rFonts w:ascii="Arial;sans-serif" w:hAnsi="Arial;sans-serif"/>
          <w:b/>
          <w:color w:val="000000"/>
          <w:sz w:val="20"/>
        </w:rPr>
        <w:t>RETIREMENT BENEFITS</w:t>
      </w:r>
      <w:r>
        <w:rPr>
          <w:color w:val="000000"/>
        </w:rPr>
        <w:t xml:space="preserve">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Pretax FAS pension expense related to our qualified defined benefit pension plans consisted of the following (in millions):</w:t>
      </w:r>
    </w:p>
    <w:tbl>
      <w:tblPr>
        <w:tblW w:w="9452" w:type="dxa"/>
        <w:jc w:val="left"/>
        <w:tblInd w:w="0" w:type="dxa"/>
        <w:tblLayout w:type="fixed"/>
        <w:tblCellMar>
          <w:top w:w="28" w:type="dxa"/>
          <w:left w:w="28" w:type="dxa"/>
          <w:bottom w:w="28" w:type="dxa"/>
          <w:right w:w="28" w:type="dxa"/>
        </w:tblCellMar>
      </w:tblPr>
      <w:tblGrid>
        <w:gridCol w:w="1369"/>
        <w:gridCol w:w="1203"/>
        <w:gridCol w:w="1207"/>
        <w:gridCol w:w="109"/>
        <w:gridCol w:w="109"/>
        <w:gridCol w:w="109"/>
        <w:gridCol w:w="211"/>
        <w:gridCol w:w="436"/>
        <w:gridCol w:w="109"/>
        <w:gridCol w:w="109"/>
        <w:gridCol w:w="109"/>
        <w:gridCol w:w="109"/>
        <w:gridCol w:w="109"/>
        <w:gridCol w:w="109"/>
        <w:gridCol w:w="109"/>
        <w:gridCol w:w="211"/>
        <w:gridCol w:w="541"/>
        <w:gridCol w:w="109"/>
        <w:gridCol w:w="109"/>
        <w:gridCol w:w="109"/>
        <w:gridCol w:w="109"/>
        <w:gridCol w:w="211"/>
        <w:gridCol w:w="541"/>
        <w:gridCol w:w="109"/>
        <w:gridCol w:w="109"/>
        <w:gridCol w:w="109"/>
        <w:gridCol w:w="109"/>
        <w:gridCol w:w="109"/>
        <w:gridCol w:w="109"/>
        <w:gridCol w:w="109"/>
        <w:gridCol w:w="211"/>
        <w:gridCol w:w="541"/>
        <w:gridCol w:w="109"/>
        <w:gridCol w:w="109"/>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274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Qualified defined benefit pension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Expected return 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actuarial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FAS pension expense</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We record the service cost component of FAS pension expense for our qualified defined benefit pension plans in consolidated operating profit and the non-service components in non-service FAS pension expense on our consolidated statements of earnings.</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Total FAS income for our other retirement benefit plans was not material during the quarters and six months ended June 28, 2026 and June 29, 2025 and is part of other non-operating income, net on our consolidated statements of earnings.</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and six months ended June 28, 2026 and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7 - LEGAL PROCEEDINGS AND CONTINGENCIES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Although we cannot predict the outcome of legal or other proceedings with certainty, where there is at least a reasonable possibility that a loss may be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or environmental matters, a reasonably possible loss or range of loss associated with any individual proceeding or matter cannot be estimated.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We are a party to litigation and other proceedings that arise in the ordinary course of our business, including matters arising under federal, state, local and foreign requirements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do not believe that these matters, including the legal proceedings described below, will have a material adverse effect on the company as a whole, notwithstanding that the unfavorable resolution of any matter may have a material effect on our net earnings and cash flows in the period in which it is recognized. </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Securities-Related Actions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July 28, 2025, a putative class action was filed—and subsequently amended on January 12, 2026—in United States District Court for the Southern District of New York against us and certain current and former members of our senior management. The shareholder plaintiffs assert claims under Sections 10(b) and 20(a) of the Securities Exchange Act of 1934 (Exchange Act), on behalf of persons and entities that purchased or otherwise acquired our securities between January 23, 2024 and July 21, 2025. Plaintiffs seek unspecified losses allegedly caused by alleged misstatements about certain classified programs in the Aeronautics and MFC business segments and F-35 program, which were allegedly revealed to be false when we announced estimated losses relating to certain of those programs. </w:t>
      </w:r>
    </w:p>
    <w:p>
      <w:pPr>
        <w:pStyle w:val="TextBody"/>
        <w:bidi w:val="0"/>
        <w:spacing w:before="0" w:after="0"/>
        <w:ind w:left="0" w:right="0" w:firstLine="495"/>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Separately, based on allegations substantially similar to the above-described securities class action, shareholder derivative complaints were filed in the United States District Court for the District of Maryland on September 11, 2025 and May 18, 2026, against current and former members of our Board of Directors and senior management. We are named as a nominal defendant. Together, the derivative complaints assert claims under Sections 14(a), 20(a), and 10(b) of the Exchange Act, as well as claims for breach of fiduciary duty, abuse of control, gross mismanagement, corporate waste, unjust enrichment, and contribution. Based on the information available to date, we do not believe that these matters will have a material adverse effect on our results of operations, financial condition, or liquidity.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Lockheed Martin v. Metropolitan Transportation Authority</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Information Systems &amp; Global Solutions business (IS&amp;GS), we retained responsibility for the litigation when we divested IS&amp;GS in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Environmental Matters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involved in proceedings and potential proceedings relating to soil, sediment, surface water, and groundwater contamination, disposal of hazardous substances, and other environmental matters at several of our current or former facilities, other facilities for which we may have contractual responsibility, and at third-party sites where we have been designated as a potentially responsible party (PRP). These proceedings could result in fines, penalties, cost reimbursements or contributions, compensatory or treble damages or non-monetary sanctions or relief.</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28, 2026 and December 31, 2025, the aggregate amount of liabilities recorded for environmental remediation matters was $652 million and $659 million, most of which are recorded in other noncurrent liabilities on our consolidated balance sheets. We have recorded assets for the portion of environmental costs that are probable of future recovery totaling $600 million and $605 million at June 28, 2026 and December 31, 2025, most of which are recorded in other noncurrent assets on our consolidated balance sheets.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continue to pursue claims against other PRPs, including the U.S. Government, for recovery of costs incurred or for contribution to site remediation costs, and are conducting remediation activities under various consent decrees, orders, and agreements relating to soil, groundwater, sediment, or surface water contamination at certain sites of former or current operations. Under certain of these agreements, the U.S. Government and/or private parties reimburse us an amount equal to a percentage, specific to each site, of expenditures for certain remediation activities in their capacity as PRPs under the Comprehensive Environmental Response, Compensation and Liability Act (CERCLA).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timing and extent of remediation costs remain uncertain. New site-specific information or changes in federal or state regulation could increase current liability and recoverable asset estimates. We perform quarterly reviews of these liabilities and receivables, projecting costs and recoveries over a period of approximately 20 years.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Letters of Credit and Surety Bonds</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$3.3 billion and $3.5 billion at June 28, 2026 and December 31, 2025.</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Contingencies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us, whether relating to U.S. Government contracts or conducted for other reasons, could result in civil or criminal penalties and administrative sanctions, including reductions of the value of contracts, contract modifications or terminations, forfeiture of profits, suspension of payments, repayments, fines or penalties being imposed upon us, suspension, proposed debarment, debarment from eligibility for future U.S. Government contracting, or suspension of export privileges. Reductions of the value of contracts, contract modifications or terminations, forfeiture of profits, suspension of payments, repayments, fines and penalties could have a material impact on financial condition and results of operations in any particular reporting period, and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pPr>
      <w:r>
        <w:rPr>
          <w:rFonts w:ascii="Arial;sans-serif" w:hAnsi="Arial;sans-serif"/>
          <w:b/>
          <w:color w:val="000000"/>
          <w:sz w:val="20"/>
        </w:rPr>
        <w:t>NOTE 8 -</w:t>
      </w:r>
      <w:r>
        <w:rPr>
          <w:color w:val="000000"/>
        </w:rPr>
        <w:t xml:space="preserve"> </w:t>
      </w:r>
      <w:r>
        <w:rPr>
          <w:rFonts w:ascii="Arial;sans-serif" w:hAnsi="Arial;sans-serif"/>
          <w:b/>
          <w:color w:val="000000"/>
          <w:sz w:val="20"/>
        </w:rPr>
        <w:t>FAIR VALUE MEASUREMENTS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Assets and liabilities measured and recorded at fair value on a recurring basis consisted of the following (in millions):</w:t>
      </w:r>
    </w:p>
    <w:tbl>
      <w:tblPr>
        <w:tblW w:w="10205" w:type="dxa"/>
        <w:jc w:val="left"/>
        <w:tblInd w:w="0" w:type="dxa"/>
        <w:tblLayout w:type="fixed"/>
        <w:tblCellMar>
          <w:top w:w="28" w:type="dxa"/>
          <w:left w:w="28" w:type="dxa"/>
          <w:bottom w:w="28" w:type="dxa"/>
          <w:right w:w="28" w:type="dxa"/>
        </w:tblCellMar>
      </w:tblPr>
      <w:tblGrid>
        <w:gridCol w:w="707"/>
        <w:gridCol w:w="622"/>
        <w:gridCol w:w="600"/>
        <w:gridCol w:w="109"/>
        <w:gridCol w:w="109"/>
        <w:gridCol w:w="109"/>
        <w:gridCol w:w="211"/>
        <w:gridCol w:w="646"/>
        <w:gridCol w:w="109"/>
        <w:gridCol w:w="109"/>
        <w:gridCol w:w="109"/>
        <w:gridCol w:w="109"/>
        <w:gridCol w:w="211"/>
        <w:gridCol w:w="646"/>
        <w:gridCol w:w="109"/>
        <w:gridCol w:w="109"/>
        <w:gridCol w:w="109"/>
        <w:gridCol w:w="109"/>
        <w:gridCol w:w="222"/>
        <w:gridCol w:w="428"/>
        <w:gridCol w:w="116"/>
        <w:gridCol w:w="109"/>
        <w:gridCol w:w="109"/>
        <w:gridCol w:w="109"/>
        <w:gridCol w:w="109"/>
        <w:gridCol w:w="109"/>
        <w:gridCol w:w="109"/>
        <w:gridCol w:w="109"/>
        <w:gridCol w:w="211"/>
        <w:gridCol w:w="646"/>
        <w:gridCol w:w="109"/>
        <w:gridCol w:w="109"/>
        <w:gridCol w:w="109"/>
        <w:gridCol w:w="109"/>
        <w:gridCol w:w="211"/>
        <w:gridCol w:w="646"/>
        <w:gridCol w:w="109"/>
        <w:gridCol w:w="109"/>
        <w:gridCol w:w="109"/>
        <w:gridCol w:w="109"/>
        <w:gridCol w:w="222"/>
        <w:gridCol w:w="428"/>
        <w:gridCol w:w="116"/>
        <w:gridCol w:w="109"/>
        <w:gridCol w:w="109"/>
        <w:gridCol w:w="109"/>
        <w:gridCol w:w="155"/>
      </w:tblGrid>
      <w:tr>
        <w:trPr/>
        <w:tc>
          <w:tcPr>
            <w:tcW w:w="7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482" w:type="dxa"/>
            <w:gridSpan w:val="4"/>
            <w:tcBorders/>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Substantially all assets measured at fair value, other than derivatives, represent assets held in a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pStyle w:val="TextBody"/>
        <w:bidi w:val="0"/>
        <w:spacing w:lineRule="auto" w:line="276"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pStyle w:val="TextBody"/>
        <w:bidi w:val="0"/>
        <w:spacing w:lineRule="auto" w:line="276"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The aggregate notional amount of our outstanding interest rate swaps was $1.3 billion at both June 28, 2026 and December 31, 2025. The aggregate notional amount of our outstanding foreign currency hedges was $7.0 billion and $7.2 billion at June 28, 2026 and December 31, 2025. The fair values of our outstanding interest rate swaps and foreign currency hedges at June 28, 2026 and December 31, 2025 were not significant. Derivative instruments did not have a material impact on net earnings and comprehensive income during the quarters and six months ended June 28, 2026 and June 29, 2025. The impact of derivative instruments on our consolidated statements of cash flows is included in net cash provided by operating activities. Substantially all of our derivatives are designated for hedge accounting.</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$20.5 billion and $22.0 billion at June 28, 2026 and December 31, 2025. The outstanding principal amount of debt, including short-term and long-term debt, was $21.7 billion and $22.9 billion at June 28, 2026 and December 31, 2025, excluding $1.2 billion of unamortized discounts and issuance costs at both June 28, 2026 and December 31,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estimated fair values of our outstanding debt were determined based on the present value of future cash flows using model-derived valuations that use observable inputs such as interest rates and credit spreads (Level 2).</w:t>
      </w:r>
    </w:p>
    <w:p>
      <w:pPr>
        <w:pStyle w:val="TextBody"/>
        <w:bidi w:val="0"/>
        <w:spacing w:lineRule="auto" w:line="276" w:before="200" w:after="283"/>
        <w:ind w:left="0" w:right="0" w:firstLine="495"/>
        <w:jc w:val="left"/>
        <w:rPr/>
      </w:pPr>
      <w:r>
        <w:rPr>
          <w:rFonts w:ascii="Arial;sans-serif" w:hAnsi="Arial;sans-serif"/>
          <w:b w:val="false"/>
          <w:color w:val="000000"/>
          <w:sz w:val="20"/>
        </w:rPr>
        <w:t>Also in addition to the financial instruments listed in the table above, we</w:t>
      </w:r>
      <w:r>
        <w:rPr>
          <w:color w:val="000000"/>
          <w:shd w:fill="FFFFFF" w:val="clear"/>
        </w:rPr>
        <w:t xml:space="preserve"> </w:t>
      </w:r>
      <w:r>
        <w:rPr>
          <w:rFonts w:ascii="Arial;sans-serif" w:hAnsi="Arial;sans-serif"/>
          <w:b w:val="false"/>
          <w:color w:val="000000"/>
          <w:sz w:val="20"/>
          <w:shd w:fill="FFFFFF" w:val="clear"/>
        </w:rPr>
        <w:t xml:space="preserve">make investments in companies that we believe are advancing or developing new technologies applicable to our business. These investments are primarily in early-stage companies and may be in the form of common or preferred stock, warrants, convertible debt </w:t>
      </w:r>
      <w:r>
        <w:rPr>
          <w:rFonts w:ascii="Arial;sans-serif" w:hAnsi="Arial;sans-serif"/>
          <w:b w:val="false"/>
          <w:color w:val="000000"/>
          <w:sz w:val="20"/>
        </w:rPr>
        <w:t>securities, investments in funds or other investments. Most of these investments are in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$784 million and $669 million at June 28, 2026 and December 31, 2025. Net gains recorded due to adjustments in valuation and/or sales of investments were not material for the quarters and six months ended June 28, 2026 and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NOTE 9 -</w:t>
      </w:r>
      <w:r>
        <w:rPr>
          <w:color w:val="000000"/>
        </w:rPr>
        <w:t xml:space="preserve"> </w:t>
      </w:r>
      <w:r>
        <w:rPr>
          <w:rFonts w:ascii="Arial;sans-serif" w:hAnsi="Arial;sans-serif"/>
          <w:b/>
          <w:color w:val="000000"/>
          <w:sz w:val="20"/>
        </w:rPr>
        <w:t>STOCKHOLDERS’ EQUITY</w:t>
      </w:r>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Dividends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We paid cash dividends of $1.6 billion ($6.90 per share) during the six months ended June 28, 2026. The total amount of dividends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Accumulated Other Comprehensive Loss (AOCL)</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Changes in the balance of AOCL, net of tax, consisted of the following (in millions):</w:t>
      </w:r>
    </w:p>
    <w:tbl>
      <w:tblPr>
        <w:tblW w:w="10205" w:type="dxa"/>
        <w:jc w:val="left"/>
        <w:tblInd w:w="0" w:type="dxa"/>
        <w:tblLayout w:type="fixed"/>
        <w:tblCellMar>
          <w:top w:w="28" w:type="dxa"/>
          <w:left w:w="28" w:type="dxa"/>
          <w:bottom w:w="28" w:type="dxa"/>
          <w:right w:w="28" w:type="dxa"/>
        </w:tblCellMar>
      </w:tblPr>
      <w:tblGrid>
        <w:gridCol w:w="2185"/>
        <w:gridCol w:w="1912"/>
        <w:gridCol w:w="1924"/>
        <w:gridCol w:w="109"/>
        <w:gridCol w:w="109"/>
        <w:gridCol w:w="109"/>
        <w:gridCol w:w="242"/>
        <w:gridCol w:w="742"/>
        <w:gridCol w:w="127"/>
        <w:gridCol w:w="109"/>
        <w:gridCol w:w="109"/>
        <w:gridCol w:w="109"/>
        <w:gridCol w:w="268"/>
        <w:gridCol w:w="613"/>
        <w:gridCol w:w="140"/>
        <w:gridCol w:w="109"/>
        <w:gridCol w:w="109"/>
        <w:gridCol w:w="109"/>
        <w:gridCol w:w="211"/>
        <w:gridCol w:w="705"/>
        <w:gridCol w:w="155"/>
      </w:tblGrid>
      <w:tr>
        <w:trPr/>
        <w:tc>
          <w:tcPr>
            <w:tcW w:w="21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AOCL</w:t>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(7,555)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Arial;sans-serif" w:hAnsi="Arial;sans-serif"/>
                <w:b w:val="false"/>
                <w:color w:val="000000"/>
                <w:sz w:val="20"/>
              </w:rPr>
              <w:t>Amortization of net actuarial losses and prior service costs</w:t>
            </w:r>
            <w:r>
              <w:rPr>
                <w:color w:val="000000"/>
              </w:rPr>
              <w:t xml:space="preserve"> </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reclassified from AOCL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(7,431)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comprehensive income before reclassifications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Arial;sans-serif" w:hAnsi="Arial;sans-serif"/>
                <w:b w:val="false"/>
                <w:color w:val="000000"/>
                <w:sz w:val="20"/>
              </w:rPr>
              <w:t>Amortization of net actuarial losses and prior service costs</w:t>
            </w:r>
            <w:r>
              <w:rPr>
                <w:color w:val="000000"/>
              </w:rPr>
              <w:t xml:space="preserve">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reclassified from AOCL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other comprehensive income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29,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Arial;sans-serif" w:hAnsi="Arial;sans-serif"/>
          <w:b w:val="false"/>
          <w:color w:val="000000"/>
          <w:sz w:val="12"/>
        </w:rPr>
        <w:t>(a)</w:t>
      </w:r>
      <w:r>
        <w:rPr>
          <w:rFonts w:ascii="Arial;sans-serif" w:hAnsi="Arial;sans-serif"/>
          <w:b w:val="false"/>
          <w:color w:val="000000"/>
          <w:sz w:val="20"/>
        </w:rPr>
        <w:t>Reclassifications from AOCL related to retirement benefits were recorded as a component of FAS expense for each period presented. These amounts include $62 million and $64 million, net of tax, for the quarters ended June 28, 2026 and June 29, 2025, which are comprised of the amortization of net actuarial losses of $56 million and $55 million, and the amortization of net prior service costs of $6 million and $9 million, for the quarters ended June 28, 2026 and June 29, 2025. See “Note 6 - Retirement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10 - OTHER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Contract Estimates </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We generate sales from long-term contracts for the research, design, development, manufacture, integration and sustainment of advanced technology systems, products and services.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Significant judgments and assumptions are made in estimating contract sales, costs, and profit. We estimate profit as the difference between total estimated sales and total estimated costs to complete the contract and recognize profit as costs are incurred (over time sales recognition) or when the customer accepts the product or service (point in time sales recognition). 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sales recognized will not occur when the uncertainty associated with the variable consideration is subsequently resolved. We also estimate variable consideration as the most likely amount to which we expect to be entitled. Contract costs include significant estimates related to labor, subcontractors, materials, overhead, general and administrative expenses, and costs to fulfill our industrial cooperation agreements, sometimes referred to as offset or localization agreements, required under certain contracts with international customers. Significant estimates related to costs include, but are not limited to, the complexity and scope of the work to be performed, labor productivity and availability, labor rates including terms of collective bargaining arrangements, execution by our subcontractors, the availability and cost of materials including any impact from changing costs or inflation, the length of time to complete the performance obligation, overhead and general and administrative cost rates, and estimated useful lives of components and assets, among others. In particular, fixed-price development programs involve significant management judgment, as development contracts by nature have elements that have not been done before and thus, are highly subject to future unexpected changes in estimates as described below.</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labor, subcontractors, materials, overhead, general and administrative expenses, and offset or localization agreements). The initial profit booking rate of each contract considers risks surrounding the ability to achieve the technical requirements, schedule and costs in the initial estimated total costs to complete the contract. We review our estimates related to sales, cost, and profit for each contract at least annually or when a change in circumstances warrants a modification to a previous estimate. For significant contracts, we review our estimates more frequently. As part of this process, management reviews information including, but not limited to, any outstanding key contract matters, progress towards completion and the related program schedule, identified risks and opportunities, and the related changes in estimates of revenues and costs. Profit booking rates may increase during the performance of the contract if we successfully retire risks related to earning variable consideration and/or the technical, schedule and cost aspects of the contract, which decreases the estimated total costs to complete the contract or may increase the variable consideration we expect to receive on the contract, which we refer to as favorable profit booking rate adjustments. Conversely, our profit booking rates may decrease if the estimated total costs to complete the contract increase or our estimates of variable consideration we expect to receive decrease, which we refer to as unfavorable profit booking rate adjustments.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recognize changes in estimated contract sales or costs and the resulting changes in contract profit on a cumulative basis. Cumulative profit booking rate adjustments represent the cumulative effect of the changes on current and prior periods; sales and operating margins in future periods are recognized as if the revised estimates had been used since contract inception. Profit booking rate adjustments can have a significant effect on our financial statements and affect the comparability of our segment sales, operating profit and operating margin. Segment operating profit and margin can also be impacted favorably or unfavorably by, for example, certain items such as the positive resolution of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matters, cost recoveries on severance and restructuring, insurance recoveries and gains on sales of assets, as well as unfavorable items including the adverse resolution of contractual matters, supply chain disruptions, restructuring charges (except for significant severance actions, which are excluded from segment operating results), reserves for disputes, certain asset impairments, and losses on sales of certain assets.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effect of profit booking rate adjustments on our financial results (in millions, except per share data):</w:t>
      </w:r>
    </w:p>
    <w:tbl>
      <w:tblPr>
        <w:tblW w:w="9857" w:type="dxa"/>
        <w:jc w:val="left"/>
        <w:tblInd w:w="0" w:type="dxa"/>
        <w:tblLayout w:type="fixed"/>
        <w:tblCellMar>
          <w:top w:w="28" w:type="dxa"/>
          <w:left w:w="28" w:type="dxa"/>
          <w:bottom w:w="28" w:type="dxa"/>
          <w:right w:w="28" w:type="dxa"/>
        </w:tblCellMar>
      </w:tblPr>
      <w:tblGrid>
        <w:gridCol w:w="1165"/>
        <w:gridCol w:w="1024"/>
        <w:gridCol w:w="1035"/>
        <w:gridCol w:w="109"/>
        <w:gridCol w:w="109"/>
        <w:gridCol w:w="109"/>
        <w:gridCol w:w="211"/>
        <w:gridCol w:w="481"/>
        <w:gridCol w:w="286"/>
        <w:gridCol w:w="109"/>
        <w:gridCol w:w="109"/>
        <w:gridCol w:w="109"/>
        <w:gridCol w:w="109"/>
        <w:gridCol w:w="109"/>
        <w:gridCol w:w="109"/>
        <w:gridCol w:w="211"/>
        <w:gridCol w:w="541"/>
        <w:gridCol w:w="286"/>
        <w:gridCol w:w="109"/>
        <w:gridCol w:w="109"/>
        <w:gridCol w:w="109"/>
        <w:gridCol w:w="109"/>
        <w:gridCol w:w="109"/>
        <w:gridCol w:w="109"/>
        <w:gridCol w:w="211"/>
        <w:gridCol w:w="481"/>
        <w:gridCol w:w="286"/>
        <w:gridCol w:w="109"/>
        <w:gridCol w:w="109"/>
        <w:gridCol w:w="109"/>
        <w:gridCol w:w="109"/>
        <w:gridCol w:w="109"/>
        <w:gridCol w:w="109"/>
        <w:gridCol w:w="211"/>
        <w:gridCol w:w="481"/>
        <w:gridCol w:w="286"/>
        <w:gridCol w:w="109"/>
        <w:gridCol w:w="109"/>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segment 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w:t>
            </w:r>
            <w:r>
              <w:rPr>
                <w:color w:val="000000"/>
              </w:rPr>
              <w:t> </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six months ended June 28, 2026, we recorded unfavorable profit adjustments of $125 million on the F-16 program at Aeronautics as a result of production performance and development delays, $95 million on the C-130 program at Aeronautics as a result of continued diminishing manufacturing source integration challenges and associated delivery delays, $95 million on Heavy Lift programs at RMS as a result of production performance, and $80 million on Seahawk programs at RMS as a result of production performance and schedule delays. During the quarter ended June 29, 2025, we recorded losses of $950 million on an ongoing classified program at Aeronautics, and $570 million on Canadian Maritime Helicopter Program (CMHP) and $95 million on Türkish Utility Helicopter Program (TUHP) at RMS. During the six months ended June 29, 2025, in addition to the losses above, we recorded $125 million of adjustments resulting from favorable performance upon completion on certain commercial civil space programs at Space and an $80 million favorable adjustment upon completion of a classified program at Aeronautics.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 However, some of our existing development programs are contracted on a fixed-price basis or include cost-type contracting for the development phase with fixed-price production options. Our customers continue to implement procurement strategies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in any period that they are recognized. Any such losses are recognized in the period in which the loss is evident.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Aeronautics Classified Program</w:t>
      </w:r>
    </w:p>
    <w:p>
      <w:pPr>
        <w:pStyle w:val="TextBody"/>
        <w:bidi w:val="0"/>
        <w:spacing w:lineRule="auto" w:line="276"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We have experienced significant performance issues on an existing classified program at our Aeronautics business segment. The initial phase is on a fixed-price incentive fee contract with fixed-price incentive fee options for additional phases. Phases within the program involve highly complex design and systems integration. As a result of performance issues with the program, Aeronautics completed a comprehensive review of its design, integration, test, and other processes to achieve the technical requirements of the program in the second quarter of 2025. The performance issues that occurred in 2025, and the comprehensive review completed in the second quarter of 2025, resulted in significant changes in the program’s processes and testing approach and led to an extension of the program’s schedule, which drove a substantial increase in cost estimates. As a result, during the second quarter of 2025, we recognized additional reach-forward losses of $950 million across both phases of the program. The primary drivers of the additional reach-forward losses recognized in the second quarter of 2025 included: (1) software development performance degradation and integration findings observed over a continued period; (2) learnings in recent software and build experience on another program specifically relevant to the program; (3) significant changes in test plan resulting from customer discussions and changes in test execution strategy; (4) safety-critical and other necessary design and engineering changes in response to certain observed performance degradation and a discrete event; and (5) complete schedule realignment, including as a result of items (1) through (4).</w:t>
      </w:r>
    </w:p>
    <w:p>
      <w:pPr>
        <w:pStyle w:val="TextBody"/>
        <w:bidi w:val="0"/>
        <w:spacing w:lineRule="auto" w:line="276"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As of June 28, 2026, cumulative losses recognized to date on this program remained at approximately $1.8 billion across both phases. As of June 28, 2026, $427 million of the losses remained accrued in other current liabilities on our consolidated balance sheets. We continue to proactively manage the technical requirements and our performance, the remaining work and any future changes in scope or schedule, and estimated costs to complete the program, including future phases. Due to the nature of the highly complex design and systems integration on this program, we may need to record additional losses in future periods if performance issues, increases in scope, or increases in cost from prior estimates indicate that further losses are evident. Our estimates may change, in particular, as we conduct further development and testing on the program, which may lead to new findings or cause us to modify our expectations or understandings of the risks inherent in the program. Any such losses could be material to our financial results in any period that they are recognized. We and our industry team will continue to incur advanced procurement costs (also referred to as pre-contract costs) to enhance our ability to achieve the schedule and certain milestones which could be significant. We will monitor the recoverability of pre-contract costs, which could be impacted by our assessment of the customer’s decision regarding the funding of future phases of the program.</w:t>
      </w:r>
    </w:p>
    <w:p>
      <w:pPr>
        <w:pStyle w:val="TextBody"/>
        <w:bidi w:val="0"/>
        <w:spacing w:lineRule="auto" w:line="276" w:before="200" w:after="200"/>
        <w:jc w:val="left"/>
        <w:rPr>
          <w:rFonts w:ascii="Arial;sans-serif" w:hAnsi="Arial;sans-serif"/>
          <w:b w:val="false"/>
          <w:color w:val="000000"/>
          <w:sz w:val="20"/>
        </w:rPr>
      </w:pPr>
      <w:r>
        <w:rPr>
          <w:rFonts w:ascii="Arial;sans-serif" w:hAnsi="Arial;sans-serif"/>
          <w:b w:val="false"/>
          <w:color w:val="000000"/>
          <w:sz w:val="20"/>
        </w:rPr>
        <w:t>MFC Classified Program</w:t>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Our MFC business segment has been performing under a competitively bid classified contract, which includes a cost-reimbursable base contract for the initial phase of the program and multiple fixed-price options for additional phases. We previously disclosed that the options may be exercised over the next several years and, if performed, we expect they would each be at a loss. Certain options have been exercised, and based upon performance to date, future requirements of the program, discussions with the customer, and anticipated customer funding, among other factors, we continue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believe it is probable that the remaining unexercised options will be exercised. As we perform on the cost-reimbursable base contract and the options, we continue to evaluate our estimates of cost necessary to complete the scope on the contract. Our estimates could change based on our performance, supplier negotiations and their performance, macroeconomic impacts, and discoveries made in the execution of these options or on the cost-reimbursable base contract. As of June 28, 2026, cumulative losses recognized on the program remained at approximately $1.5 billion in total, of which, $1.1 billion remained accrued in other current liabilities on our consolidated balance sheets. Any changes to our estimates or assumptions may result in additional losses and such losses could be material to our financial results in any period that they are recognized.</w:t>
      </w:r>
    </w:p>
    <w:p>
      <w:pPr>
        <w:pStyle w:val="TextBody"/>
        <w:bidi w:val="0"/>
        <w:spacing w:lineRule="auto" w:line="276" w:before="200" w:after="200"/>
        <w:jc w:val="left"/>
        <w:rPr>
          <w:rFonts w:ascii="Arial;sans-serif" w:hAnsi="Arial;sans-serif"/>
          <w:b w:val="false"/>
          <w:color w:val="000000"/>
          <w:sz w:val="20"/>
        </w:rPr>
      </w:pPr>
      <w:r>
        <w:rPr>
          <w:rFonts w:ascii="Arial;sans-serif" w:hAnsi="Arial;sans-serif"/>
          <w:b w:val="false"/>
          <w:color w:val="000000"/>
          <w:sz w:val="20"/>
        </w:rPr>
        <w:t>Canadian Maritime Helicopter Program</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RMS business segment has been performing the Canadian Maritime Helicopter Program (CMHP) under multiple contracts with the Canadian government. The program provides for design, development, and production of CH-148 aircraft (the Original Equipment contract), which is a military variant of the S-92 helicopter, and for logistical support to the fleet (the In Service Support contract) over an extended time period. In 2025, the final aircraft under the program was delivered to Canada and accepted. The program has experienced performance issues and we have previously recorded losses on the program. These losses included additional losses of $570 million recognized during the second quarter of 2025 as a result of revisions to our cost and sales estimate. We have been in discussions with the Canadian government to potentially restructure certain contractual terms and conditions that may be beneficial to both parties. As of June 28, 2026, cumulative losses recognized on the program remained at approximately $670 million, of which $365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remained accrued in other current liabilities on our consolidated balance sheet. Contract assets were approximately $585 million as of June 28, 2026. Any restructuring discussions may be prolonged or unsuccessful, and could result in a contract termination, and are dependent upon Canadian government resources and priorities and other factors outside of our control, such as trade relations with the United States. These items in addition to future performance issues or changes in our estimates, or dependencies on suppliers may affect our ability to recover our costs, including recovery of the contract assets recognized on our consolidated balance sheets and our assessment of the reach-forward loss, and potential damages, which could be material to our financial results in any period that they are recognized.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Türkish Utility Helicopter Program</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previously disclosed, sanctions imposed in 2020 by the U.S. Government on Turkey’s defense procurement agency (SSB) and certain persons affected our ability to perform under our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During the second quarter of 2025, we recognized a loss of $95 million in light of the status of restructuring discussions with our prime customer and the status of the TUHP. In the fourth quarter of 2025, we finalized an agreement with our prime contract customer to terminate the existing TUHP contracts and establish new contracts for a reduced scope of work, which became effective in January 2026. Our performance under the new contracts is subject to the receipt of U.S. export authorizations. We have obtained an amendment to our manufacturing license agreement and have now received the remaining licenses needed to support our obligations under the new contracts. With all required licenses in place, the risk of customer drawdown on letters of credit linked to obtaining these licenses has been eliminated. As of June 28, 2026, cumulative losses recognized to date on the program remained at approximately $130 million.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United Launch Alliance Investment</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We hold a 50% membership interest in United Launch Alliance (ULA), with The Boeing Company (Boeing) holding the other 50% interest. We account for this investment under the equity method, with $617 million and $551 million recorded in other noncurrent assets on our consolidated balance sheets at June 28, 2026 and December 31, 2025, respectively. During the first quarter of 2026, ULA’s Vulcan Centaur rocket experienced performance challenges that are negatively affecting ULA’s financial condition and results of operations. In the second quarter of 2026, we agreed to guarantee certain ULA borrowings under which maximum potential future payments amount to $500 million. The fair value of the guarantee obligation we recognized in the second quarter of 2026 amounts to $64 million and our investment in ULA has increased by a corresponding amount. We and Boeing expect to provide additional financial support to ULA to support its liquidity or ongoing operations and could incur impairment and operating losses if the Vulcan Centaur rocket does not perform consistent with ULA’s assumptions.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June 28, 2026, our ending backlog was $230.4 billion. The increase in backlog of $36.8 billion during the six months ended June 28, 2026 was primarily due to an undefinitized contractual action (UCA) awarded for the THAAD program at our MFC business segment. We expect to recognize approximately 30% of our backlog over the next 12 months and a total of approximately 50% over the next 24 months as revenue with the remainder recognized thereafter.</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76"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Our effective income tax rates were 15.7% and 15.9% for the quarter and six months ended June 28, 2026 and 18.0% and 16.3% for the quarter and six months ended June 29, 2025. The lower effective income tax rates for the quarter and six months ended June 28, 2026 were primarily attributable to lower interest expense on our uncertain tax position and the reach-forward losses recognized in 2025. The rates for all periods benefited from the tax deductions for foreign derived deduction eligible income, research and development tax credits, dividends paid to our defined contribution plans with an employee stock ownership plan feature and employee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f12c215813e4eed8dbce3e1b5d6d8e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11 - RECENT ACCOUNTING PRONOUNCEMENTS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September 2025, the Financial Accounting Standards Board (FASB) issued Accounting Standards Update (ASU) No. 2025-06, Intangibles – Goodwill and Other – Internal-Use Software (Subtopic 350-40): Targeted Improvements to the Accounting for Internal-Use Software. This guidance removes all references to project stages throughout FASB Accounting Standards Codification (ASC) Subtopic 350-40, Internal-Use Software and clarifies the threshold entities apply to begin capitalizing costs. Under the new standard, cost capitalization should only commence when an entity has committed to funding a software project and it is probable the project will be completed and the software will be used for its intended function. The amendments are effective for annual and interim reporting periods beginning January 1, 2028. Entities may apply the guidance using a prospective, retrospective or modified transition approach. Early adoption is permitted as of the beginning of an annual reporting period. We will adopt the ASU on its effective date of January 1, 2028.</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The ASU requires entities to disclose certain expenses, including purchases of inventory, employee compensation, depreciation, and intangible asset amortization, by caption. In addition, entities must provide a qualitative description of the amounts remaining in relevant expense captions that are not separately disaggregated quantitatively. The amendments are effective for annual reporting periods beginning January 1, 2027, and for interim reporting periods beginning after January 1, 2028. We are evaluating the impact of this ASU and expect the standard will only affect our disclosures and will not impact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 SUBSEQUENT EVENTS</w:t>
      </w:r>
    </w:p>
    <w:p>
      <w:pPr>
        <w:pStyle w:val="TextBody"/>
        <w:bidi w:val="0"/>
        <w:spacing w:lineRule="auto" w:line="268" w:before="200" w:after="200"/>
        <w:jc w:val="left"/>
        <w:rPr>
          <w:rFonts w:ascii="Arial;sans-serif" w:hAnsi="Arial;sans-serif"/>
          <w:b w:val="false"/>
          <w:color w:val="000000"/>
          <w:sz w:val="20"/>
        </w:rPr>
      </w:pPr>
      <w:r>
        <w:rPr>
          <w:rFonts w:ascii="Arial;sans-serif" w:hAnsi="Arial;sans-serif"/>
          <w:b w:val="false"/>
          <w:color w:val="000000"/>
          <w:sz w:val="20"/>
        </w:rPr>
        <w:t xml:space="preserve">On July 6, 2026, we announced that we entered into a definitive agreement to acquire Ultra Maritime Solutions (Ultra Maritime), a global defense company specializing in advanced undersea warfare and anti-submarine capabilities for allied naval forces, for $3.45 billion. We expect to fund the acquisition with cash on hand and additional financing arrangements. The transaction is subject to regulatory reviews and approvals and customary closing conditions, and is expected to close in the fourth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Lockheed Martin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Review of Interim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reviewed the accompanying consolidated balance sheet of Lockheed Martin Corporation (the Company) as of June 28, 2026, the related consolidated statements of earnings, comprehensive income and equity for the quarters and six months ended June 28, 2026 and June 29, 2025, the consolidated statements of cash flows for the six months ended June 28, 2026 and June 29, 2025,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previously audited, in accordance with the standards of the Public Company Accounting Oversight Board (United States) (PCAOB), the consolidated balance sheet of the Company as of December 31, 2025, the related consolidated statements of earnings, comprehensive income, cash flows and equity for the year then ended, and the related notes (not presented herein); and in our report dated January 29, 2026, we expressed an unqualified audit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for Review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Tysons, Virginia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July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to consolidated financial statements herein and with our Annual Report on Form 10-K for the year ended December 31, 2025 (2025 Form 10-K).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During the six months ended June 28, 2026, 70% of our $38.1 billion in sales were from the U.S. Government, either as a prime contractor or as a subcontractor (including 61% from U.S. Department of War (DoW), also known as the Department of Defense under 10 U.S.C. § 111(a)), and 30% were from international customers (including foreign military sales (FMS) contracted through the U.S. Government).</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Global Security</w:t>
      </w:r>
    </w:p>
    <w:p>
      <w:pPr>
        <w:pStyle w:val="TextBody"/>
        <w:bidi w:val="0"/>
        <w:spacing w:lineRule="auto" w:line="26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operate in a complex and evolving global security environment. Conflicts or tensions in areas such as the Middle East, Europe, and the Pacific region have heightened tensions and highlighted security requirements globally, including in these regions as well as the U.S. Although these tensions and conflicts may drive interest in specific products or services as countries seek to improve their security posture, our business primarily operates on a long-cycle basis. As a result, the U.S. Government has been broadly focused on increasing industry capacity to meet long-term demand. We are working with the U.S. Government, international partners, and our supply chain with the objective of increasing capacity and enhancing our ability to scale operations to anticipated demand. We expect these efforts will enable us to deliver critical capabilities and replenish depleted U.S. and allied stockpiles, although there can be no assurance that production capacity will increase at the rate or to the extent we or our customers expect due to supply chain constraints, workforce limitations, government funding decisions, and other factors described in our risk factors.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Global Economic and Geopolitical Environment</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Our business and financial performance are impacted by a combination of macroeconomic factors, such as inflationary pressures, impacts from technological change, and market volatility, as well as operational challenges, including supply chain delays and disruptions, and workforce challenges and labor shortfalls. These factors have contributed, and may continue to contribute, to increased costs, delays, disruptions and other performance challenges, as well as competing demands for limited resources to address such increased costs and other challenges, for our company, our suppliers and partners, and our customers.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experienced, and continue to experience, supply chain challenges, including supplier shortages and performance issues. Although on</w:t>
        <w:noBreakHyphen/>
        <w:t>time deliveries have generally been steady, pressures remain in certain areas, and we are proactively working with our suppliers to meet our contract commitments. In addition, macroeconomic conditions including elevated levels of inflation present risks for us, our suppliers and the stability of the broader defense industrial base. Supply chain challenges, including both the availability and cost of goods, may be further impacted due to the imposition of tariffs and the availability of raw materials including rare earth minerals. We continue to work to mitigate challenges caused by the supply chain or current macroeconomic environment on our business, including by deploying resources to work with our supply chain, securing materials and support by executing long-term contracts, enforcing existing contract terms, identifying alternative sources, collaborating with our customers to address industry-wide challenges, and optimizing our supply chain organization through digital transformation and workforce development. If we experience significant supply chain issues or high rates of inflation, and are unable to successfully mitigate the impact, our future profits, margins and cash flows, particularly for existing fixed-price contracts, may be adversely affected. We remain committed to our ongoing efforts to increase the efficiency of our operations and improve the cost competitiveness and affordability of our products and services, which may, in part, offset cost increases from inflation.</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Certain materials and component parts that go into making our products are imported into the U.S. and are subject to tariffs, sanctions, embargoes, export and import controls, and other trade restrictions. Changes in trade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including tariffs and other restrictions, may affect the cost or availability of certain materials and components. While we continue to monitor these developments and pursue mitigation strategies where appropriate, excluding the near-term cash flow impact, we do not currently expect existing tariffs to have a material long-term impact on our results of operations. Through the six months ended June 28, 2026, we have received approximately $140 million in refunds related to prior tariff assessments.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Significant changes in tax, trade, or other policies either in the U.S. or other countries, as well as any fluctuation in foreign exchange rates as a result of such activity, could materially increase our tax burden, the price we pay for materials and component parts, the price our customers pay, and result in delays in products received or non-delivery from our suppliers as well as impact the availability of materials (including rare earth minerals), which could materially impact our business and financial results.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 addition, recent government actions relating to rare earth minerals that are used in certain of our products have raised concerns about supply availability. We are monitoring the rare earth minerals supply chain and maintaining active engagement with our suppliers as the regulatory landscape evolves. If we are unable to successfully mitigate disruptions to the availability of rare earth minerals, our future profits, margins and cash flows may be adversely affected.</w:t>
      </w:r>
    </w:p>
    <w:p>
      <w:pPr>
        <w:pStyle w:val="TextBody"/>
        <w:bidi w:val="0"/>
        <w:spacing w:lineRule="auto" w:line="26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For additional risks to the company related to the geopolitical and economic environment, see Part I, Item 1A, “Risk Factors” of our 2025 Form 10-K.</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U.S. Government Budget Environment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primary customer is the U.S. Government, from which we derived 70% of our sales during the six months ended June 28, 2026, including 61% from the DoW. Funding for U.S. Government programs is subject to a variety of factors that can affect our business, including the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National Defense Authorization Act (NDAA) for FY 2026 was signed into law on December 18, 2025. This legislation authorizes $901 billion for national defense. On February 3, 2026, the President signed the Consolidated Appropriations Act, 2026, which provided $839.2 billion of discretionary funding for national defense through September 30, 2026, an increase of $8.4 billion over the President’s FY2026 Budget Request. Separately, the One Big Beautiful Bill Act (the Tax Act), signed into law on July 4, 2025, provides more than $150 billion of additional mandatory funding for Defense that is available through September 30, 2029.</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On April 3, 2026, the Administration released the FY 2027 Defense topline request. The FY 2027 proposal seeks a historic $1.5 trillion defense budget, driven by a large discretionary base request and an additional $350 billion of mandatory funding through reconciliation. It emphasizes a $760 billion weapons</w:t>
        <w:noBreakHyphen/>
        <w:t>procurement and modernization effort—highlighting commitment to munitions framework deals, Golden Dome missile defense, a major shipbuilding program, and an increase in F</w:t>
        <w:noBreakHyphen/>
        <w:t>35 purchases. The FY 2027 proposal is subject to Congressional appropriation, and there can be no assurance that it will be enacted at the levels proposed or that increases in authorized quantities will translate into increased orders for our programs within any particular timeframe.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Despite the Administration indicating their desire for a significant increase in defense spending in FY 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potentially taking action based on those assessments. Those actions remain uncertain and could result in impacts to both our current and future business prospects and financial performance.</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See also the discussion of U.S. Government funding risks, in Part I, Item 1A, “Risk Factors”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6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operating cycle is primarily long-term and involves many types of contracts for the design, development, manufacture, integration, and sustainment of products and related activities with varying delivery schedules. Additionally, we close our books and records on the last Sunday of each month, except for the month of December, as our fiscal year ends on December 31, to align our financial closing with our business processes. Because of this, the number of weeks in a reporting quarter may vary slightly during the year and for comparable prior year periods.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 </w:t>
      </w:r>
    </w:p>
    <w:p>
      <w:pPr>
        <w:pStyle w:val="TextBody"/>
        <w:bidi w:val="0"/>
        <w:spacing w:lineRule="auto" w:line="26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consolidated results of operations were as follows (in millions, except per share data): </w:t>
      </w:r>
    </w:p>
    <w:tbl>
      <w:tblPr>
        <w:tblW w:w="10140" w:type="dxa"/>
        <w:jc w:val="left"/>
        <w:tblInd w:w="0" w:type="dxa"/>
        <w:tblLayout w:type="fixed"/>
        <w:tblCellMar>
          <w:top w:w="28" w:type="dxa"/>
          <w:left w:w="28" w:type="dxa"/>
          <w:bottom w:w="28" w:type="dxa"/>
          <w:right w:w="28" w:type="dxa"/>
        </w:tblCellMar>
      </w:tblPr>
      <w:tblGrid>
        <w:gridCol w:w="1154"/>
        <w:gridCol w:w="1014"/>
        <w:gridCol w:w="1027"/>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Certain amounts reported in other income, net, including our share of earnings or losses from equity method investees, are included in the operating profit of our business segments. Accordingly, such amounts are included in the discussion of our business segment results of operations.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Sales and Operating Costs and Expenses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generate sales from the delivery of products and services to our customers. Substantially all of our contracts are accounted for using the percentage-of-completion cost-to-cost method. Under the percentage-of-completion cost-to-cost method, we record sales on contracts over time based upon our progress towards completion on a particular contract, generally using a cost-to-cost measure, as well as our estimate of the profit to be earned at completion.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Operating costs and expenses,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Except for potential impacts to our programs resulting from supply chain disruptions, inflation, and tariffs, we have not identified any additional developing trends in operating costs and expenses for products and services that could have a material impact on our future operations.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Our consolidated sales and operating costs and expenses were as follows (in millions):</w:t>
      </w:r>
    </w:p>
    <w:tbl>
      <w:tblPr>
        <w:tblW w:w="10137" w:type="dxa"/>
        <w:jc w:val="left"/>
        <w:tblInd w:w="0" w:type="dxa"/>
        <w:tblLayout w:type="fixed"/>
        <w:tblCellMar>
          <w:top w:w="28" w:type="dxa"/>
          <w:left w:w="28" w:type="dxa"/>
          <w:bottom w:w="28" w:type="dxa"/>
          <w:right w:w="28" w:type="dxa"/>
        </w:tblCellMar>
      </w:tblPr>
      <w:tblGrid>
        <w:gridCol w:w="1165"/>
        <w:gridCol w:w="1027"/>
        <w:gridCol w:w="1033"/>
        <w:gridCol w:w="109"/>
        <w:gridCol w:w="109"/>
        <w:gridCol w:w="109"/>
        <w:gridCol w:w="211"/>
        <w:gridCol w:w="811"/>
        <w:gridCol w:w="286"/>
        <w:gridCol w:w="109"/>
        <w:gridCol w:w="109"/>
        <w:gridCol w:w="109"/>
        <w:gridCol w:w="211"/>
        <w:gridCol w:w="811"/>
        <w:gridCol w:w="286"/>
        <w:gridCol w:w="109"/>
        <w:gridCol w:w="109"/>
        <w:gridCol w:w="109"/>
        <w:gridCol w:w="211"/>
        <w:gridCol w:w="811"/>
        <w:gridCol w:w="286"/>
        <w:gridCol w:w="109"/>
        <w:gridCol w:w="109"/>
        <w:gridCol w:w="109"/>
        <w:gridCol w:w="211"/>
        <w:gridCol w:w="811"/>
        <w:gridCol w:w="286"/>
        <w:gridCol w:w="109"/>
        <w:gridCol w:w="109"/>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total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total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(15,063)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service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(17,617)</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(33,560)</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(33,061)</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Product Sales and Costs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Product sales increased $1.6 billion, or 11%, during the quarter ended June 28, 2026, compared to the same period in 2025. This increase was due to higher product sales of approximately $650 million at Aeronautics (higher volume on F-35 production contracts and the sales impact of the 2025 reach-forward loss on a classified program); $635 million at MFC (production ramp-up on Patriot Advanced Capability-3 (PAC-3) and Terminal High Altitude Area Defense (THAAD) programs); $185 million at RMS (higher volume on undersea combat systems programs and the River Class Destroyer program and the sales impact of the 2025 reach-forward loss on the Türkish Utility Helicopter Program (TUHP) program); and $165 million at Space (higher volume on Fleet Ballistic Missile (FBM) and Next Generation Interceptor (NGI) programs).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Product costs increased $594 million, or 4%, during the quarter ended June 28, 2026, compared to the same period in 2025. Higher product costs of approximately $515 million at MFC, $165 million at RMS and $155 million at Space, partially offset by lower product costs of $240 million at Aeronautics. Product costs for all four business segments reflect the production ramp-up and higher volume as described above in “Product Sales”. Additionally, lower product costs at Aeronautics reflect the 2025 reach-forward loss on a classified program.</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Product sales during the six months ended June 28, 2026 increased $1.5 billion, or 5%, compared to the same period in 2025. This increase was due to higher product sales of approximately $940 million at MFC (production ramp-up on PAC-3 and THAAD programs); $405 million at Aeronautics (primarily higher volume on F-35 production contracts); and $320 million at Space (higher volume on FBM and NGI programs).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Product costs during the six months ended June 28, 2026 increased $708 million, or 3%, compared to the same period in 2025. Higher product costs of approximately of $765 million at MFC and $400 million at Space were partially offset by lower product costs of $380 million at Aeronautics. Product costs for MFC, Aeronautics and Space reflect the production ramp-up and higher volume as described above in “Product Sales”. Additionally, lower product costs at Aeronautics reflect the 2025 reach-forward loss on a classified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Service Sales and Costs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Service sales increased $274 million, or 9%, during the quarter ended June 28, 2026, compared to the same period in 2025 due to higher service sales of approximately $175 million at RMS (sales impact of the 2025 reach-forward loss on Canadian Maritime Helicopter Program (CMHP)); and $45 million at Aeronautics (higher volume on F-35 sustainment contracts, partially offset by lower volume on C-130 sustainment contracts).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Service costs decreased $268 million, or 9%, during the quarter ended June 28, 2026, compared to the same period in 2025 primarily attributable to lower service costs of approximately $410 million at RMS, partially offset by higher service costs of approximately $75 million at Aeronautics as described above in “Service Sales”.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Service sales during the six months ended June 28, 2026 increased $437 million, or 7%, compared to the same period in 2025. The increase was primarily attributable to higher service sales of approximately $180 million at Aeronautics (higher volume on the F-35 sustainment contracts, partially offset by the sales impact of lower net favorable profit adjustments on C-130 program); and $160 million at RMS (sales impact of the 2025 reach-forward loss on CMHP).</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Service costs during the six months ended June 28, 2026 decreased $124 million, or 2%, compared to the same period in 2025. The decrease was primarily attributable to lower service costs of $465 million at RMS, partially offset by higher service costs of approximately $210 million at Aeronautics as described above in “Service Sales”.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Impairment and Other Charges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second quarter of 2025, we recorded charges totaling $66 million ($52 million, or $0.22 per share, after-tax) primarily for the write-off of fixed assets resulting from the U.S. Air Force’s Next Generation Air Dominance (NGAD) competition and down-select decision.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Unallocated, Net</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Other unallocated, net primarily includes the FAS/CAS pension operating adjustment (which represents the difference between total CAS pension cost recorded in our business segments’ results of operations and the service cost component of FAS pension expense), stock-based compensation expense, changes in the fair value of assets and liabilities for deferred compensation plans, significant severance charges, significant asset impairments, intangible asset amortization expense, and other miscellaneous corporate activities. Other unallocated, net operating expenses were $308 million and $547 million during the quarter and six months ended June 28, 2026, compared to $244 million and $528 million during the quarter and six months ended June 29, 2025. The fluctuations in other unallocated, net were primarily due to changes in fair value of net assets and liabilities for deferred compensation plans and costs associated with various corporate items, none of which were individually significant.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Other income, net was $33 million and $18 million during the quarter and six months ended June 28, 2026, compared to $14 million and $63 million during the quarter and six months ended June 29, 2025. Other income, net, primarily includes earnings generated by equity method investees, as well as gains or losses for acquisitions, divestitures, and other items, none of which are individually significant.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Non-service FAS Pension Expense</w:t>
      </w:r>
    </w:p>
    <w:p>
      <w:pPr>
        <w:pStyle w:val="TextBody"/>
        <w:bidi w:val="0"/>
        <w:spacing w:before="0" w:after="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Non-service FAS pension expense was $80 million and $160 million during the quarter and six months ended June 28, 2026, compared to $99 million and $197 million during the quarter and six months ended June 29, 2025. See “Note 6 - Retirement Benefits” included in our Notes to Consolidated Financial Statements for additional information.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Non-operating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Other non-operating income, net primarily includes gains or losses related to adjustments in valuation of early-stage company investments or gains or losses upon the sale of these investments and interest income earned on cash and cash equivalents. Other non-operating income, net was $45 million and $105 million during the quarter and six months ended June 28, 2026, compared to $42 million and $72 million during the quarter and six months ended June 29, 2025. See “Note 8 - Fair Value Measurements” included in our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effective income tax rates were 15.7% and 15.9% for the quarter and six months ended June 28, 2026 and 18.0% and 16.3% for the quarter and six months ended June 29, 2025. The lower effective income tax rates for the quarter and six months ended June 28, 2026 were primarily attributable to lower interest expense on our uncertain tax position and the reach-forward losses recognized in 2025. The rates for all periods benefited from the tax deductions for foreign derived deduction eligible income, research and development tax credits, dividends paid to our defined contribution plans with an employee stock ownership plan feature and employee equity awards.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U.S. (federal or state) or foreign tax laws and regulations, or their interpretation and application (including those with retroactive effect),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retirement benefit obligations, actual cash contributions to our retirement benefit plans and the change in the amount or reevaluation of uncertain tax positions.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4, 2025, the President signed into law the One Big Beautiful Bill Act (the Tax Act). Key provisions included the permanent reinstatement of immediate expensing for domestic research expenditures, the restoration of full expensing for qualified machinery, equipment and other short-lived assets, and several modifications to existing corporate alternative minimum tax (CAMT) and international tax provisions. On February 18, 2026, the U.S. Department of Treasury issued Notice 2026-7 (the Notice) providing additional interim guidance regarding the application of the CAMT. As a result of the Tax Act and the Notice, we are no longer subject to CAMT this year and expect to make reduced federal income tax payments for 2026.</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are regularly under audit or examination by tax authorities, including U.S. and foreign tax authorities (Australia, Canada, India, Italy, Japan, Poland, the United Kingdom, and other countries). The final resolution of tax audits and any related administrative reviews or litigation could result in unanticipated increases in our tax expense and changes to the timing of tax payments, which could affect profitability and cash flows for any particular reporting period. These increases or changes could have a material impact on financial condition and results of operations in such period.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Earnings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We reported net earnings of $1.8 billion ($7.94 per share) and $3.3 billion ($14.38 per share) during the quarter and six months ended June 28, 2026 and $342 million ($1.46 per share) and $2.1 billion ($8.75 per share) during the quarter and six months ended June 29, 2025. Net earnings and earnings per share for the quarter and six months ended June 28, 2026 were affected by the factors mentioned above. Earnings per share also benefited from a net decrease of approximately 3.2 million and 3.7 million weighted average common shares outstanding during the the quarter and six months ended June 28, 2026, compared to the same periods in 2025. The reduction in weighted average common shares was a result of share repurchases in the second half of 2025, but none during the quarter and six months ended June 28, 2026, partially offset by share issuances under our stock-based awards and certain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BUSINESS SEGMENT RESULTS OF OPERATIONS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Business segment operating profit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See “Note 3 - Information on Business Segments – Unallocated Items” included in our Notes to Consolidated Financial Statements for additional information.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Sales and operating profit for each of our business segments were as follows (in millions):</w:t>
      </w:r>
    </w:p>
    <w:tbl>
      <w:tblPr>
        <w:tblW w:w="10205" w:type="dxa"/>
        <w:jc w:val="left"/>
        <w:tblInd w:w="0" w:type="dxa"/>
        <w:tblLayout w:type="fixed"/>
        <w:tblCellMar>
          <w:top w:w="28" w:type="dxa"/>
          <w:left w:w="28" w:type="dxa"/>
          <w:bottom w:w="28" w:type="dxa"/>
          <w:right w:w="28" w:type="dxa"/>
        </w:tblCellMar>
      </w:tblPr>
      <w:tblGrid>
        <w:gridCol w:w="1181"/>
        <w:gridCol w:w="1034"/>
        <w:gridCol w:w="1043"/>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09"/>
        <w:gridCol w:w="109"/>
        <w:gridCol w:w="109"/>
        <w:gridCol w:w="109"/>
        <w:gridCol w:w="211"/>
        <w:gridCol w:w="751"/>
        <w:gridCol w:w="109"/>
        <w:gridCol w:w="109"/>
        <w:gridCol w:w="109"/>
        <w:gridCol w:w="156"/>
      </w:tblGrid>
      <w:tr>
        <w:trPr/>
        <w:tc>
          <w:tcPr>
            <w:tcW w:w="118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2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2"/>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profit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Rotary and Mission Systems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Management evaluates performance on our contracts by focusing on sales and operating profit and not by type or amount of operating expense. Consequently, our discussion of business segment performance focuses on sales and operating profit, consistent with our approach for managing the business. This approach is consistent throughout the life cycle of our contracts, as management assesses the bidding of each contract by focusing on sales and operating profit and monitors performance on our contracts in a similar manner through their completion. This method and assumptions used to evaluate contracts and recognize revenue, including the use of percentage-of-completion accounting for contracts with continuous transfer of control to the customer, are consistent with those described in our 2025 Form 10-K under “Management’s Discussion and Analysis of Financial Condition and Results of Operations”. Additionally, for updates related to fixed-price contracts, see “Note 10 - Other” included in our Notes to Consolidated Financial Statements.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Changes in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 Contract mix primarily refers to changes in the ratio of contract type or life cycle (e.g., cost-type, fixed-price, development, production and/or sustainment) and other cost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Comparability of our segment sales, operating profit and operating margin may be impacted favorably or unfavorably by changes in profit booking rates on our contracts, see “Note 10 - Other” included in our Notes to Consolidated Financial Statements.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effect of our consolidated net profit booking rate adjustments on segment operating profit (in millions):</w:t>
      </w:r>
    </w:p>
    <w:tbl>
      <w:tblPr>
        <w:tblW w:w="10205" w:type="dxa"/>
        <w:jc w:val="left"/>
        <w:tblInd w:w="0" w:type="dxa"/>
        <w:tblLayout w:type="fixed"/>
        <w:tblCellMar>
          <w:top w:w="28" w:type="dxa"/>
          <w:left w:w="28" w:type="dxa"/>
          <w:bottom w:w="28" w:type="dxa"/>
          <w:right w:w="28" w:type="dxa"/>
        </w:tblCellMar>
      </w:tblPr>
      <w:tblGrid>
        <w:gridCol w:w="1475"/>
        <w:gridCol w:w="1293"/>
        <w:gridCol w:w="1298"/>
        <w:gridCol w:w="109"/>
        <w:gridCol w:w="109"/>
        <w:gridCol w:w="109"/>
        <w:gridCol w:w="211"/>
        <w:gridCol w:w="481"/>
        <w:gridCol w:w="109"/>
        <w:gridCol w:w="109"/>
        <w:gridCol w:w="109"/>
        <w:gridCol w:w="109"/>
        <w:gridCol w:w="109"/>
        <w:gridCol w:w="109"/>
        <w:gridCol w:w="109"/>
        <w:gridCol w:w="211"/>
        <w:gridCol w:w="699"/>
        <w:gridCol w:w="109"/>
        <w:gridCol w:w="109"/>
        <w:gridCol w:w="109"/>
        <w:gridCol w:w="109"/>
        <w:gridCol w:w="109"/>
        <w:gridCol w:w="109"/>
        <w:gridCol w:w="109"/>
        <w:gridCol w:w="211"/>
        <w:gridCol w:w="481"/>
        <w:gridCol w:w="109"/>
        <w:gridCol w:w="109"/>
        <w:gridCol w:w="109"/>
        <w:gridCol w:w="109"/>
        <w:gridCol w:w="109"/>
        <w:gridCol w:w="109"/>
        <w:gridCol w:w="109"/>
        <w:gridCol w:w="211"/>
        <w:gridCol w:w="534"/>
        <w:gridCol w:w="109"/>
        <w:gridCol w:w="109"/>
        <w:gridCol w:w="109"/>
        <w:gridCol w:w="157"/>
      </w:tblGrid>
      <w:tr>
        <w:trPr/>
        <w:tc>
          <w:tcPr>
            <w:tcW w:w="147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4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adjustments to segment operating profit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590</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28, 2026, we recorded unfavorable profit adjustments of $125 million on the F-16 program at Aeronautics as a result of production performance and development delays, $95 million on the C-130 program at Aeronautics as a result of continued diminishing manufacturing source integration challenges and associated delivery delays, $95 million on Heavy Lift programs at RMS as a result of production performance, and $80 million on Seahawk programs at RMS as a result of production performance and schedule delays. During the quarter ended June 29, 2025, we recorded losses of $950 million on an ongoing classified program at Aeronautics, and $570 million on Canadian Maritime Helicopter Program (CMHP) and $95 million on Türkish Utility Helicopter Program (TUHP) at RMS. During the six months ended June 29, 2025, in addition to the losses above, we recorded $125 million of adjustments resulting from favorable performance upon completion on certain commercial civil space programs at Space and an $80 million favorable adjustment upon completion of a classified program at Aeronautics.</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There are certain programs where there is a risk of additional losses, including Aeronautics, MFC and RMS business segments. For further discussion regarding the losses recognized on these programs, including factors that could contribute to potential future losses, see “Note 10 - Other” included in our Notes to Consolidated Financial Statements.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Aeronautics</w:t>
      </w:r>
    </w:p>
    <w:p>
      <w:pPr>
        <w:pStyle w:val="TextBody"/>
        <w:bidi w:val="0"/>
        <w:spacing w:lineRule="auto" w:line="268" w:before="200" w:after="283"/>
        <w:ind w:left="0" w:right="0" w:firstLine="495"/>
        <w:jc w:val="left"/>
        <w:rPr/>
      </w:pPr>
      <w:r>
        <w:rPr>
          <w:rFonts w:ascii="Arial;sans-serif" w:hAnsi="Arial;sans-serif"/>
          <w:b w:val="false"/>
          <w:color w:val="000000"/>
          <w:sz w:val="20"/>
          <w:shd w:fill="FFFFFF" w:val="clear"/>
        </w:rPr>
        <w:t>Summary</w:t>
      </w:r>
      <w:r>
        <w:rPr>
          <w:color w:val="000000"/>
        </w:rPr>
        <w:t xml:space="preserve"> </w:t>
      </w:r>
      <w:r>
        <w:rPr>
          <w:rFonts w:ascii="Arial;sans-serif" w:hAnsi="Arial;sans-serif"/>
          <w:b w:val="false"/>
          <w:color w:val="000000"/>
          <w:sz w:val="20"/>
        </w:rPr>
        <w:t>operating results for our Aeronautics business segment were as follows (in millions):</w:t>
      </w:r>
    </w:p>
    <w:tbl>
      <w:tblPr>
        <w:tblW w:w="9497" w:type="dxa"/>
        <w:jc w:val="left"/>
        <w:tblInd w:w="0" w:type="dxa"/>
        <w:tblLayout w:type="fixed"/>
        <w:tblCellMar>
          <w:top w:w="28" w:type="dxa"/>
          <w:left w:w="28" w:type="dxa"/>
          <w:bottom w:w="28" w:type="dxa"/>
          <w:right w:w="28" w:type="dxa"/>
        </w:tblCellMar>
      </w:tblPr>
      <w:tblGrid>
        <w:gridCol w:w="720"/>
        <w:gridCol w:w="633"/>
        <w:gridCol w:w="641"/>
        <w:gridCol w:w="109"/>
        <w:gridCol w:w="109"/>
        <w:gridCol w:w="109"/>
        <w:gridCol w:w="211"/>
        <w:gridCol w:w="646"/>
        <w:gridCol w:w="286"/>
        <w:gridCol w:w="109"/>
        <w:gridCol w:w="109"/>
        <w:gridCol w:w="109"/>
        <w:gridCol w:w="109"/>
        <w:gridCol w:w="109"/>
        <w:gridCol w:w="109"/>
        <w:gridCol w:w="211"/>
        <w:gridCol w:w="646"/>
        <w:gridCol w:w="346"/>
        <w:gridCol w:w="109"/>
        <w:gridCol w:w="109"/>
        <w:gridCol w:w="109"/>
        <w:gridCol w:w="109"/>
        <w:gridCol w:w="109"/>
        <w:gridCol w:w="109"/>
        <w:gridCol w:w="211"/>
        <w:gridCol w:w="751"/>
        <w:gridCol w:w="286"/>
        <w:gridCol w:w="109"/>
        <w:gridCol w:w="109"/>
        <w:gridCol w:w="109"/>
        <w:gridCol w:w="109"/>
        <w:gridCol w:w="109"/>
        <w:gridCol w:w="109"/>
        <w:gridCol w:w="211"/>
        <w:gridCol w:w="751"/>
        <w:gridCol w:w="286"/>
        <w:gridCol w:w="109"/>
        <w:gridCol w:w="109"/>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4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95"/>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Aeronautics’ sales during the quarter ended June 28, 2026 increased $692 million, or 9%, compared to the same period in 2025. The increase was primarily due to higher sales of $475 million on the F</w:t>
        <w:noBreakHyphen/>
        <w:t>35 program as a result of higher volume on production contracts, and $360 million due to the sales impact of the reach-forward loss recognized on a classified contract in 2025. These increases were partially offset by lower sales of $120 million on F-16 and C-130 programs due to lower volume on sustainment contracts.</w:t>
      </w:r>
    </w:p>
    <w:p>
      <w:pPr>
        <w:pStyle w:val="TextBody"/>
        <w:bidi w:val="0"/>
        <w:spacing w:lineRule="auto" w:line="268" w:before="200" w:after="200"/>
        <w:ind w:left="0" w:right="0" w:firstLine="495"/>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Aeronautics’ operating profit during the quarter ended June 28, 2026 increased $858 million compared to the same period in 2025. The increase was attributable to the $950 million reach-forward loss recognized on a classified contract in 2025, and higher sales volume on F-35 production contracts. The increases were partially offset by $160 million of lower net favorable profit adjustments across the portfolio.</w:t>
      </w:r>
    </w:p>
    <w:p>
      <w:pPr>
        <w:pStyle w:val="TextBody"/>
        <w:bidi w:val="0"/>
        <w:spacing w:lineRule="auto" w:line="268" w:before="200" w:after="283"/>
        <w:ind w:left="0" w:right="0" w:firstLine="495"/>
        <w:jc w:val="left"/>
        <w:rPr/>
      </w:pPr>
      <w:r>
        <w:rPr>
          <w:rFonts w:ascii="Arial;sans-serif" w:hAnsi="Arial;sans-serif"/>
          <w:b w:val="false"/>
          <w:color w:val="000000"/>
          <w:sz w:val="20"/>
          <w:shd w:fill="FFFFFF" w:val="clear"/>
        </w:rPr>
        <w:t xml:space="preserve">Aeronautics’ sales during the six months ended June 28, 2026 increased </w:t>
      </w:r>
      <w:r>
        <w:rPr>
          <w:rFonts w:ascii="Arial;sans-serif" w:hAnsi="Arial;sans-serif"/>
          <w:b w:val="false"/>
          <w:color w:val="000000"/>
          <w:sz w:val="20"/>
        </w:rPr>
        <w:t>$588 million</w:t>
      </w:r>
      <w:r>
        <w:rPr>
          <w:rFonts w:ascii="Arial;sans-serif" w:hAnsi="Arial;sans-serif"/>
          <w:b w:val="false"/>
          <w:color w:val="000000"/>
          <w:sz w:val="20"/>
          <w:shd w:fill="FFFFFF" w:val="clear"/>
        </w:rPr>
        <w:t>, or 4%, compared to the same period in 2025. The increase was primarily due to higher sales of $795 million on the F</w:t>
        <w:noBreakHyphen/>
        <w:t xml:space="preserve">35 program as a result of higher volume on production and sustainment contracts; partially offset by lower sales of $225 million on the F-16 program due to the sales impact of unfavorable profit adjustments recognized in first quarter of 2026 and lower production volume,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6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$110 million on the C-130 program due to the sales impact of lower net favorable profit adjustments. Sales for classified programs were comparable as lower volume was mostly offset by the reach-forward loss recognized on a classified contract in 2025.</w:t>
      </w:r>
    </w:p>
    <w:p>
      <w:pPr>
        <w:pStyle w:val="TextBody"/>
        <w:bidi w:val="0"/>
        <w:spacing w:lineRule="auto" w:line="268" w:before="200" w:after="283"/>
        <w:ind w:left="0" w:right="0" w:firstLine="495"/>
        <w:jc w:val="left"/>
        <w:rPr/>
      </w:pPr>
      <w:r>
        <w:rPr>
          <w:rFonts w:ascii="Arial;sans-serif" w:hAnsi="Arial;sans-serif"/>
          <w:b w:val="false"/>
          <w:color w:val="000000"/>
          <w:sz w:val="20"/>
          <w:shd w:fill="FFFFFF" w:val="clear"/>
        </w:rPr>
        <w:t>A</w:t>
      </w:r>
      <w:r>
        <w:rPr>
          <w:rFonts w:ascii="Arial;sans-serif" w:hAnsi="Arial;sans-serif"/>
          <w:b w:val="false"/>
          <w:color w:val="000000"/>
          <w:sz w:val="20"/>
        </w:rPr>
        <w:t>eronautics</w:t>
      </w:r>
      <w:r>
        <w:rPr>
          <w:color w:val="000000"/>
          <w:shd w:fill="FFFFFF" w:val="clear"/>
        </w:rPr>
        <w:t xml:space="preserve">’ </w:t>
      </w:r>
      <w:r>
        <w:rPr>
          <w:rFonts w:ascii="Arial;sans-serif" w:hAnsi="Arial;sans-serif"/>
          <w:b w:val="false"/>
          <w:color w:val="000000"/>
          <w:sz w:val="20"/>
          <w:shd w:fill="FFFFFF" w:val="clear"/>
        </w:rPr>
        <w:t>operating profit during the six months ended June 28, 2026 increased $757 million compared to the same period in 2025. The increase was attributable to the $950 million reach-forward loss recognized on a classified contract in 2025; partially offset by $125 million of unfavorable profit adjustments on the F-16 program recognized in first quarter of 2026 and $130 million of lower net favorable profit adjustments across the portfolio.</w:t>
      </w:r>
    </w:p>
    <w:p>
      <w:pPr>
        <w:pStyle w:val="TextBody"/>
        <w:bidi w:val="0"/>
        <w:spacing w:lineRule="auto" w:line="268" w:before="200" w:after="283"/>
        <w:ind w:left="0" w:right="0" w:firstLine="495"/>
        <w:jc w:val="left"/>
        <w:rPr/>
      </w:pPr>
      <w:r>
        <w:rPr>
          <w:rFonts w:ascii="Arial;sans-serif" w:hAnsi="Arial;sans-serif"/>
          <w:b w:val="false"/>
          <w:color w:val="000000"/>
          <w:sz w:val="20"/>
        </w:rPr>
        <w:t xml:space="preserve">Additionally, </w:t>
      </w:r>
      <w:r>
        <w:rPr>
          <w:rFonts w:ascii="Arial;sans-serif" w:hAnsi="Arial;sans-serif"/>
          <w:b w:val="false"/>
          <w:color w:val="000000"/>
          <w:sz w:val="20"/>
          <w:shd w:fill="FFFFFF" w:val="clear"/>
        </w:rPr>
        <w:t>during the quarter ended June 28, 2026</w:t>
      </w:r>
      <w:r>
        <w:rPr>
          <w:rFonts w:ascii="Arial;sans-serif" w:hAnsi="Arial;sans-serif"/>
          <w:b w:val="false"/>
          <w:color w:val="000000"/>
          <w:sz w:val="20"/>
        </w:rPr>
        <w:t>, we delivered 19 F-35 aircraft. Since the program inception through June 28, 2026, we delivered 1,344 production F-35 aircraft, including 956 F-35A variants, 250 F-35B variants and 138 F-35C variants, and our backlog as of that date was 317 aircraft.</w:t>
      </w:r>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Missiles and Fire Control</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Summary operating results for our MFC business segment were as follows (in millions):</w:t>
      </w:r>
    </w:p>
    <w:tbl>
      <w:tblPr>
        <w:tblW w:w="8837"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646"/>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14.5</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left"/>
        <w:rPr/>
      </w:pPr>
      <w:r>
        <w:rPr>
          <w:rFonts w:ascii="Arial;sans-serif" w:hAnsi="Arial;sans-serif"/>
          <w:b w:val="false"/>
          <w:color w:val="000000"/>
          <w:sz w:val="20"/>
        </w:rPr>
        <w:t xml:space="preserve">MFC’s sales </w:t>
      </w:r>
      <w:r>
        <w:rPr>
          <w:rFonts w:ascii="Arial;sans-serif" w:hAnsi="Arial;sans-serif"/>
          <w:b w:val="false"/>
          <w:color w:val="000000"/>
          <w:sz w:val="20"/>
          <w:shd w:fill="FFFFFF" w:val="clear"/>
        </w:rPr>
        <w:t>during the quarter ended</w:t>
      </w:r>
      <w:r>
        <w:rPr>
          <w:color w:val="000000"/>
        </w:rPr>
        <w:t xml:space="preserve"> </w:t>
      </w:r>
      <w:r>
        <w:rPr>
          <w:rFonts w:ascii="Arial;sans-serif" w:hAnsi="Arial;sans-serif"/>
          <w:b w:val="false"/>
          <w:color w:val="000000"/>
          <w:sz w:val="20"/>
        </w:rPr>
        <w:t xml:space="preserve">June 28, 2026 increased $668 million, or 19%, compared to the same period in 2025. </w:t>
      </w:r>
      <w:r>
        <w:rPr>
          <w:rFonts w:ascii="Arial;sans-serif" w:hAnsi="Arial;sans-serif"/>
          <w:b w:val="false"/>
          <w:color w:val="000000"/>
          <w:sz w:val="20"/>
          <w:shd w:fill="FFFFFF" w:val="clear"/>
        </w:rPr>
        <w:t>The increase was primarily attributable to higher sales of $560 million on integrated air and missile defense programs due to production ramps (PAC-3 and THAAD), and $100 million on tactical and strike missile programs due to production ramps (Precision Strike Missile (PrSM)).</w:t>
      </w:r>
    </w:p>
    <w:p>
      <w:pPr>
        <w:pStyle w:val="TextBody"/>
        <w:bidi w:val="0"/>
        <w:spacing w:lineRule="auto" w:line="268" w:before="200" w:after="200"/>
        <w:ind w:left="0" w:right="0" w:firstLine="450"/>
        <w:jc w:val="left"/>
        <w:rPr/>
      </w:pPr>
      <w:r>
        <w:rPr>
          <w:rFonts w:ascii="Arial;sans-serif" w:hAnsi="Arial;sans-serif"/>
          <w:b w:val="false"/>
          <w:color w:val="000000"/>
          <w:sz w:val="20"/>
        </w:rPr>
        <w:t xml:space="preserve">MFC’s operating profit </w:t>
      </w:r>
      <w:r>
        <w:rPr>
          <w:rFonts w:ascii="Arial;sans-serif" w:hAnsi="Arial;sans-serif"/>
          <w:b w:val="false"/>
          <w:color w:val="000000"/>
          <w:sz w:val="20"/>
          <w:shd w:fill="FFFFFF" w:val="clear"/>
        </w:rPr>
        <w:t>during the quarter ended June 28, 2026</w:t>
      </w:r>
      <w:r>
        <w:rPr>
          <w:color w:val="000000"/>
        </w:rPr>
        <w:t xml:space="preserve"> </w:t>
      </w:r>
      <w:r>
        <w:rPr>
          <w:rFonts w:ascii="Arial;sans-serif" w:hAnsi="Arial;sans-serif"/>
          <w:b w:val="false"/>
          <w:color w:val="000000"/>
          <w:sz w:val="20"/>
        </w:rPr>
        <w:t xml:space="preserve">increased $115 million, or 24%, compared to the same period in 2025. </w:t>
      </w:r>
      <w:r>
        <w:rPr>
          <w:rFonts w:ascii="Arial;sans-serif" w:hAnsi="Arial;sans-serif"/>
          <w:b w:val="false"/>
          <w:color w:val="000000"/>
          <w:sz w:val="20"/>
          <w:shd w:fill="FFFFFF" w:val="clear"/>
        </w:rPr>
        <w:t>The increase was primarily attributable to higher sales volume previously described, and $60 million due to higher net favorable profit adjustments.</w:t>
      </w:r>
    </w:p>
    <w:p>
      <w:pPr>
        <w:pStyle w:val="TextBody"/>
        <w:bidi w:val="0"/>
        <w:spacing w:lineRule="auto" w:line="288" w:before="200" w:after="200"/>
        <w:ind w:left="0" w:right="0" w:firstLine="450"/>
        <w:jc w:val="left"/>
        <w:rPr/>
      </w:pPr>
      <w:r>
        <w:rPr>
          <w:rFonts w:ascii="Arial;sans-serif" w:hAnsi="Arial;sans-serif"/>
          <w:b w:val="false"/>
          <w:color w:val="000000"/>
          <w:sz w:val="20"/>
        </w:rPr>
        <w:t xml:space="preserve">MFC’s sales during the six months ended June 28, 2026 increased $944 million, or 14%, compared to the same period in 2025. </w:t>
      </w:r>
      <w:r>
        <w:rPr>
          <w:rFonts w:ascii="Arial;sans-serif" w:hAnsi="Arial;sans-serif"/>
          <w:b w:val="false"/>
          <w:color w:val="000000"/>
          <w:sz w:val="20"/>
          <w:shd w:fill="FFFFFF" w:val="clear"/>
        </w:rPr>
        <w:t>The increase was primarily attributable to higher sales of $750 million on integrated air and missile defense programs due to production ramps (PAC-3 and THAAD), and $175 million on tactical and strike missile programs due to production ramps (PrSM).</w:t>
      </w:r>
    </w:p>
    <w:p>
      <w:pPr>
        <w:pStyle w:val="TextBody"/>
        <w:bidi w:val="0"/>
        <w:spacing w:lineRule="auto" w:line="288" w:before="200" w:after="200"/>
        <w:ind w:left="0" w:right="0" w:firstLine="450"/>
        <w:jc w:val="left"/>
        <w:rPr/>
      </w:pPr>
      <w:r>
        <w:rPr>
          <w:rFonts w:ascii="Arial;sans-serif" w:hAnsi="Arial;sans-serif"/>
          <w:b w:val="false"/>
          <w:color w:val="000000"/>
          <w:sz w:val="20"/>
        </w:rPr>
        <w:t xml:space="preserve">MFC’s operating profit during the six months ended June 28, 2026 increased $150 million, or 16%, compared to the same period in 2025. </w:t>
      </w:r>
      <w:r>
        <w:rPr>
          <w:rFonts w:ascii="Arial;sans-serif" w:hAnsi="Arial;sans-serif"/>
          <w:b w:val="false"/>
          <w:color w:val="000000"/>
          <w:sz w:val="20"/>
          <w:shd w:fill="FFFFFF" w:val="clear"/>
        </w:rPr>
        <w:t>The increase was primarily attributable to higher sales volume previously described, and $65 million due to higher net favorable profit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Rotary and Mission Systems</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Summary operating results for our RMS business segment were as follows (in millions):</w:t>
      </w:r>
    </w:p>
    <w:tbl>
      <w:tblPr>
        <w:tblW w:w="9287" w:type="dxa"/>
        <w:jc w:val="left"/>
        <w:tblInd w:w="0" w:type="dxa"/>
        <w:tblLayout w:type="fixed"/>
        <w:tblCellMar>
          <w:top w:w="28" w:type="dxa"/>
          <w:left w:w="28" w:type="dxa"/>
          <w:bottom w:w="28" w:type="dxa"/>
          <w:right w:w="28" w:type="dxa"/>
        </w:tblCellMar>
      </w:tblPr>
      <w:tblGrid>
        <w:gridCol w:w="720"/>
        <w:gridCol w:w="633"/>
        <w:gridCol w:w="641"/>
        <w:gridCol w:w="109"/>
        <w:gridCol w:w="109"/>
        <w:gridCol w:w="109"/>
        <w:gridCol w:w="211"/>
        <w:gridCol w:w="646"/>
        <w:gridCol w:w="286"/>
        <w:gridCol w:w="109"/>
        <w:gridCol w:w="109"/>
        <w:gridCol w:w="109"/>
        <w:gridCol w:w="109"/>
        <w:gridCol w:w="109"/>
        <w:gridCol w:w="109"/>
        <w:gridCol w:w="211"/>
        <w:gridCol w:w="646"/>
        <w:gridCol w:w="346"/>
        <w:gridCol w:w="109"/>
        <w:gridCol w:w="109"/>
        <w:gridCol w:w="109"/>
        <w:gridCol w:w="109"/>
        <w:gridCol w:w="109"/>
        <w:gridCol w:w="109"/>
        <w:gridCol w:w="211"/>
        <w:gridCol w:w="646"/>
        <w:gridCol w:w="286"/>
        <w:gridCol w:w="109"/>
        <w:gridCol w:w="109"/>
        <w:gridCol w:w="109"/>
        <w:gridCol w:w="109"/>
        <w:gridCol w:w="109"/>
        <w:gridCol w:w="109"/>
        <w:gridCol w:w="211"/>
        <w:gridCol w:w="646"/>
        <w:gridCol w:w="286"/>
        <w:gridCol w:w="109"/>
        <w:gridCol w:w="109"/>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8,345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4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left"/>
        <w:rPr/>
      </w:pPr>
      <w:r>
        <w:rPr>
          <w:rFonts w:ascii="Arial;sans-serif" w:hAnsi="Arial;sans-serif"/>
          <w:b w:val="false"/>
          <w:color w:val="000000"/>
          <w:sz w:val="20"/>
        </w:rPr>
        <w:t xml:space="preserve">RMS’ sales </w:t>
      </w:r>
      <w:r>
        <w:rPr>
          <w:rFonts w:ascii="Arial;sans-serif" w:hAnsi="Arial;sans-serif"/>
          <w:b w:val="false"/>
          <w:color w:val="000000"/>
          <w:sz w:val="20"/>
          <w:shd w:fill="FFFFFF" w:val="clear"/>
        </w:rPr>
        <w:t xml:space="preserve">during the quarter ended </w:t>
      </w:r>
      <w:r>
        <w:rPr>
          <w:rFonts w:ascii="Arial;sans-serif" w:hAnsi="Arial;sans-serif"/>
          <w:b w:val="false"/>
          <w:color w:val="000000"/>
          <w:sz w:val="20"/>
        </w:rPr>
        <w:t>June 28, 2026 increased $359 million, or 9%, compared to the same period in 2025. The increase was attributable to higher sales of $255 million on Sikorsky helicopter programs due to the sales impact of the reach-forward loss recognized on CMHP and TUHP in 2025, and $115 million on Mission Integrated Command &amp; Control (MIC2) programs due to higher volume on undersea combat systems programs and the River Class Destroyer program.</w:t>
      </w:r>
    </w:p>
    <w:p>
      <w:pPr>
        <w:pStyle w:val="TextBody"/>
        <w:bidi w:val="0"/>
        <w:spacing w:lineRule="auto" w:line="268" w:before="200" w:after="200"/>
        <w:ind w:left="0" w:right="0" w:firstLine="450"/>
        <w:jc w:val="left"/>
        <w:rPr/>
      </w:pPr>
      <w:r>
        <w:rPr>
          <w:rFonts w:ascii="Arial;sans-serif" w:hAnsi="Arial;sans-serif"/>
          <w:b w:val="false"/>
          <w:color w:val="000000"/>
          <w:sz w:val="20"/>
        </w:rPr>
        <w:t xml:space="preserve">RMS’ operating profit </w:t>
      </w:r>
      <w:r>
        <w:rPr>
          <w:rFonts w:ascii="Arial;sans-serif" w:hAnsi="Arial;sans-serif"/>
          <w:b w:val="false"/>
          <w:color w:val="000000"/>
          <w:sz w:val="20"/>
          <w:shd w:fill="FFFFFF" w:val="clear"/>
        </w:rPr>
        <w:t xml:space="preserve">during the quarter ended </w:t>
      </w:r>
      <w:r>
        <w:rPr>
          <w:rFonts w:ascii="Arial;sans-serif" w:hAnsi="Arial;sans-serif"/>
          <w:b w:val="false"/>
          <w:color w:val="000000"/>
          <w:sz w:val="20"/>
        </w:rPr>
        <w:t>June 28, 2026 increased $609 million compared to the same period in 2025. The increase was attributable to the $570 million reach-forward loss recognized on the CMHP program and the $95 million reach-forward loss recognized on the TUHP program in 2025. This increase was offset by unfavorable profit adjustments of $65 million on Heavy Lift and $50 million on Seahawk programs, partially offset by higher net favorable profit adjustments across the portfolio.</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RMS’ sales during the six months ended June 28, 2026 were comparable to the same period in 2025. Lower sales of $160 million on Sensors, Effectors &amp; Mission Systems (SEMS) programs due to lower volume across the portfolio were mostly offset by higher sales of $145 million at Sikorsky. Higher sales at Sikorsky were due to the sales impact of the reach-forward losses recognized on CMHP and TUHP in 2025, partially offset by the sales impact of unfavorable profit adjustments recognized in 2026.</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RMS’ operating profit during the six months ended June 28, 2026 increased $511 million compared to the same period in 2025. The increase was attributable to the $570 million reach-forward loss recognized on the CMHP program and the $95 million reach-forward loss recognized on TUHP in 2025, partially offset by unfavorable profit adjustments of $95 million on Heavy Lift and $80 million on Seahawk programs in 2026.</w:t>
      </w:r>
    </w:p>
    <w:p>
      <w:pPr>
        <w:pStyle w:val="TextBody"/>
        <w:bidi w:val="0"/>
        <w:spacing w:lineRule="auto" w:line="268" w:before="200" w:after="200"/>
        <w:jc w:val="left"/>
        <w:rPr>
          <w:rFonts w:ascii="Arial;sans-serif" w:hAnsi="Arial;sans-serif"/>
          <w:b/>
          <w:color w:val="000000"/>
          <w:sz w:val="20"/>
        </w:rPr>
      </w:pPr>
      <w:r>
        <w:rPr>
          <w:rFonts w:ascii="Arial;sans-serif" w:hAnsi="Arial;sans-serif"/>
          <w:b/>
          <w:color w:val="000000"/>
          <w:sz w:val="20"/>
        </w:rPr>
        <w:t>Space</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Summary operating results for our Space business segment were as follows (in millions):</w:t>
      </w:r>
    </w:p>
    <w:tbl>
      <w:tblPr>
        <w:tblW w:w="8837"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646"/>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6,924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left"/>
        <w:rPr/>
      </w:pPr>
      <w:r>
        <w:rPr>
          <w:rFonts w:ascii="Arial;sans-serif" w:hAnsi="Arial;sans-serif"/>
          <w:b w:val="false"/>
          <w:color w:val="000000"/>
          <w:sz w:val="20"/>
        </w:rPr>
        <w:t>Space’s s</w:t>
      </w:r>
      <w:r>
        <w:rPr>
          <w:rFonts w:ascii="Arial;sans-serif" w:hAnsi="Arial;sans-serif"/>
          <w:b w:val="false"/>
          <w:color w:val="000000"/>
          <w:sz w:val="22"/>
          <w:shd w:fill="FFFFFF" w:val="clear"/>
        </w:rPr>
        <w:t>a</w:t>
      </w:r>
      <w:r>
        <w:rPr>
          <w:rFonts w:ascii="Arial;sans-serif" w:hAnsi="Arial;sans-serif"/>
          <w:b w:val="false"/>
          <w:color w:val="000000"/>
          <w:sz w:val="20"/>
        </w:rPr>
        <w:t xml:space="preserve">les </w:t>
      </w:r>
      <w:r>
        <w:rPr>
          <w:rFonts w:ascii="Arial;sans-serif" w:hAnsi="Arial;sans-serif"/>
          <w:b w:val="false"/>
          <w:color w:val="000000"/>
          <w:sz w:val="20"/>
          <w:shd w:fill="FFFFFF" w:val="clear"/>
        </w:rPr>
        <w:t xml:space="preserve">during the quarter ended </w:t>
      </w:r>
      <w:r>
        <w:rPr>
          <w:rFonts w:ascii="Arial;sans-serif" w:hAnsi="Arial;sans-serif"/>
          <w:b w:val="false"/>
          <w:color w:val="000000"/>
          <w:sz w:val="20"/>
        </w:rPr>
        <w:t>June 28, 2026 increased $189 million, or 6%, compared to the same period in 2025. The increase was primarily attributable to higher sales of $190 million on strategic and missile defense programs due to increased volume (FBM and NGI).</w:t>
      </w:r>
    </w:p>
    <w:p>
      <w:pPr>
        <w:pStyle w:val="TextBody"/>
        <w:bidi w:val="0"/>
        <w:spacing w:lineRule="auto" w:line="288" w:before="200" w:after="200"/>
        <w:ind w:left="0" w:right="0" w:firstLine="450"/>
        <w:jc w:val="left"/>
        <w:rPr/>
      </w:pPr>
      <w:r>
        <w:rPr>
          <w:rFonts w:ascii="Arial;sans-serif" w:hAnsi="Arial;sans-serif"/>
          <w:b w:val="false"/>
          <w:color w:val="000000"/>
          <w:sz w:val="20"/>
        </w:rPr>
        <w:t xml:space="preserve">Space’s operating profit </w:t>
      </w:r>
      <w:r>
        <w:rPr>
          <w:rFonts w:ascii="Arial;sans-serif" w:hAnsi="Arial;sans-serif"/>
          <w:b w:val="false"/>
          <w:color w:val="000000"/>
          <w:sz w:val="20"/>
          <w:shd w:fill="FFFFFF" w:val="clear"/>
        </w:rPr>
        <w:t>during the quarter ended</w:t>
      </w:r>
      <w:r>
        <w:rPr>
          <w:color w:val="000000"/>
        </w:rPr>
        <w:t xml:space="preserve"> </w:t>
      </w:r>
      <w:r>
        <w:rPr>
          <w:rFonts w:ascii="Arial;sans-serif" w:hAnsi="Arial;sans-serif"/>
          <w:b w:val="false"/>
          <w:color w:val="000000"/>
          <w:sz w:val="20"/>
        </w:rPr>
        <w:t xml:space="preserve">June 28, 2026 was comparable to the same period in 2025.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Space’s sales during the six months ended June 28, 2026 increased $412 million, or 6%, compared to the same period in 2025. The increase was primarily attributable to higher sales of $435 million on strategic and missile defense programs due to increased volume (FBM and NGI).</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Space’s operating profit during the six months ended June 28, 2026 decreased $89 million, or 12%, compared to the same period in 2025. The decrease was primarily due to favorable performance at completion on certain commercial civil space programs in 2025, partially offset by higher sales volume previously described.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FINANCIAL CONDITION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At June 28, 2026, we had cash and cash equivalents of $3.8 billion that was generally available to fund ordinary business operations without significant legal, regulatory or other restrictions. Our principal source of liquidity is our cash from operations and access to credit markets. Access to credit markets includes our revolving credit facilities, and the ability to issue commercial paper. We may, as conditions warrant, issue commercial paper backed by our revolving credit facility to manage the timing of cash flows. There were no borrowings outstanding under the revolving credit facilities or the commercial paper program at June 28, 2026 or December 31, 2025.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Cash received from customers is our primary source of cash from operations. However, from time to time, we fund customer programs ourselves pending government appropriations or prior to contract award. See “Note 5 - Inventories” included in our Notes to Consolidated Financial Statements for additional information. If we incur costs in excess of funds obligated on the contract or in advance of a contract award, this negatively affects our cash flows, and we may be at risk for reimbursement of the excess costs. In addition, when estimates of total costs to be incurred on a contract exceed total estimates of the transaction price, a provision for the entire loss is determined at the contract level and is recorded in the period in which the loss is evident, which we refer to as a reach-forward loss. Typically, these reach-forward losses do not have an immediate cash flow impact, but as future costs are incurred on these contracts, these losses will negatively impact cash flows over the remaining period of performance.</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Increases in costs due to tariffs may impact our cash flows, as we may not be able to fully recover these costs, and even if recovery is possible, it may not occur in the same period as the incurred costs. See “Business Overview” discussion above.</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Billing timetables and payment terms on our contracts vary based on a number of factors, including the contract type. We generally bill and collect cash more frequently under cost-reimbursable contracts, which represented approximately 41% of the sales we recorded during the six months ended June 28, 2026, as we are authorized to bill as the costs are incurred. A number of our fixed-price contracts may provide for performance-based payments, which allow us to bill and collect cash as we perform on the contract as we achieve milestones. The amounts of performance-based payments and the related milestones are determined in the negotiation of each contract. The timing of such payments may differ from the timing of the costs incurred related to our contract performance, thereby affecting our cash flows.</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due to these items.</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We seek to maintain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As we implement our digital and business transformation, which includes implementation of new systems, the timing of certain of our cash flows may be temporarily impacted within a calendar year.</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We continue to actively manage our debt levels, including maturities and interest rates. We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or arrangements for our cash and operational needs.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also actively manage our pension obligations and expect to continue to opportunistically manage our pension obligations through additional contributions at our discretion, the purchase of group annuity contracts or other actions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portions of our outstanding defined benefit pension obligations using assets from the pension trust. See “Note 6 - Retirement Benefits” included in our Notes to Consolidated Financial Statements for additional information.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provides a summary of our cash flow information followed by a discussion of the key elements (in millions):</w:t>
      </w:r>
    </w:p>
    <w:tbl>
      <w:tblPr>
        <w:tblW w:w="7529" w:type="dxa"/>
        <w:jc w:val="left"/>
        <w:tblInd w:w="0" w:type="dxa"/>
        <w:tblLayout w:type="fixed"/>
        <w:tblCellMar>
          <w:top w:w="28" w:type="dxa"/>
          <w:left w:w="28" w:type="dxa"/>
          <w:bottom w:w="28" w:type="dxa"/>
          <w:right w:w="28" w:type="dxa"/>
        </w:tblCellMar>
      </w:tblPr>
      <w:tblGrid>
        <w:gridCol w:w="1536"/>
        <w:gridCol w:w="1352"/>
        <w:gridCol w:w="1356"/>
        <w:gridCol w:w="109"/>
        <w:gridCol w:w="109"/>
        <w:gridCol w:w="109"/>
        <w:gridCol w:w="211"/>
        <w:gridCol w:w="646"/>
        <w:gridCol w:w="109"/>
        <w:gridCol w:w="109"/>
        <w:gridCol w:w="109"/>
        <w:gridCol w:w="109"/>
        <w:gridCol w:w="109"/>
        <w:gridCol w:w="109"/>
        <w:gridCol w:w="109"/>
        <w:gridCol w:w="211"/>
        <w:gridCol w:w="646"/>
        <w:gridCol w:w="109"/>
        <w:gridCol w:w="109"/>
        <w:gridCol w:w="109"/>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4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during the six months ended June 28, 2026 increased $1.8 billion compared to the same period in 2025. The increase in cash from operations was primarily due to the timing of customer receipts, and lower tax payments reflecting the impact of the Tax Act and the Notice.</w:t>
      </w:r>
    </w:p>
    <w:p>
      <w:pPr>
        <w:pStyle w:val="TextBody"/>
        <w:bidi w:val="0"/>
        <w:spacing w:lineRule="auto" w:line="288" w:before="200" w:after="283"/>
        <w:jc w:val="left"/>
        <w:rPr/>
      </w:pPr>
      <w:r>
        <w:rPr>
          <w:rFonts w:ascii="Arial;sans-serif" w:hAnsi="Arial;sans-serif"/>
          <w:b w:val="false"/>
          <w:color w:val="000000"/>
          <w:sz w:val="20"/>
        </w:rPr>
        <w:t xml:space="preserve">Non-GAAP Financial Measure - Free Cash </w:t>
      </w:r>
      <w:r>
        <w:rPr>
          <w:rFonts w:ascii="Arial;sans-serif" w:hAnsi="Arial;sans-serif"/>
          <w:b w:val="false"/>
          <w:color w:val="000000"/>
          <w:sz w:val="20"/>
          <w:shd w:fill="FFFFFF" w:val="clear"/>
        </w:rPr>
        <w:t>Flow</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reconciles net cash provided by operating activities to free cash flow (in millions):</w:t>
      </w:r>
    </w:p>
    <w:tbl>
      <w:tblPr>
        <w:tblW w:w="5264"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211"/>
        <w:gridCol w:w="646"/>
        <w:gridCol w:w="109"/>
        <w:gridCol w:w="109"/>
        <w:gridCol w:w="109"/>
        <w:gridCol w:w="109"/>
        <w:gridCol w:w="109"/>
        <w:gridCol w:w="109"/>
        <w:gridCol w:w="109"/>
        <w:gridCol w:w="211"/>
        <w:gridCol w:w="646"/>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2,626</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left"/>
        <w:rPr/>
      </w:pPr>
      <w:r>
        <w:rPr>
          <w:rFonts w:ascii="Arial;sans-serif" w:hAnsi="Arial;sans-serif"/>
          <w:b w:val="false"/>
          <w:color w:val="000000"/>
          <w:sz w:val="20"/>
        </w:rPr>
        <w:t xml:space="preserve">Free cash flow </w:t>
      </w:r>
      <w:r>
        <w:rPr>
          <w:rFonts w:ascii="Arial;sans-serif" w:hAnsi="Arial;sans-serif"/>
          <w:b w:val="false"/>
          <w:color w:val="000000"/>
          <w:sz w:val="20"/>
          <w:shd w:fill="FFFFFF" w:val="clear"/>
        </w:rPr>
        <w:t>d</w:t>
      </w:r>
      <w:r>
        <w:rPr>
          <w:rFonts w:ascii="Arial;sans-serif" w:hAnsi="Arial;sans-serif"/>
          <w:b w:val="false"/>
          <w:color w:val="000000"/>
          <w:sz w:val="20"/>
        </w:rPr>
        <w:t>uring the six months ended June 28, 2026 increased $1.8 billion compared to the same period in 2025 primarily due to operating cash flow drivers described above.</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00" w:after="283"/>
        <w:ind w:left="0" w:right="0" w:firstLine="495"/>
        <w:jc w:val="left"/>
        <w:rPr/>
      </w:pPr>
      <w:r>
        <w:rPr>
          <w:rFonts w:ascii="Arial;sans-serif" w:hAnsi="Arial;sans-serif"/>
          <w:b w:val="false"/>
          <w:color w:val="000000"/>
          <w:sz w:val="20"/>
        </w:rPr>
        <w:t xml:space="preserve">Net cash used for investing activities </w:t>
      </w:r>
      <w:r>
        <w:rPr>
          <w:rFonts w:ascii="Arial;sans-serif" w:hAnsi="Arial;sans-serif"/>
          <w:b w:val="false"/>
          <w:color w:val="000000"/>
          <w:sz w:val="20"/>
          <w:shd w:fill="FFFFFF" w:val="clear"/>
        </w:rPr>
        <w:t>duri</w:t>
      </w:r>
      <w:r>
        <w:rPr>
          <w:rFonts w:ascii="Arial;sans-serif" w:hAnsi="Arial;sans-serif"/>
          <w:b w:val="false"/>
          <w:color w:val="000000"/>
          <w:sz w:val="20"/>
        </w:rPr>
        <w:t>ng the six months ended June 28, 2026 decreased $255 million compared to the same period in 2025. Capital expenditures totaled $829 million and $805 million during the six months ended June 28, 2026 and June 29, 2025. The majority of our capital expenditures are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00" w:after="283"/>
        <w:ind w:left="0" w:right="0" w:firstLine="495"/>
        <w:jc w:val="left"/>
        <w:rPr/>
      </w:pPr>
      <w:r>
        <w:rPr>
          <w:rFonts w:ascii="Arial;sans-serif" w:hAnsi="Arial;sans-serif"/>
          <w:b w:val="false"/>
          <w:color w:val="000000"/>
          <w:sz w:val="20"/>
        </w:rPr>
        <w:t xml:space="preserve">Net cash used for financing activities </w:t>
      </w:r>
      <w:r>
        <w:rPr>
          <w:rFonts w:ascii="Arial;sans-serif" w:hAnsi="Arial;sans-serif"/>
          <w:b w:val="false"/>
          <w:color w:val="000000"/>
          <w:sz w:val="20"/>
          <w:shd w:fill="FFFFFF" w:val="clear"/>
        </w:rPr>
        <w:t>during t</w:t>
      </w:r>
      <w:r>
        <w:rPr>
          <w:rFonts w:ascii="Arial;sans-serif" w:hAnsi="Arial;sans-serif"/>
          <w:b w:val="false"/>
          <w:color w:val="000000"/>
          <w:sz w:val="20"/>
        </w:rPr>
        <w:t>he six months ended June 28, 2026 increased $1.2 billion compared to the same period in 2025. D</w:t>
      </w:r>
      <w:r>
        <w:rPr>
          <w:rFonts w:ascii="Arial;sans-serif" w:hAnsi="Arial;sans-serif"/>
          <w:b w:val="false"/>
          <w:color w:val="000000"/>
          <w:sz w:val="20"/>
          <w:shd w:fill="FFFFFF" w:val="clear"/>
        </w:rPr>
        <w:t>uri</w:t>
      </w:r>
      <w:r>
        <w:rPr>
          <w:rFonts w:ascii="Arial;sans-serif" w:hAnsi="Arial;sans-serif"/>
          <w:b w:val="false"/>
          <w:color w:val="000000"/>
          <w:sz w:val="20"/>
        </w:rPr>
        <w:t>ng the six months ended June 28, 2026, we did not make any repurchase of our common stock, compared to $1.3 billion to repurchase 2.7 million shares during the same period in 2025. Also, d</w:t>
      </w:r>
      <w:r>
        <w:rPr>
          <w:rFonts w:ascii="Arial;sans-serif" w:hAnsi="Arial;sans-serif"/>
          <w:b w:val="false"/>
          <w:color w:val="000000"/>
          <w:sz w:val="20"/>
          <w:shd w:fill="FFFFFF" w:val="clear"/>
        </w:rPr>
        <w:t>uri</w:t>
      </w:r>
      <w:r>
        <w:rPr>
          <w:rFonts w:ascii="Arial;sans-serif" w:hAnsi="Arial;sans-serif"/>
          <w:b w:val="false"/>
          <w:color w:val="000000"/>
          <w:sz w:val="20"/>
        </w:rPr>
        <w:t xml:space="preserve">ng the six months ended June 28, 2026 and June 29, 2025, we repaid $1.2 billion and $142 million of long-term notes according to their scheduled maturities. Additionally, there were no commercial paper borrowings outstanding as of June 28, 2026, compared to net proceeds of $1.4 billion from commercial paper issuance during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Accounting Policies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There have been no significant changes to the critical accounting policies disclosed in Part II, Item 7, “Management’s Discussion and Analysis of Financial Condition and Results of Operations”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As disclosed in Part II, Item 7A, “Quantitative and Qualitative Disclosures About Market Risk” of our 2025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2025. See “Note 8 - Fair Value Measurements” included in our Notes to Consolidated Financial Statements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We performed an evaluation of the effectiveness of our disclosure controls and procedures as of June 28, 2026.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June 28, 2026.</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This Form 10-Q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reliance on contracts with the U.S. Government, which are dependent on U.S. Government funding and can be terminated for convenience, and our ability to negotiate favorable contract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budget uncertainty, the risk of future budget cuts, the impact of continuing resolution funding mechanisms, the debt ceiling and government shutdowns, and changing funding and acquisition priorities;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risks related to the development, production, sustainment, performance, schedule, cost and requirements of complex and technologically advanced programs, including the F-35 program;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of contract awards or contract definitization, decisions by government customers to impose contract terms following undefinitized contract actions, achievement of performance milestones, customer acceptance of product deliveries, and receipt of customer payments;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recover costs under U.S. Government contracts, the mix of fixed-price and cost-reimbursable contracts and the risks inherent in preparing estimates for fixed-price contracts (particularly for complex and technologically advanced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procurement and other policies, laws, regulations and executive actions that affect our and our industry’s,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pStyle w:val="TextBody"/>
        <w:bidi w:val="0"/>
        <w:spacing w:lineRule="auto" w:line="268" w:before="0" w:after="0"/>
        <w:ind w:left="0" w:right="0" w:hanging="360"/>
        <w:jc w:val="left"/>
        <w:rPr/>
      </w:pPr>
      <w:r>
        <w:rPr>
          <w:strike/>
          <w:color w:val="000000"/>
        </w:rPr>
        <w:t>•</w:t>
      </w:r>
      <w:r>
        <w:rPr>
          <w:rFonts w:ascii="Arial;sans-serif" w:hAnsi="Arial;sans-serif"/>
          <w:b w:val="false"/>
          <w:color w:val="000000"/>
          <w:sz w:val="20"/>
        </w:rPr>
        <w:t>planned production rates and orders for significant programs, compliance with stringent performance and reliability standards, and materials availability, including government furnished equipment and rare earth minerals;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performance and/or financial viability of key suppliers, teammates, joint ventures (including United Launch Alliance, for which we have provided and expect to provide additional financial guarantees), joint venture partners, subcontractors and customers;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and other cost pressures;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actions that restrict or prevent the sale or delivery of our products (such as delays in approvals for exports requiring Congressional notification);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foreign policy and international trade actions taken by governments such as tariffs, sanctions, embargoes, export and import controls, buying preferences, and other trade restrictions;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success expanding into and doing business in adjacent markets and internationally and the risks posed by international sales, including potential effects from fluctuations in currency exchange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non-U.S. national priorities and government budgets and planned orders;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competitive environment for our products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develop and commercialize new technologies and products, including emerging digital and network technologies and capabilities;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benefit fully from or adequately protect our intellectual property rights;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attract and retain a highly skilled workforce and the impact of work stoppages or other labor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cyber or other security threats or other disruptions faced by us or our suppliers;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implement and continue, and the timing and impact of, capitalization changes such as share repurchases, dividend payments and financing transactions, including as a result of presidential executive orders;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accuracy of our estimates and projections;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pension plan assumptions and actual returns on pension assets; cash funding requirements and pension annuity contracts and associated charges;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realizing the anticipated benefits of acquisitions or divestitures, investments, joint ventures, teaming arrangements or internal reorganizations, and market volatility affecting the fair value of investments that are marked to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satisfaction of conditions to (including regulatory approvals) and consummation of our announced acquisition of Ultra Maritime, if at all, the timing and terms of any financing for such acquisition and the impact thereof on our indebtedness and capital allocation, our ability to successfully integrate the Ultra Maritime business and realize synergies and other expected benefits of the transaction and the potential for disruption to our or Ultra Maritime's business, customer and supplier relationships, and retention of key personnel during the pendency of the transaction;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efforts to fund and increase production capabilities and the efficiency of operations and improve the affordability of our products and services, including through digital transformation and cost reduction initiatives;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of an impairment of our assets, including the potential impairment of goodwill and intangibles;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and adequacy of our insurance and indemnities;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laws, regulations, policies, and customer requirements relating to environmental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public health crises, natural disasters and other severe weather conditions on our business and financial results, including supply chain disruptions and delays, employee absences, and program delays;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accounting, U.S. or foreign tax, export or other laws, regulations, and policies and their interpretation or application, and changes in the amount or reevaluation of uncertain tax positions;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of legal proceedings, bid protests, environmental remediation efforts, audits, administrative reviews, government investigations or government allegations that we have failed to comply with law, other contingencies and U.S. Government identification of deficiencies in our business systems.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2025 Form 10-K and subsequent Quarterly Reports on Form 10-Q. Our filings may be accessed through the Investor Relations page of our website, www.lockheedmartin.com/investor, or through the website maintained by the SEC at www.sec.gov. Information contained on or made available through our website or other websites mentioned in this Form 10-Q is not incorporated into and is not a part of this Form 10-Q, and any references to our website are intended to be inactive textual references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10-Q speak only as of the date of our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pPr>
      <w:r>
        <w:rPr>
          <w:rFonts w:ascii="Arial;sans-serif" w:hAnsi="Arial;sans-serif"/>
          <w:b/>
          <w:color w:val="000000"/>
          <w:sz w:val="20"/>
        </w:rPr>
        <w:t>PART II.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For information regarding legal proceedings and environmental matters, including current estimates of the amounts that we believe are required for remediation or clean-up to the extent estimable, see “Note 7 - Legal Proceedings and Contingencies — Legal Proceedings and Environmental Matters” included in our Notes to Consolidated Financial Statements in this Form 10-Q, which is hereby incorporated by reference. For additional information and a description of previously reported matters, see also “Critical Accounting Policies – Environmental Matters” in “Management’s Discussion and Analysis of Financial Condition and Results of Operations” and “Note 14 – Legal Proceedings, Commitments and Contingencies,”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Except for the risk factor update disclosed in Part II, Item 1A, “Risk Factors” of our Quarterly Report on Form 10-Q for the quarter ended March 29, 2026, there have been no other material changes to our risk factors disclosed in Part I, Item 1A, “Risk Factors” of our 2025 Form 10-K. These risks and uncertainties described in our risk factors have the potential to materially affect our business, results of operations, financial condition, cash flows, projected results and future prospects. These risks are not exclusive and additional risks to which we are subject include the factors mentioned under “Forward-Looking Statements” and the risks described in “Management’s Discussion and Analysis of Financial Condition and Results of Operations”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There were no sales of unregistered equity securities during the quarter ended June 28, 2026.</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There were no repurchases of our common stock in the open market during the quarter ended June 28, 2026.</w:t>
      </w:r>
    </w:p>
    <w:tbl>
      <w:tblPr>
        <w:tblW w:w="10205" w:type="dxa"/>
        <w:jc w:val="left"/>
        <w:tblInd w:w="0" w:type="dxa"/>
        <w:tblLayout w:type="fixed"/>
        <w:tblCellMar>
          <w:top w:w="28" w:type="dxa"/>
          <w:left w:w="28" w:type="dxa"/>
          <w:bottom w:w="28" w:type="dxa"/>
          <w:right w:w="28" w:type="dxa"/>
        </w:tblCellMar>
      </w:tblPr>
      <w:tblGrid>
        <w:gridCol w:w="731"/>
        <w:gridCol w:w="457"/>
        <w:gridCol w:w="461"/>
        <w:gridCol w:w="109"/>
        <w:gridCol w:w="109"/>
        <w:gridCol w:w="109"/>
        <w:gridCol w:w="203"/>
        <w:gridCol w:w="203"/>
        <w:gridCol w:w="151"/>
        <w:gridCol w:w="151"/>
        <w:gridCol w:w="151"/>
        <w:gridCol w:w="151"/>
        <w:gridCol w:w="151"/>
        <w:gridCol w:w="151"/>
        <w:gridCol w:w="158"/>
        <w:gridCol w:w="211"/>
        <w:gridCol w:w="406"/>
        <w:gridCol w:w="109"/>
        <w:gridCol w:w="109"/>
        <w:gridCol w:w="109"/>
        <w:gridCol w:w="109"/>
        <w:gridCol w:w="109"/>
        <w:gridCol w:w="109"/>
        <w:gridCol w:w="109"/>
        <w:gridCol w:w="292"/>
        <w:gridCol w:w="292"/>
        <w:gridCol w:w="292"/>
        <w:gridCol w:w="292"/>
        <w:gridCol w:w="292"/>
        <w:gridCol w:w="296"/>
        <w:gridCol w:w="571"/>
        <w:gridCol w:w="1748"/>
        <w:gridCol w:w="294"/>
        <w:gridCol w:w="294"/>
        <w:gridCol w:w="294"/>
        <w:gridCol w:w="422"/>
      </w:tblGrid>
      <w:tr>
        <w:trPr/>
        <w:tc>
          <w:tcPr>
            <w:tcW w:w="73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Period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w:t>
              <w:br/>
              <w:t>of Shares</w:t>
              <w:br/>
              <w:t>Purchased</w:t>
            </w:r>
          </w:p>
        </w:tc>
        <w:tc>
          <w:tcPr>
            <w:tcW w:w="1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175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Shares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Purchased as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Part of Publicly</w:t>
            </w:r>
          </w:p>
          <w:p>
            <w:pPr>
              <w:pStyle w:val="TableContents"/>
              <w:bidi w:val="0"/>
              <w:spacing w:lineRule="auto" w:line="240" w:before="0" w:after="0"/>
              <w:jc w:val="center"/>
              <w:rPr/>
            </w:pPr>
            <w:r>
              <w:rPr>
                <w:rFonts w:ascii="Arial;sans-serif" w:hAnsi="Arial;sans-serif"/>
                <w:b/>
                <w:color w:val="000000"/>
                <w:sz w:val="20"/>
              </w:rPr>
              <w:t>Announced Plans</w:t>
              <w:br/>
              <w:t xml:space="preserve">or Programs </w:t>
            </w:r>
            <w:r>
              <w:rPr>
                <w:rFonts w:ascii="Arial;sans-serif" w:hAnsi="Arial;sans-serif"/>
                <w:b w:val="false"/>
                <w:color w:val="000000"/>
                <w:sz w:val="13"/>
              </w:rPr>
              <w:t>(b)</w:t>
            </w:r>
          </w:p>
        </w:tc>
        <w:tc>
          <w:tcPr>
            <w:tcW w:w="36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Approximate Dollar Value of Shares That May Yet be Purchased Under the Plans or Programs </w:t>
            </w:r>
            <w:r>
              <w:rPr>
                <w:rFonts w:ascii="Arial;sans-serif" w:hAnsi="Arial;sans-serif"/>
                <w:b w:val="false"/>
                <w:color w:val="000000"/>
                <w:sz w:val="13"/>
              </w:rPr>
              <w:t>(b)</w:t>
            </w:r>
          </w:p>
        </w:tc>
      </w:tr>
      <w:tr>
        <w:trPr/>
        <w:tc>
          <w:tcPr>
            <w:tcW w:w="1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March 30, 2026 – April 26, 2026 </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April 27, 2026 – May 31, 2026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June 1, 2026 – June 28, 2026 </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left"/>
        <w:rPr/>
      </w:pPr>
      <w:r>
        <w:rPr>
          <w:rFonts w:ascii="Arial;sans-serif" w:hAnsi="Arial;sans-serif"/>
          <w:b w:val="false"/>
          <w:color w:val="000000"/>
          <w:sz w:val="12"/>
        </w:rPr>
        <w:t>(a)</w:t>
      </w:r>
      <w:r>
        <w:rPr>
          <w:rFonts w:ascii="Arial;sans-serif" w:hAnsi="Arial;sans-serif"/>
          <w:b w:val="false"/>
          <w:color w:val="000000"/>
          <w:sz w:val="18"/>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June 28, 2026 was the last day of our June 2026 fiscal month.</w:t>
      </w:r>
    </w:p>
    <w:p>
      <w:pPr>
        <w:pStyle w:val="TextBody"/>
        <w:bidi w:val="0"/>
        <w:spacing w:lineRule="auto" w:line="288" w:before="60" w:after="283"/>
        <w:ind w:left="0" w:right="0" w:hanging="450"/>
        <w:jc w:val="left"/>
        <w:rPr/>
      </w:pPr>
      <w:r>
        <w:rPr>
          <w:rFonts w:ascii="Arial;sans-serif" w:hAnsi="Arial;sans-serif"/>
          <w:b w:val="false"/>
          <w:color w:val="000000"/>
          <w:sz w:val="12"/>
          <w:shd w:fill="FFFFFF" w:val="clear"/>
        </w:rPr>
        <w:t>(b)</w:t>
      </w:r>
      <w:r>
        <w:rPr>
          <w:rFonts w:ascii="Arial;sans-serif" w:hAnsi="Arial;sans-serif"/>
          <w:b w:val="false"/>
          <w:color w:val="000000"/>
          <w:sz w:val="18"/>
        </w:rPr>
        <w:t>In 2010, our Board of Directors approved a share repurchase program pursuant to which we are authorized to repurchase our common stock in privately negotiated transactions or in the open market at prices per share not exceeding the then-current market prices. We did not repurchase any shares during the quarter ended June 28, 2026.</w:t>
      </w:r>
    </w:p>
    <w:p>
      <w:pPr>
        <w:pStyle w:val="TextBody"/>
        <w:bidi w:val="0"/>
        <w:spacing w:lineRule="auto" w:line="288" w:before="60" w:after="283"/>
        <w:ind w:left="0" w:right="0" w:hanging="450"/>
        <w:jc w:val="left"/>
        <w:rPr/>
      </w:pPr>
      <w:r>
        <w:rPr>
          <w:rFonts w:ascii="Arial;sans-serif" w:hAnsi="Arial;sans-serif"/>
          <w:b w:val="false"/>
          <w:color w:val="000000"/>
          <w:sz w:val="12"/>
        </w:rPr>
        <w:t>(c)</w:t>
      </w:r>
      <w:r>
        <w:rPr>
          <w:rFonts w:ascii="Arial;sans-serif" w:hAnsi="Arial;sans-serif"/>
          <w:b w:val="false"/>
          <w:color w:val="000000"/>
          <w:sz w:val="18"/>
        </w:rPr>
        <w:t xml:space="preserve">During the quarter ended June 28, 2026, we withheld and retired 357 shares of common stock with an average price of $512.87 per share solely to satisfy tax withholding obligations associated with the vesting of restricted stock units and performance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ITEM 5. Other Information </w:t>
      </w:r>
    </w:p>
    <w:p>
      <w:pPr>
        <w:pStyle w:val="TextBody"/>
        <w:bidi w:val="0"/>
        <w:spacing w:lineRule="auto" w:line="288" w:before="200" w:after="380"/>
        <w:ind w:left="0" w:right="0" w:firstLine="495"/>
        <w:jc w:val="left"/>
        <w:rPr>
          <w:rFonts w:ascii="Arial;sans-serif" w:hAnsi="Arial;sans-serif"/>
          <w:b w:val="false"/>
          <w:color w:val="000000"/>
          <w:sz w:val="20"/>
        </w:rPr>
      </w:pPr>
      <w:r>
        <w:rPr>
          <w:rFonts w:ascii="Arial;sans-serif" w:hAnsi="Arial;sans-serif"/>
          <w:b w:val="false"/>
          <w:color w:val="000000"/>
          <w:sz w:val="20"/>
        </w:rPr>
        <w:t>None of our directors or executive officers adopted or terminated a Rule 10b5-1 trading arrangement or adopted or terminated a non-Rule 10b5-1 trading arrangement (as defined in Item 408(c) of Regulation S-K) during the quarter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5q22026.htm">
              <w:r>
                <w:rPr>
                  <w:rStyle w:val="InternetLink"/>
                  <w:rFonts w:ascii="Arial;sans-serif" w:hAnsi="Arial;sans-serif"/>
                  <w:b w:val="false"/>
                  <w:color w:val="0000FF"/>
                  <w:sz w:val="20"/>
                  <w:u w:val="single"/>
                </w:rPr>
                <w:t>Acknowledgment of Independent Registered Public Accounting Firm</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22026.htm">
              <w:r>
                <w:rPr>
                  <w:rStyle w:val="InternetLink"/>
                  <w:rFonts w:ascii="Arial;sans-serif" w:hAnsi="Arial;sans-serif"/>
                  <w:b w:val="false"/>
                  <w:color w:val="0000FF"/>
                  <w:sz w:val="20"/>
                  <w:u w:val="single"/>
                </w:rPr>
                <w:t>Certification of James D. Taiclet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6.htm">
              <w:r>
                <w:rPr>
                  <w:rStyle w:val="InternetLink"/>
                  <w:rFonts w:ascii="Arial;sans-serif" w:hAnsi="Arial;sans-serif"/>
                  <w:b w:val="false"/>
                  <w:color w:val="0000FF"/>
                  <w:sz w:val="20"/>
                  <w:u w:val="single"/>
                </w:rPr>
                <w:t>Certification of Evan T. Scott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q22026.htm">
              <w:r>
                <w:rPr>
                  <w:rStyle w:val="InternetLink"/>
                  <w:rFonts w:ascii="Arial;sans-serif" w:hAnsi="Arial;sans-serif"/>
                  <w:b w:val="false"/>
                  <w:color w:val="0000FF"/>
                  <w:sz w:val="20"/>
                  <w:u w:val="single"/>
                </w:rPr>
                <w:t>Certification of James D. Taiclet and Evan T. Scott pursuant to 18 U.S.C. Section 1350, as adopted pursuant to Section 906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bf12c215813e4eed8dbce3e1b5d6d8e5_7">
        <w:r>
          <w:rPr>
            <w:rStyle w:val="InternetLink"/>
          </w:rPr>
          <w:t xml:space="preserve">Table of </w:t>
        </w:r>
      </w:hyperlink>
      <w:hyperlink w:anchor="ibf12c215813e4eed8dbce3e1b5d6d8e5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000"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1422"/>
        <w:gridCol w:w="1422"/>
        <w:gridCol w:w="201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Lockheed Martin Corporation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By: /s/ H. Edward Paul III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 Edward Paul III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Controller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15</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Acknowledgment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Independent Registered Public Accounting Firm</w:t>
      </w:r>
    </w:p>
    <w:p>
      <w:pPr>
        <w:pStyle w:val="TextBody"/>
        <w:bidi w:val="0"/>
        <w:spacing w:lineRule="auto" w:line="288" w:before="400" w:after="283"/>
        <w:jc w:val="both"/>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Lockheed Martin Corporation</w:t>
      </w:r>
    </w:p>
    <w:p>
      <w:pPr>
        <w:pStyle w:val="TextBody"/>
        <w:bidi w:val="0"/>
        <w:spacing w:before="0" w:after="0"/>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aware of the incorporation by reference of our report dated July 23, 2026, relating to the unaudited consolidated interim financial statements of Lockheed Martin Corporation that is included in its Form 10-Q for the quarter ended June 28, 2026, in the following Registration Statements of Lockheed Martin Corporation: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333-92363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333-115357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333-155687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333-188118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333-195466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333-237829, 333-237831, and 333-237832 on Form S-8;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333-271323 on Form S-8; and</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333-271325 on Form S-3.</w:t>
      </w:r>
    </w:p>
    <w:p>
      <w:pPr>
        <w:pStyle w:val="TextBody"/>
        <w:bidi w:val="0"/>
        <w:spacing w:before="480" w:after="283"/>
        <w:jc w:val="left"/>
        <w:rPr/>
      </w:pPr>
      <w:r>
        <w:rPr/>
      </w:r>
    </w:p>
    <w:p>
      <w:pPr>
        <w:pStyle w:val="TextBody"/>
        <w:bidi w:val="0"/>
        <w:spacing w:lineRule="auto" w:line="288" w:before="48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Tysons, Virginia</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JAMES D. TAICLET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James D. Taiclet,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4643"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709"/>
        <w:gridCol w:w="709"/>
        <w:gridCol w:w="712"/>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20"/>
              </w:rPr>
            </w:pPr>
            <w:r>
              <w:rPr>
                <w:rFonts w:ascii="Arial;sans-serif" w:hAnsi="Arial;sans-serif"/>
                <w:b w:val="false"/>
                <w:color w:val="000000"/>
                <w:sz w:val="20"/>
              </w:rPr>
              <w:t>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EVAN T. SCOTT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Evan T. Scott,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4226"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609"/>
        <w:gridCol w:w="609"/>
        <w:gridCol w:w="86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Evan T. Scott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Evan T. Scott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JAMES D. TAICLET AND EVAN T. SCOTT PURSUANT TO 18 U.S.C. SECTION 1350, AS ADOPTED PURSUANT TO 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of Lockheed Martin Corporation (the “Corporation”) on Form 10-Q for the period ended June 28, 2026, as filed with the U.S. Securities and Exchange Commission on the date hereof (the “Report”), I, James D. Taiclet, Chief Executive Officer of the Corporation, and I, Evan T. Scott, Chief Financial Officer of the Corporation, each certify, pursuant to 18 U.S.C. Section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ind w:left="0" w:right="0" w:hanging="180"/>
        <w:jc w:val="both"/>
        <w:rPr/>
      </w:pPr>
      <w:r>
        <w:rPr/>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20"/>
              </w:rPr>
            </w:pPr>
            <w:r>
              <w:rPr>
                <w:rFonts w:ascii="Arial;sans-serif" w:hAnsi="Arial;sans-serif"/>
                <w:b w:val="false"/>
                <w:color w:val="000000"/>
                <w:sz w:val="20"/>
              </w:rPr>
              <w:t>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Evan T.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Evan T.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240" w:after="283"/>
        <w:ind w:left="0" w:right="0" w:hanging="180"/>
        <w:jc w:val="left"/>
        <w:rPr>
          <w:rFonts w:ascii="Arial;sans-serif" w:hAnsi="Arial;sans-serif"/>
          <w:b w:val="false"/>
          <w:color w:val="000000"/>
          <w:sz w:val="20"/>
        </w:rPr>
      </w:pPr>
      <w:r>
        <w:rPr>
          <w:rFonts w:ascii="Arial;sans-serif" w:hAnsi="Arial;sans-serif"/>
          <w:b w:val="false"/>
          <w:color w:val="000000"/>
          <w:sz w:val="20"/>
        </w:rPr>
        <w:t>Date: July 23, 2026</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22325</Words>
  <Characters>122741</Characters>
  <CharactersWithSpaces>143480</CharactersWithSpaces>
  <Paragraphs>2864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