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SCHEDULE 14A</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Proxy Statement Pursuant to Section 14(a) of the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Exchange Act of 1934 (Amendment No. )</w:t>
      </w:r>
    </w:p>
    <w:p>
      <w:pPr>
        <w:spacing w:after="0" w:line="105" w:lineRule="exact"/>
        <w:rPr>
          <w:sz w:val="24"/>
          <w:szCs w:val="24"/>
          <w:color w:val="auto"/>
        </w:rPr>
      </w:pPr>
    </w:p>
    <w:p>
      <w:pPr>
        <w:spacing w:after="0" w:line="196" w:lineRule="exact"/>
        <w:tabs>
          <w:tab w:leader="none" w:pos="320" w:val="left"/>
          <w:tab w:leader="none" w:pos="762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4"/>
          <w:szCs w:val="14"/>
          <w:color w:val="auto"/>
        </w:rPr>
        <w:tab/>
        <w:t>Filed by the Registrant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Filed by a Party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9" w:lineRule="exact"/>
        <w:rPr>
          <w:sz w:val="24"/>
          <w:szCs w:val="24"/>
          <w:color w:val="auto"/>
        </w:rPr>
      </w:pPr>
    </w:p>
    <w:p>
      <w:pPr>
        <w:ind w:left="660" w:hanging="65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59" w:lineRule="exact"/>
        <w:rPr>
          <w:rFonts w:ascii="MS PGothic" w:cs="MS PGothic" w:eastAsia="MS PGothic" w:hAnsi="MS PGothic"/>
          <w:sz w:val="18"/>
          <w:szCs w:val="18"/>
          <w:color w:val="auto"/>
        </w:rPr>
      </w:pPr>
    </w:p>
    <w:p>
      <w:pPr>
        <w:ind w:left="660" w:hanging="65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01" w:lineRule="exact"/>
        <w:rPr>
          <w:sz w:val="24"/>
          <w:szCs w:val="24"/>
          <w:color w:val="auto"/>
        </w:rPr>
      </w:pPr>
    </w:p>
    <w:p>
      <w:pPr>
        <w:ind w:left="660" w:hanging="65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59" w:lineRule="exact"/>
        <w:rPr>
          <w:sz w:val="24"/>
          <w:szCs w:val="24"/>
          <w:color w:val="auto"/>
        </w:rPr>
      </w:pPr>
    </w:p>
    <w:p>
      <w:pPr>
        <w:ind w:left="660" w:hanging="65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9" w:lineRule="exact"/>
        <w:rPr>
          <w:rFonts w:ascii="MS PGothic" w:cs="MS PGothic" w:eastAsia="MS PGothic" w:hAnsi="MS PGothic"/>
          <w:sz w:val="18"/>
          <w:szCs w:val="18"/>
          <w:color w:val="auto"/>
        </w:rPr>
      </w:pPr>
    </w:p>
    <w:p>
      <w:pPr>
        <w:ind w:left="660" w:hanging="65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2838450</wp:posOffset>
            </wp:positionH>
            <wp:positionV relativeFrom="paragraph">
              <wp:posOffset>101600</wp:posOffset>
            </wp:positionV>
            <wp:extent cx="1440180"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Lockheed Martin Corporation</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244"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1842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842770"/>
                    </a:xfrm>
                    <a:prstGeom prst="rect">
                      <a:avLst/>
                    </a:prstGeom>
                    <a:noFill/>
                  </pic:spPr>
                </pic:pic>
              </a:graphicData>
            </a:graphic>
          </wp:anchor>
        </w:drawing>
      </w:r>
    </w:p>
    <w:p>
      <w:pPr>
        <w:spacing w:after="0" w:line="9" w:lineRule="exact"/>
        <w:rPr>
          <w:sz w:val="24"/>
          <w:szCs w:val="24"/>
          <w:color w:val="auto"/>
        </w:rPr>
      </w:pPr>
    </w:p>
    <w:p>
      <w:pPr>
        <w:ind w:left="660" w:hanging="654"/>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4"/>
          <w:szCs w:val="14"/>
          <w:color w:val="auto"/>
        </w:rPr>
        <w:t>No fee required.</w:t>
      </w:r>
    </w:p>
    <w:p>
      <w:pPr>
        <w:spacing w:after="0" w:line="59" w:lineRule="exact"/>
        <w:rPr>
          <w:sz w:val="24"/>
          <w:szCs w:val="24"/>
          <w:color w:val="auto"/>
        </w:rPr>
      </w:pPr>
    </w:p>
    <w:p>
      <w:pPr>
        <w:ind w:left="660" w:hanging="65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Fee computed on table below per Exchange Act Rules 14a-6(i)(1) and 0-11.</w:t>
      </w:r>
    </w:p>
    <w:p>
      <w:pPr>
        <w:spacing w:after="0" w:line="57" w:lineRule="exact"/>
        <w:rPr>
          <w:rFonts w:ascii="MS PGothic" w:cs="MS PGothic" w:eastAsia="MS PGothic" w:hAnsi="MS PGothic"/>
          <w:sz w:val="18"/>
          <w:szCs w:val="18"/>
          <w:color w:val="auto"/>
        </w:rPr>
      </w:pPr>
    </w:p>
    <w:p>
      <w:pPr>
        <w:ind w:left="1180" w:hanging="175"/>
        <w:spacing w:after="0"/>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8" w:lineRule="exact"/>
        <w:rPr>
          <w:rFonts w:ascii="Arial" w:cs="Arial" w:eastAsia="Arial" w:hAnsi="Arial"/>
          <w:sz w:val="14"/>
          <w:szCs w:val="14"/>
          <w:color w:val="auto"/>
        </w:rPr>
      </w:pPr>
    </w:p>
    <w:p>
      <w:pPr>
        <w:ind w:left="1180" w:hanging="175"/>
        <w:spacing w:after="0"/>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8" w:lineRule="exact"/>
        <w:rPr>
          <w:rFonts w:ascii="Arial" w:cs="Arial" w:eastAsia="Arial" w:hAnsi="Arial"/>
          <w:sz w:val="14"/>
          <w:szCs w:val="14"/>
          <w:color w:val="auto"/>
        </w:rPr>
      </w:pPr>
    </w:p>
    <w:p>
      <w:pPr>
        <w:ind w:left="1000" w:firstLine="5"/>
        <w:spacing w:after="0" w:line="229" w:lineRule="auto"/>
        <w:tabs>
          <w:tab w:leader="none" w:pos="116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6" w:lineRule="exact"/>
        <w:rPr>
          <w:rFonts w:ascii="Arial" w:cs="Arial" w:eastAsia="Arial" w:hAnsi="Arial"/>
          <w:sz w:val="14"/>
          <w:szCs w:val="14"/>
          <w:color w:val="auto"/>
        </w:rPr>
      </w:pPr>
    </w:p>
    <w:p>
      <w:pPr>
        <w:ind w:left="1180" w:hanging="175"/>
        <w:spacing w:after="0"/>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8" w:lineRule="exact"/>
        <w:rPr>
          <w:rFonts w:ascii="Arial" w:cs="Arial" w:eastAsia="Arial" w:hAnsi="Arial"/>
          <w:sz w:val="14"/>
          <w:szCs w:val="14"/>
          <w:color w:val="auto"/>
        </w:rPr>
      </w:pPr>
    </w:p>
    <w:p>
      <w:pPr>
        <w:ind w:left="1180" w:hanging="175"/>
        <w:spacing w:after="0"/>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9" w:lineRule="exact"/>
        <w:rPr>
          <w:rFonts w:ascii="Arial" w:cs="Arial" w:eastAsia="Arial" w:hAnsi="Arial"/>
          <w:sz w:val="14"/>
          <w:szCs w:val="14"/>
          <w:color w:val="auto"/>
        </w:rPr>
      </w:pPr>
    </w:p>
    <w:p>
      <w:pPr>
        <w:ind w:left="660" w:hanging="65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Fee paid previously with preliminary materials.</w:t>
      </w:r>
    </w:p>
    <w:p>
      <w:pPr>
        <w:spacing w:after="0" w:line="70" w:lineRule="exact"/>
        <w:rPr>
          <w:rFonts w:ascii="MS PGothic" w:cs="MS PGothic" w:eastAsia="MS PGothic" w:hAnsi="MS PGothic"/>
          <w:sz w:val="18"/>
          <w:szCs w:val="18"/>
          <w:color w:val="auto"/>
        </w:rPr>
      </w:pPr>
    </w:p>
    <w:p>
      <w:pPr>
        <w:ind w:left="660" w:right="200" w:hanging="654"/>
        <w:spacing w:after="0" w:line="213" w:lineRule="auto"/>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 w:lineRule="exact"/>
        <w:rPr>
          <w:rFonts w:ascii="MS PGothic" w:cs="MS PGothic" w:eastAsia="MS PGothic" w:hAnsi="MS PGothic"/>
          <w:sz w:val="18"/>
          <w:szCs w:val="18"/>
          <w:color w:val="auto"/>
        </w:rPr>
      </w:pPr>
    </w:p>
    <w:p>
      <w:pPr>
        <w:ind w:left="1180" w:hanging="175"/>
        <w:spacing w:after="0"/>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8" w:lineRule="exact"/>
        <w:rPr>
          <w:rFonts w:ascii="Arial" w:cs="Arial" w:eastAsia="Arial" w:hAnsi="Arial"/>
          <w:sz w:val="14"/>
          <w:szCs w:val="14"/>
          <w:color w:val="auto"/>
        </w:rPr>
      </w:pPr>
    </w:p>
    <w:p>
      <w:pPr>
        <w:ind w:left="1180" w:hanging="175"/>
        <w:spacing w:after="0"/>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8" w:lineRule="exact"/>
        <w:rPr>
          <w:rFonts w:ascii="Arial" w:cs="Arial" w:eastAsia="Arial" w:hAnsi="Arial"/>
          <w:sz w:val="14"/>
          <w:szCs w:val="14"/>
          <w:color w:val="auto"/>
        </w:rPr>
      </w:pPr>
    </w:p>
    <w:p>
      <w:pPr>
        <w:ind w:left="1180" w:hanging="175"/>
        <w:spacing w:after="0"/>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8" w:lineRule="exact"/>
        <w:rPr>
          <w:rFonts w:ascii="Arial" w:cs="Arial" w:eastAsia="Arial" w:hAnsi="Arial"/>
          <w:sz w:val="14"/>
          <w:szCs w:val="14"/>
          <w:color w:val="auto"/>
        </w:rPr>
      </w:pPr>
    </w:p>
    <w:p>
      <w:pPr>
        <w:ind w:left="1180" w:hanging="175"/>
        <w:spacing w:after="0"/>
        <w:tabs>
          <w:tab w:leader="none" w:pos="118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329" w:right="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380365</wp:posOffset>
            </wp:positionV>
            <wp:extent cx="6789420" cy="8846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229743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2974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March 12, 2021</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002E6D"/>
        </w:rPr>
        <w:t>Dear Fellow Stockholders:</w:t>
      </w:r>
    </w:p>
    <w:p>
      <w:pPr>
        <w:spacing w:after="0" w:line="12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It is my pleasure to invite you to Lockheed Martin's 2021 Annual Meeting of Stockholders on Thursday, April 22, 2021, at 8:00 a.m. EDT. The meeting will once again be held virtually via live webcast to facilitate full stockholder participation while protecting health and safety. Information on how to participate in the Annual Meeting can be found on page 85.</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002E6D"/>
        </w:rPr>
        <w:t>Resiliency Through a Global Pandemic</w:t>
      </w:r>
    </w:p>
    <w:p>
      <w:pPr>
        <w:spacing w:after="0" w:line="8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global pandemic has presented unprecedented business challenges and continues to inflict personal loss for so many, including within the Lockheed Martin family. Throughout the crisis, our priorities have been to ensure the health and welfare of our employees and their families, continue to perform and deliver for our customers and our national security, and use our resources and leadership as a company to assist our communities, our country and our allies. We took swift action early in the pandemic to address the threat and have continued to do so since, including maintaining robust health and safety protocols in the workplace, delivering personal protective equipment to frontline workers and supporting our communities and suppliers. Despite the challenges presented by COVID-19, we continued to hire through the pandemic, welcoming more than 11,000 new employees in 2020.</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002E6D"/>
        </w:rPr>
        <w:t>Strong 2020 Financial Performance</w:t>
      </w:r>
    </w:p>
    <w:p>
      <w:pPr>
        <w:spacing w:after="0" w:line="81"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Despite the challenges of 2020, we’re proud to report that the resiliency of our employees to adapt and continue to deliver for our customers resulted in another year of strong financial results, including record sales and earnings per share from continuing operations and increased backlog. We continued our strong cash performance, generating $8.2 billion in cash from operations after discretionary pension contributions of $1.0 billion. And we returned $3.9 billion in cash to stockholders through dividends and share repurchases. For more detailed information on our financial results, please review our proxy statement and the enclosed 2020 Annual Report.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002E6D"/>
        </w:rPr>
        <w:t>Leadership Transitions</w:t>
      </w:r>
    </w:p>
    <w:p>
      <w:pPr>
        <w:spacing w:after="0" w:line="8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Following a remarkable 38-year career at Lockheed Martin, Marillyn A. Hewson ended her service as Executive Chairman and as a member of the Board on March 1, 2021. We are extremely grateful for her many valuable contributions to our company and the Board and she leaves behind a legacy as one of Lockheed Martin's most successful and respected leaders. In addition to my transition to the role of President and CEO in June 2020, several other executives were also elevated to new executive leadership positions as part of a disciplined leadership transition, reflecting the Corporation’s deliberate and thorough succession planning. The board and the executive leadership team also want to acknowledge the unfortunate passing of Michele Evans, former EVP, Aeronautics in early 2021. Michele was an exceptional leader and a champion for diversity and inclusion and has left a great legacy of future leaders she inspired.</w:t>
      </w:r>
    </w:p>
    <w:p>
      <w:pPr>
        <w:spacing w:after="0" w:line="10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On behalf of the entire board of directors, I want to thank you for your continued investment in Lockheed Martin. Your vote is important. I urge you to promptly cast your vote in accordance with the board's recommendations.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137160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color w:val="002E6D"/>
        </w:rPr>
        <w:t>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-2217420</wp:posOffset>
            </wp:positionV>
            <wp:extent cx="1834515" cy="1920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4515" cy="1920240"/>
                    </a:xfrm>
                    <a:prstGeom prst="rect">
                      <a:avLst/>
                    </a:prstGeom>
                    <a:noFill/>
                  </pic:spPr>
                </pic:pic>
              </a:graphicData>
            </a:graphic>
          </wp:anchor>
        </w:drawing>
      </w:r>
    </w:p>
    <w:p>
      <w:pPr>
        <w:spacing w:after="0" w:line="44" w:lineRule="exact"/>
        <w:rPr>
          <w:sz w:val="20"/>
          <w:szCs w:val="20"/>
          <w:color w:val="auto"/>
        </w:rPr>
      </w:pPr>
    </w:p>
    <w:p>
      <w:pPr>
        <w:ind w:right="940" w:firstLine="17"/>
        <w:spacing w:after="0" w:line="259" w:lineRule="auto"/>
        <w:rPr>
          <w:sz w:val="20"/>
          <w:szCs w:val="20"/>
          <w:color w:val="auto"/>
        </w:rPr>
      </w:pPr>
      <w:r>
        <w:rPr>
          <w:rFonts w:ascii="Arial" w:cs="Arial" w:eastAsia="Arial" w:hAnsi="Arial"/>
          <w:sz w:val="17"/>
          <w:szCs w:val="17"/>
          <w:color w:val="auto"/>
        </w:rPr>
        <w:t>Chairman, President and Chief Executive Officer</w:t>
      </w:r>
    </w:p>
    <w:p>
      <w:pPr>
        <w:spacing w:after="0" w:line="5022" w:lineRule="exact"/>
        <w:rPr>
          <w:sz w:val="20"/>
          <w:szCs w:val="20"/>
          <w:color w:val="auto"/>
        </w:rPr>
      </w:pPr>
    </w:p>
    <w:p>
      <w:pPr>
        <w:sectPr>
          <w:pgSz w:w="11900" w:h="16838" w:orient="portrait"/>
          <w:cols w:equalWidth="0" w:num="2">
            <w:col w:w="7940" w:space="420"/>
            <w:col w:w="284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580" w:val="left"/>
          <w:tab w:leader="none" w:pos="1110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1</w:t>
      </w:r>
    </w:p>
    <w:p>
      <w:pPr>
        <w:sectPr>
          <w:pgSz w:w="11900" w:h="16838" w:orient="portrait"/>
          <w:cols w:equalWidth="0" w:num="1">
            <w:col w:w="11200"/>
          </w:cols>
          <w:pgMar w:left="340" w:top="1440"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3"/>
          <w:szCs w:val="43"/>
          <w:color w:val="002E6D"/>
        </w:rPr>
        <w:t>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89535</wp:posOffset>
            </wp:positionV>
            <wp:extent cx="30175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17520" cy="94615"/>
                    </a:xfrm>
                    <a:prstGeom prst="rect">
                      <a:avLst/>
                    </a:prstGeom>
                    <a:noFill/>
                  </pic:spPr>
                </pic:pic>
              </a:graphicData>
            </a:graphic>
          </wp:anchor>
        </w:drawing>
      </w:r>
    </w:p>
    <w:p>
      <w:pPr>
        <w:sectPr>
          <w:pgSz w:w="11900" w:h="16838" w:orient="portrait"/>
          <w:cols w:equalWidth="0" w:num="1">
            <w:col w:w="11140"/>
          </w:cols>
          <w:pgMar w:left="320" w:top="1340" w:right="43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20" w:type="dxa"/>
            <w:vAlign w:val="bottom"/>
          </w:tcPr>
          <w:p>
            <w:pPr>
              <w:spacing w:after="0"/>
              <w:rPr>
                <w:sz w:val="13"/>
                <w:szCs w:val="13"/>
                <w:color w:val="auto"/>
              </w:rPr>
            </w:pPr>
          </w:p>
        </w:tc>
        <w:tc>
          <w:tcPr>
            <w:tcW w:w="3320" w:type="dxa"/>
            <w:vAlign w:val="bottom"/>
          </w:tcPr>
          <w:p>
            <w:pPr>
              <w:ind w:left="160"/>
              <w:spacing w:after="0"/>
              <w:rPr>
                <w:sz w:val="20"/>
                <w:szCs w:val="20"/>
                <w:color w:val="auto"/>
              </w:rPr>
            </w:pPr>
            <w:r>
              <w:rPr>
                <w:rFonts w:ascii="Arial" w:cs="Arial" w:eastAsia="Arial" w:hAnsi="Arial"/>
                <w:sz w:val="13"/>
                <w:szCs w:val="13"/>
                <w:color w:val="auto"/>
              </w:rPr>
              <w:t>Agenda</w:t>
            </w:r>
          </w:p>
        </w:tc>
        <w:tc>
          <w:tcPr>
            <w:tcW w:w="2080" w:type="dxa"/>
            <w:vAlign w:val="bottom"/>
          </w:tcPr>
          <w:p>
            <w:pPr>
              <w:ind w:left="40"/>
              <w:spacing w:after="0"/>
              <w:rPr>
                <w:sz w:val="20"/>
                <w:szCs w:val="20"/>
                <w:color w:val="auto"/>
              </w:rPr>
            </w:pPr>
            <w:r>
              <w:rPr>
                <w:rFonts w:ascii="Arial" w:cs="Arial" w:eastAsia="Arial" w:hAnsi="Arial"/>
                <w:sz w:val="13"/>
                <w:szCs w:val="13"/>
                <w:color w:val="auto"/>
              </w:rPr>
              <w:t>Board Recommendation</w:t>
            </w:r>
          </w:p>
        </w:tc>
        <w:tc>
          <w:tcPr>
            <w:tcW w:w="0" w:type="dxa"/>
            <w:vAlign w:val="bottom"/>
          </w:tcPr>
          <w:p>
            <w:pPr>
              <w:spacing w:after="0"/>
              <w:rPr>
                <w:sz w:val="1"/>
                <w:szCs w:val="1"/>
                <w:color w:val="auto"/>
              </w:rPr>
            </w:pPr>
          </w:p>
        </w:tc>
      </w:tr>
      <w:tr>
        <w:trPr>
          <w:trHeight w:val="29"/>
        </w:trPr>
        <w:tc>
          <w:tcPr>
            <w:tcW w:w="720" w:type="dxa"/>
            <w:vAlign w:val="bottom"/>
            <w:tcBorders>
              <w:bottom w:val="single" w:sz="8" w:color="959595"/>
            </w:tcBorders>
          </w:tcPr>
          <w:p>
            <w:pPr>
              <w:spacing w:after="0"/>
              <w:rPr>
                <w:sz w:val="2"/>
                <w:szCs w:val="2"/>
                <w:color w:val="auto"/>
              </w:rPr>
            </w:pPr>
          </w:p>
        </w:tc>
        <w:tc>
          <w:tcPr>
            <w:tcW w:w="3320" w:type="dxa"/>
            <w:vAlign w:val="bottom"/>
            <w:tcBorders>
              <w:bottom w:val="single" w:sz="8" w:color="959595"/>
            </w:tcBorders>
          </w:tcPr>
          <w:p>
            <w:pPr>
              <w:spacing w:after="0"/>
              <w:rPr>
                <w:sz w:val="2"/>
                <w:szCs w:val="2"/>
                <w:color w:val="auto"/>
              </w:rPr>
            </w:pPr>
          </w:p>
        </w:tc>
        <w:tc>
          <w:tcPr>
            <w:tcW w:w="20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20" w:type="dxa"/>
            <w:vAlign w:val="bottom"/>
            <w:vMerge w:val="restart"/>
          </w:tcPr>
          <w:p>
            <w:pPr>
              <w:ind w:left="20"/>
              <w:spacing w:after="0"/>
              <w:rPr>
                <w:sz w:val="20"/>
                <w:szCs w:val="20"/>
                <w:color w:val="auto"/>
              </w:rPr>
            </w:pPr>
            <w:r>
              <w:rPr>
                <w:rFonts w:ascii="Arial" w:cs="Arial" w:eastAsia="Arial" w:hAnsi="Arial"/>
                <w:sz w:val="20"/>
                <w:szCs w:val="20"/>
                <w:color w:val="002E6D"/>
              </w:rPr>
              <w:t>Item 1</w:t>
            </w:r>
          </w:p>
        </w:tc>
        <w:tc>
          <w:tcPr>
            <w:tcW w:w="3320" w:type="dxa"/>
            <w:vAlign w:val="bottom"/>
          </w:tcPr>
          <w:p>
            <w:pPr>
              <w:ind w:left="160"/>
              <w:spacing w:after="0"/>
              <w:rPr>
                <w:sz w:val="20"/>
                <w:szCs w:val="20"/>
                <w:color w:val="auto"/>
              </w:rPr>
            </w:pPr>
            <w:r>
              <w:rPr>
                <w:rFonts w:ascii="Arial" w:cs="Arial" w:eastAsia="Arial" w:hAnsi="Arial"/>
                <w:sz w:val="17"/>
                <w:szCs w:val="17"/>
                <w:color w:val="auto"/>
              </w:rPr>
              <w:t>Election of 11 directors</w:t>
            </w:r>
          </w:p>
        </w:tc>
        <w:tc>
          <w:tcPr>
            <w:tcW w:w="2080" w:type="dxa"/>
            <w:vAlign w:val="bottom"/>
            <w:vMerge w:val="restart"/>
          </w:tcPr>
          <w:p>
            <w:pPr>
              <w:ind w:left="40"/>
              <w:spacing w:after="0"/>
              <w:rPr>
                <w:sz w:val="20"/>
                <w:szCs w:val="20"/>
                <w:color w:val="auto"/>
              </w:rPr>
            </w:pPr>
            <w:r>
              <w:rPr>
                <w:rFonts w:ascii="Arial" w:cs="Arial" w:eastAsia="Arial" w:hAnsi="Arial"/>
                <w:sz w:val="20"/>
                <w:szCs w:val="20"/>
                <w:color w:val="002E6D"/>
              </w:rPr>
              <w:t>FOR</w:t>
            </w:r>
          </w:p>
        </w:tc>
        <w:tc>
          <w:tcPr>
            <w:tcW w:w="0" w:type="dxa"/>
            <w:vAlign w:val="bottom"/>
          </w:tcPr>
          <w:p>
            <w:pPr>
              <w:spacing w:after="0"/>
              <w:rPr>
                <w:sz w:val="1"/>
                <w:szCs w:val="1"/>
                <w:color w:val="auto"/>
              </w:rPr>
            </w:pPr>
          </w:p>
        </w:tc>
      </w:tr>
      <w:tr>
        <w:trPr>
          <w:trHeight w:val="157"/>
        </w:trPr>
        <w:tc>
          <w:tcPr>
            <w:tcW w:w="720" w:type="dxa"/>
            <w:vAlign w:val="bottom"/>
            <w:vMerge w:val="continue"/>
          </w:tcPr>
          <w:p>
            <w:pPr>
              <w:spacing w:after="0"/>
              <w:rPr>
                <w:sz w:val="13"/>
                <w:szCs w:val="13"/>
                <w:color w:val="auto"/>
              </w:rPr>
            </w:pPr>
          </w:p>
        </w:tc>
        <w:tc>
          <w:tcPr>
            <w:tcW w:w="332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7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80" w:type="dxa"/>
            <w:vAlign w:val="bottom"/>
          </w:tcPr>
          <w:p>
            <w:pPr>
              <w:ind w:left="40"/>
              <w:spacing w:after="0"/>
              <w:rPr>
                <w:sz w:val="20"/>
                <w:szCs w:val="20"/>
                <w:color w:val="auto"/>
              </w:rPr>
            </w:pPr>
            <w:r>
              <w:rPr>
                <w:rFonts w:ascii="Arial" w:cs="Arial" w:eastAsia="Arial" w:hAnsi="Arial"/>
                <w:sz w:val="17"/>
                <w:szCs w:val="17"/>
                <w:color w:val="auto"/>
              </w:rPr>
              <w:t>each of the director-</w:t>
            </w: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80" w:type="dxa"/>
            <w:vAlign w:val="bottom"/>
          </w:tcPr>
          <w:p>
            <w:pPr>
              <w:ind w:left="40"/>
              <w:spacing w:after="0"/>
              <w:rPr>
                <w:sz w:val="20"/>
                <w:szCs w:val="20"/>
                <w:color w:val="auto"/>
              </w:rPr>
            </w:pPr>
            <w:r>
              <w:rPr>
                <w:rFonts w:ascii="Arial" w:cs="Arial" w:eastAsia="Arial" w:hAnsi="Arial"/>
                <w:sz w:val="17"/>
                <w:szCs w:val="17"/>
                <w:color w:val="auto"/>
              </w:rPr>
              <w:t>nominees</w:t>
            </w:r>
          </w:p>
        </w:tc>
        <w:tc>
          <w:tcPr>
            <w:tcW w:w="0" w:type="dxa"/>
            <w:vAlign w:val="bottom"/>
          </w:tcPr>
          <w:p>
            <w:pPr>
              <w:spacing w:after="0"/>
              <w:rPr>
                <w:sz w:val="1"/>
                <w:szCs w:val="1"/>
                <w:color w:val="auto"/>
              </w:rPr>
            </w:pPr>
          </w:p>
        </w:tc>
      </w:tr>
      <w:tr>
        <w:trPr>
          <w:trHeight w:val="31"/>
        </w:trPr>
        <w:tc>
          <w:tcPr>
            <w:tcW w:w="720" w:type="dxa"/>
            <w:vAlign w:val="bottom"/>
            <w:tcBorders>
              <w:bottom w:val="single" w:sz="8" w:color="808080"/>
            </w:tcBorders>
          </w:tcPr>
          <w:p>
            <w:pPr>
              <w:spacing w:after="0"/>
              <w:rPr>
                <w:sz w:val="2"/>
                <w:szCs w:val="2"/>
                <w:color w:val="auto"/>
              </w:rPr>
            </w:pPr>
          </w:p>
        </w:tc>
        <w:tc>
          <w:tcPr>
            <w:tcW w:w="3320" w:type="dxa"/>
            <w:vAlign w:val="bottom"/>
            <w:tcBorders>
              <w:bottom w:val="single" w:sz="8" w:color="808080"/>
            </w:tcBorders>
          </w:tcPr>
          <w:p>
            <w:pPr>
              <w:spacing w:after="0"/>
              <w:rPr>
                <w:sz w:val="2"/>
                <w:szCs w:val="2"/>
                <w:color w:val="auto"/>
              </w:rPr>
            </w:pPr>
          </w:p>
        </w:tc>
        <w:tc>
          <w:tcPr>
            <w:tcW w:w="20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 w:type="dxa"/>
            <w:vAlign w:val="bottom"/>
            <w:vMerge w:val="restart"/>
          </w:tcPr>
          <w:p>
            <w:pPr>
              <w:ind w:left="20"/>
              <w:spacing w:after="0"/>
              <w:rPr>
                <w:sz w:val="20"/>
                <w:szCs w:val="20"/>
                <w:color w:val="auto"/>
              </w:rPr>
            </w:pPr>
            <w:r>
              <w:rPr>
                <w:rFonts w:ascii="Arial" w:cs="Arial" w:eastAsia="Arial" w:hAnsi="Arial"/>
                <w:sz w:val="20"/>
                <w:szCs w:val="20"/>
                <w:color w:val="002E6D"/>
              </w:rPr>
              <w:t>Item 2</w:t>
            </w:r>
          </w:p>
        </w:tc>
        <w:tc>
          <w:tcPr>
            <w:tcW w:w="3320" w:type="dxa"/>
            <w:vAlign w:val="bottom"/>
          </w:tcPr>
          <w:p>
            <w:pPr>
              <w:ind w:left="160"/>
              <w:spacing w:after="0"/>
              <w:rPr>
                <w:sz w:val="20"/>
                <w:szCs w:val="20"/>
                <w:color w:val="auto"/>
              </w:rPr>
            </w:pPr>
            <w:r>
              <w:rPr>
                <w:rFonts w:ascii="Arial" w:cs="Arial" w:eastAsia="Arial" w:hAnsi="Arial"/>
                <w:sz w:val="17"/>
                <w:szCs w:val="17"/>
                <w:color w:val="auto"/>
              </w:rPr>
              <w:t>Ratification of the appointment of Ernst &amp;</w:t>
            </w:r>
          </w:p>
        </w:tc>
        <w:tc>
          <w:tcPr>
            <w:tcW w:w="2080" w:type="dxa"/>
            <w:vAlign w:val="bottom"/>
            <w:vMerge w:val="restart"/>
          </w:tcPr>
          <w:p>
            <w:pPr>
              <w:ind w:left="40"/>
              <w:spacing w:after="0"/>
              <w:rPr>
                <w:sz w:val="20"/>
                <w:szCs w:val="20"/>
                <w:color w:val="auto"/>
              </w:rPr>
            </w:pPr>
            <w:r>
              <w:rPr>
                <w:rFonts w:ascii="Arial" w:cs="Arial" w:eastAsia="Arial" w:hAnsi="Arial"/>
                <w:sz w:val="20"/>
                <w:szCs w:val="20"/>
                <w:color w:val="002E6D"/>
              </w:rPr>
              <w:t>FOR</w:t>
            </w:r>
          </w:p>
        </w:tc>
        <w:tc>
          <w:tcPr>
            <w:tcW w:w="0" w:type="dxa"/>
            <w:vAlign w:val="bottom"/>
          </w:tcPr>
          <w:p>
            <w:pPr>
              <w:spacing w:after="0"/>
              <w:rPr>
                <w:sz w:val="1"/>
                <w:szCs w:val="1"/>
                <w:color w:val="auto"/>
              </w:rPr>
            </w:pPr>
          </w:p>
        </w:tc>
      </w:tr>
      <w:tr>
        <w:trPr>
          <w:trHeight w:val="203"/>
        </w:trPr>
        <w:tc>
          <w:tcPr>
            <w:tcW w:w="720" w:type="dxa"/>
            <w:vAlign w:val="bottom"/>
            <w:vMerge w:val="continue"/>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Young LLP as our independent auditors</w:t>
            </w:r>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for 2021</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720" w:type="dxa"/>
            <w:vAlign w:val="bottom"/>
            <w:tcBorders>
              <w:bottom w:val="single" w:sz="8" w:color="808080"/>
            </w:tcBorders>
          </w:tcPr>
          <w:p>
            <w:pPr>
              <w:spacing w:after="0"/>
              <w:rPr>
                <w:sz w:val="5"/>
                <w:szCs w:val="5"/>
                <w:color w:val="auto"/>
              </w:rPr>
            </w:pPr>
          </w:p>
        </w:tc>
        <w:tc>
          <w:tcPr>
            <w:tcW w:w="3320" w:type="dxa"/>
            <w:vAlign w:val="bottom"/>
            <w:tcBorders>
              <w:bottom w:val="single" w:sz="8" w:color="808080"/>
            </w:tcBorders>
          </w:tcPr>
          <w:p>
            <w:pPr>
              <w:spacing w:after="0"/>
              <w:rPr>
                <w:sz w:val="5"/>
                <w:szCs w:val="5"/>
                <w:color w:val="auto"/>
              </w:rPr>
            </w:pPr>
          </w:p>
        </w:tc>
        <w:tc>
          <w:tcPr>
            <w:tcW w:w="20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720" w:type="dxa"/>
            <w:vAlign w:val="bottom"/>
            <w:vMerge w:val="restart"/>
          </w:tcPr>
          <w:p>
            <w:pPr>
              <w:ind w:left="20"/>
              <w:spacing w:after="0"/>
              <w:rPr>
                <w:sz w:val="20"/>
                <w:szCs w:val="20"/>
                <w:color w:val="auto"/>
              </w:rPr>
            </w:pPr>
            <w:r>
              <w:rPr>
                <w:rFonts w:ascii="Arial" w:cs="Arial" w:eastAsia="Arial" w:hAnsi="Arial"/>
                <w:sz w:val="20"/>
                <w:szCs w:val="20"/>
                <w:color w:val="002E6D"/>
              </w:rPr>
              <w:t>Item 3</w:t>
            </w:r>
          </w:p>
        </w:tc>
        <w:tc>
          <w:tcPr>
            <w:tcW w:w="3320" w:type="dxa"/>
            <w:vAlign w:val="bottom"/>
          </w:tcPr>
          <w:p>
            <w:pPr>
              <w:ind w:left="160"/>
              <w:spacing w:after="0"/>
              <w:rPr>
                <w:sz w:val="20"/>
                <w:szCs w:val="20"/>
                <w:color w:val="auto"/>
              </w:rPr>
            </w:pPr>
            <w:r>
              <w:rPr>
                <w:rFonts w:ascii="Arial" w:cs="Arial" w:eastAsia="Arial" w:hAnsi="Arial"/>
                <w:sz w:val="17"/>
                <w:szCs w:val="17"/>
                <w:color w:val="auto"/>
              </w:rPr>
              <w:t>Advisory vote to approve the</w:t>
            </w:r>
          </w:p>
        </w:tc>
        <w:tc>
          <w:tcPr>
            <w:tcW w:w="2080" w:type="dxa"/>
            <w:vAlign w:val="bottom"/>
          </w:tcPr>
          <w:p>
            <w:pPr>
              <w:ind w:left="40"/>
              <w:spacing w:after="0" w:line="217" w:lineRule="exact"/>
              <w:rPr>
                <w:sz w:val="20"/>
                <w:szCs w:val="20"/>
                <w:color w:val="auto"/>
              </w:rPr>
            </w:pPr>
            <w:r>
              <w:rPr>
                <w:rFonts w:ascii="Arial" w:cs="Arial" w:eastAsia="Arial" w:hAnsi="Arial"/>
                <w:sz w:val="20"/>
                <w:szCs w:val="20"/>
                <w:color w:val="002E6D"/>
              </w:rPr>
              <w:t>FOR</w:t>
            </w:r>
          </w:p>
        </w:tc>
        <w:tc>
          <w:tcPr>
            <w:tcW w:w="0" w:type="dxa"/>
            <w:vAlign w:val="bottom"/>
          </w:tcPr>
          <w:p>
            <w:pPr>
              <w:spacing w:after="0"/>
              <w:rPr>
                <w:sz w:val="1"/>
                <w:szCs w:val="1"/>
                <w:color w:val="auto"/>
              </w:rPr>
            </w:pPr>
          </w:p>
        </w:tc>
      </w:tr>
      <w:tr>
        <w:trPr>
          <w:trHeight w:val="203"/>
        </w:trPr>
        <w:tc>
          <w:tcPr>
            <w:tcW w:w="720" w:type="dxa"/>
            <w:vAlign w:val="bottom"/>
            <w:vMerge w:val="continue"/>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compensation of our named executive</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officers (Say-on-Pay)</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808080"/>
            </w:tcBorders>
          </w:tcPr>
          <w:p>
            <w:pPr>
              <w:spacing w:after="0"/>
              <w:rPr>
                <w:sz w:val="3"/>
                <w:szCs w:val="3"/>
                <w:color w:val="auto"/>
              </w:rPr>
            </w:pPr>
          </w:p>
        </w:tc>
        <w:tc>
          <w:tcPr>
            <w:tcW w:w="3320" w:type="dxa"/>
            <w:vAlign w:val="bottom"/>
            <w:tcBorders>
              <w:bottom w:val="single" w:sz="8" w:color="808080"/>
            </w:tcBorders>
          </w:tcPr>
          <w:p>
            <w:pPr>
              <w:spacing w:after="0"/>
              <w:rPr>
                <w:sz w:val="3"/>
                <w:szCs w:val="3"/>
                <w:color w:val="auto"/>
              </w:rPr>
            </w:pPr>
          </w:p>
        </w:tc>
        <w:tc>
          <w:tcPr>
            <w:tcW w:w="20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20" w:type="dxa"/>
            <w:vAlign w:val="bottom"/>
            <w:vMerge w:val="restart"/>
          </w:tcPr>
          <w:p>
            <w:pPr>
              <w:ind w:left="20"/>
              <w:spacing w:after="0"/>
              <w:rPr>
                <w:sz w:val="20"/>
                <w:szCs w:val="20"/>
                <w:color w:val="auto"/>
              </w:rPr>
            </w:pPr>
            <w:r>
              <w:rPr>
                <w:rFonts w:ascii="Arial" w:cs="Arial" w:eastAsia="Arial" w:hAnsi="Arial"/>
                <w:sz w:val="20"/>
                <w:szCs w:val="20"/>
                <w:color w:val="002E6D"/>
              </w:rPr>
              <w:t>Item 4</w:t>
            </w:r>
          </w:p>
        </w:tc>
        <w:tc>
          <w:tcPr>
            <w:tcW w:w="3320" w:type="dxa"/>
            <w:vAlign w:val="bottom"/>
          </w:tcPr>
          <w:p>
            <w:pPr>
              <w:ind w:left="160"/>
              <w:spacing w:after="0"/>
              <w:rPr>
                <w:sz w:val="20"/>
                <w:szCs w:val="20"/>
                <w:color w:val="auto"/>
              </w:rPr>
            </w:pPr>
            <w:r>
              <w:rPr>
                <w:rFonts w:ascii="Arial" w:cs="Arial" w:eastAsia="Arial" w:hAnsi="Arial"/>
                <w:sz w:val="17"/>
                <w:szCs w:val="17"/>
                <w:color w:val="auto"/>
              </w:rPr>
              <w:t>Consideration of a stockholder proposal</w:t>
            </w:r>
          </w:p>
        </w:tc>
        <w:tc>
          <w:tcPr>
            <w:tcW w:w="2080" w:type="dxa"/>
            <w:vAlign w:val="bottom"/>
          </w:tcPr>
          <w:p>
            <w:pPr>
              <w:ind w:left="40"/>
              <w:spacing w:after="0" w:line="217" w:lineRule="exact"/>
              <w:rPr>
                <w:sz w:val="20"/>
                <w:szCs w:val="20"/>
                <w:color w:val="auto"/>
              </w:rPr>
            </w:pPr>
            <w:r>
              <w:rPr>
                <w:rFonts w:ascii="Arial" w:cs="Arial" w:eastAsia="Arial" w:hAnsi="Arial"/>
                <w:sz w:val="20"/>
                <w:szCs w:val="20"/>
                <w:color w:val="002E6D"/>
              </w:rPr>
              <w:t>AGAINST</w:t>
            </w:r>
          </w:p>
        </w:tc>
        <w:tc>
          <w:tcPr>
            <w:tcW w:w="0" w:type="dxa"/>
            <w:vAlign w:val="bottom"/>
          </w:tcPr>
          <w:p>
            <w:pPr>
              <w:spacing w:after="0"/>
              <w:rPr>
                <w:sz w:val="1"/>
                <w:szCs w:val="1"/>
                <w:color w:val="auto"/>
              </w:rPr>
            </w:pPr>
          </w:p>
        </w:tc>
      </w:tr>
      <w:tr>
        <w:trPr>
          <w:trHeight w:val="203"/>
        </w:trPr>
        <w:tc>
          <w:tcPr>
            <w:tcW w:w="720" w:type="dxa"/>
            <w:vAlign w:val="bottom"/>
            <w:vMerge w:val="continue"/>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to adopt written consent,</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if properly presented</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720" w:type="dxa"/>
            <w:vAlign w:val="bottom"/>
            <w:tcBorders>
              <w:bottom w:val="single" w:sz="8" w:color="808080"/>
            </w:tcBorders>
          </w:tcPr>
          <w:p>
            <w:pPr>
              <w:spacing w:after="0"/>
              <w:rPr>
                <w:sz w:val="5"/>
                <w:szCs w:val="5"/>
                <w:color w:val="auto"/>
              </w:rPr>
            </w:pPr>
          </w:p>
        </w:tc>
        <w:tc>
          <w:tcPr>
            <w:tcW w:w="3320" w:type="dxa"/>
            <w:vAlign w:val="bottom"/>
            <w:tcBorders>
              <w:bottom w:val="single" w:sz="8" w:color="808080"/>
            </w:tcBorders>
          </w:tcPr>
          <w:p>
            <w:pPr>
              <w:spacing w:after="0"/>
              <w:rPr>
                <w:sz w:val="5"/>
                <w:szCs w:val="5"/>
                <w:color w:val="auto"/>
              </w:rPr>
            </w:pPr>
          </w:p>
        </w:tc>
        <w:tc>
          <w:tcPr>
            <w:tcW w:w="20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720" w:type="dxa"/>
            <w:vAlign w:val="bottom"/>
          </w:tcPr>
          <w:p>
            <w:pPr>
              <w:ind w:left="20"/>
              <w:spacing w:after="0" w:line="217" w:lineRule="exact"/>
              <w:rPr>
                <w:sz w:val="20"/>
                <w:szCs w:val="20"/>
                <w:color w:val="auto"/>
              </w:rPr>
            </w:pPr>
            <w:r>
              <w:rPr>
                <w:rFonts w:ascii="Arial" w:cs="Arial" w:eastAsia="Arial" w:hAnsi="Arial"/>
                <w:sz w:val="20"/>
                <w:szCs w:val="20"/>
                <w:color w:val="002E6D"/>
              </w:rPr>
              <w:t>Item 5</w:t>
            </w:r>
          </w:p>
        </w:tc>
        <w:tc>
          <w:tcPr>
            <w:tcW w:w="3320" w:type="dxa"/>
            <w:vAlign w:val="bottom"/>
          </w:tcPr>
          <w:p>
            <w:pPr>
              <w:ind w:left="160"/>
              <w:spacing w:after="0"/>
              <w:rPr>
                <w:sz w:val="20"/>
                <w:szCs w:val="20"/>
                <w:color w:val="auto"/>
              </w:rPr>
            </w:pPr>
            <w:r>
              <w:rPr>
                <w:rFonts w:ascii="Arial" w:cs="Arial" w:eastAsia="Arial" w:hAnsi="Arial"/>
                <w:sz w:val="17"/>
                <w:szCs w:val="17"/>
                <w:color w:val="auto"/>
              </w:rPr>
              <w:t>Consideration of a stockholder proposal</w:t>
            </w:r>
          </w:p>
        </w:tc>
        <w:tc>
          <w:tcPr>
            <w:tcW w:w="2080" w:type="dxa"/>
            <w:vAlign w:val="bottom"/>
          </w:tcPr>
          <w:p>
            <w:pPr>
              <w:ind w:left="40"/>
              <w:spacing w:after="0" w:line="217" w:lineRule="exact"/>
              <w:rPr>
                <w:sz w:val="20"/>
                <w:szCs w:val="20"/>
                <w:color w:val="auto"/>
              </w:rPr>
            </w:pPr>
            <w:r>
              <w:rPr>
                <w:rFonts w:ascii="Arial" w:cs="Arial" w:eastAsia="Arial" w:hAnsi="Arial"/>
                <w:sz w:val="20"/>
                <w:szCs w:val="20"/>
                <w:color w:val="002E6D"/>
              </w:rPr>
              <w:t>AGAINST</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to issue a report on human rights due</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diligence, if properly presented</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0" w:type="dxa"/>
            <w:vAlign w:val="bottom"/>
            <w:tcBorders>
              <w:bottom w:val="single" w:sz="8" w:color="939598"/>
            </w:tcBorders>
          </w:tcPr>
          <w:p>
            <w:pPr>
              <w:spacing w:after="0"/>
              <w:rPr>
                <w:sz w:val="19"/>
                <w:szCs w:val="19"/>
                <w:color w:val="auto"/>
              </w:rPr>
            </w:pPr>
          </w:p>
        </w:tc>
        <w:tc>
          <w:tcPr>
            <w:tcW w:w="3320" w:type="dxa"/>
            <w:vAlign w:val="bottom"/>
            <w:tcBorders>
              <w:bottom w:val="single" w:sz="8" w:color="939598"/>
            </w:tcBorders>
          </w:tcPr>
          <w:p>
            <w:pPr>
              <w:spacing w:after="0"/>
              <w:rPr>
                <w:sz w:val="19"/>
                <w:szCs w:val="19"/>
                <w:color w:val="auto"/>
              </w:rPr>
            </w:pPr>
          </w:p>
        </w:tc>
        <w:tc>
          <w:tcPr>
            <w:tcW w:w="208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Consideration of any other matters that</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may properly come before the meeting</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20" w:type="dxa"/>
            <w:vAlign w:val="bottom"/>
            <w:tcBorders>
              <w:bottom w:val="single" w:sz="8" w:color="929292"/>
            </w:tcBorders>
          </w:tcPr>
          <w:p>
            <w:pPr>
              <w:spacing w:after="0"/>
              <w:rPr>
                <w:sz w:val="20"/>
                <w:szCs w:val="20"/>
                <w:color w:val="auto"/>
              </w:rPr>
            </w:pPr>
          </w:p>
        </w:tc>
        <w:tc>
          <w:tcPr>
            <w:tcW w:w="3320" w:type="dxa"/>
            <w:vAlign w:val="bottom"/>
            <w:tcBorders>
              <w:bottom w:val="single" w:sz="8" w:color="929292"/>
            </w:tcBorders>
          </w:tcPr>
          <w:p>
            <w:pPr>
              <w:spacing w:after="0"/>
              <w:rPr>
                <w:sz w:val="20"/>
                <w:szCs w:val="20"/>
                <w:color w:val="auto"/>
              </w:rPr>
            </w:pPr>
          </w:p>
        </w:tc>
        <w:tc>
          <w:tcPr>
            <w:tcW w:w="2080" w:type="dxa"/>
            <w:vAlign w:val="bottom"/>
            <w:tcBorders>
              <w:bottom w:val="single" w:sz="8" w:color="929292"/>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 w:right="80"/>
        <w:spacing w:after="0" w:line="267" w:lineRule="auto"/>
        <w:rPr>
          <w:sz w:val="20"/>
          <w:szCs w:val="20"/>
          <w:color w:val="auto"/>
        </w:rPr>
      </w:pPr>
      <w:r>
        <w:rPr>
          <w:rFonts w:ascii="Arial" w:cs="Arial" w:eastAsia="Arial" w:hAnsi="Arial"/>
          <w:sz w:val="17"/>
          <w:szCs w:val="17"/>
          <w:color w:val="auto"/>
        </w:rPr>
        <w:t>The 2021 Annual Meeting will be conducted online only through a live audio webcast via the Internet. We have adopted this format to assist in protecting the health and safety of the Corporation's stockholders and employees in light of continued public health concerns regarding COVID-19 and to facilitate stockholder attendance and to enable stockholders to participate fully and equally, regardless of size, resources, or physical location.</w:t>
      </w:r>
    </w:p>
    <w:p>
      <w:pPr>
        <w:spacing w:after="0" w:line="99" w:lineRule="exact"/>
        <w:rPr>
          <w:sz w:val="20"/>
          <w:szCs w:val="20"/>
          <w:color w:val="auto"/>
        </w:rPr>
      </w:pPr>
    </w:p>
    <w:p>
      <w:pPr>
        <w:ind w:left="20" w:right="120"/>
        <w:spacing w:after="0" w:line="268" w:lineRule="auto"/>
        <w:rPr>
          <w:sz w:val="20"/>
          <w:szCs w:val="20"/>
          <w:color w:val="auto"/>
        </w:rPr>
      </w:pPr>
      <w:r>
        <w:rPr>
          <w:rFonts w:ascii="Arial" w:cs="Arial" w:eastAsia="Arial" w:hAnsi="Arial"/>
          <w:sz w:val="17"/>
          <w:szCs w:val="17"/>
          <w:color w:val="auto"/>
        </w:rPr>
        <w:t>We have enclosed our 2020 Annual Report to Stockholders. The report is not part of the proxy soliciting materials for the 2021 Annual Meeting. The Proxy Materials or a Notice of Internet Availability were first sent to stockholders on or about March 12, 2021.</w:t>
      </w:r>
    </w:p>
    <w:p>
      <w:pPr>
        <w:spacing w:after="0" w:line="99" w:lineRule="exact"/>
        <w:rPr>
          <w:sz w:val="20"/>
          <w:szCs w:val="20"/>
          <w:color w:val="auto"/>
        </w:rPr>
      </w:pPr>
    </w:p>
    <w:p>
      <w:pPr>
        <w:ind w:left="20" w:right="60"/>
        <w:spacing w:after="0" w:line="268" w:lineRule="auto"/>
        <w:rPr>
          <w:sz w:val="20"/>
          <w:szCs w:val="20"/>
          <w:color w:val="auto"/>
        </w:rPr>
      </w:pPr>
      <w:r>
        <w:rPr>
          <w:rFonts w:ascii="Arial" w:cs="Arial" w:eastAsia="Arial" w:hAnsi="Arial"/>
          <w:sz w:val="17"/>
          <w:szCs w:val="17"/>
          <w:color w:val="auto"/>
        </w:rPr>
        <w:t>Your vote is extremely important. Please vote at your earliest convenience to ensure the presence of a quorum at the meeting. Promptly voting your shares in accordance with the instructions you receive will save the expense of additional solicitation.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7"/>
          <w:szCs w:val="17"/>
          <w:color w:val="002E6D"/>
        </w:rPr>
        <w:t>Sincerely</w:t>
      </w:r>
      <w:r>
        <w:rPr>
          <w:rFonts w:ascii="Arial" w:cs="Arial" w:eastAsia="Arial" w:hAnsi="Arial"/>
          <w:sz w:val="17"/>
          <w:szCs w:val="17"/>
          <w:color w:val="475C9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42545</wp:posOffset>
            </wp:positionV>
            <wp:extent cx="135445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5445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7"/>
          <w:szCs w:val="17"/>
          <w:color w:val="002E6D"/>
        </w:rPr>
        <w:t>Maryanne R. Lavan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 President, General Counsel</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and Corporate Secretary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15175"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color w:val="002E6D"/>
          <w:shd w:val="clear" w:color="auto" w:fill="E5E7EF"/>
        </w:rPr>
        <w:t>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-362585</wp:posOffset>
            </wp:positionV>
            <wp:extent cx="3017520" cy="3017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17520" cy="301752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002E6D"/>
          <w:shd w:val="clear" w:color="auto" w:fill="E5E7EF"/>
        </w:rPr>
        <w:t>When: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shd w:val="clear" w:color="auto" w:fill="E5E7EF"/>
        </w:rPr>
        <w:t>Thursday, April 22, 2021, 8:00 a.m. EDT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002E6D"/>
          <w:shd w:val="clear" w:color="auto" w:fill="E5E7EF"/>
        </w:rPr>
        <w:t>Live Webcast Access: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shd w:val="clear" w:color="auto" w:fill="E5E7EF"/>
        </w:rPr>
        <w:t xml:space="preserve">Online audio webcast at: </w:t>
      </w:r>
      <w:r>
        <w:rPr>
          <w:rFonts w:ascii="Arial" w:cs="Arial" w:eastAsia="Arial" w:hAnsi="Arial"/>
          <w:sz w:val="17"/>
          <w:szCs w:val="17"/>
          <w:b w:val="1"/>
          <w:bCs w:val="1"/>
          <w:i w:val="1"/>
          <w:iCs w:val="1"/>
          <w:color w:val="auto"/>
          <w:shd w:val="clear" w:color="auto" w:fill="E5E7EF"/>
        </w:rPr>
        <w:t>www.meetingcenter.io/266927146</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shd w:val="clear" w:color="auto" w:fill="E5E7EF"/>
        </w:rPr>
        <w:t>Password</w:t>
      </w:r>
      <w:r>
        <w:rPr>
          <w:rFonts w:ascii="Arial" w:cs="Arial" w:eastAsia="Arial" w:hAnsi="Arial"/>
          <w:sz w:val="14"/>
          <w:szCs w:val="14"/>
          <w:color w:val="auto"/>
        </w:rPr>
        <w:t>:</w:t>
      </w:r>
      <w:r>
        <w:rPr>
          <w:rFonts w:ascii="Arial" w:cs="Arial" w:eastAsia="Arial" w:hAnsi="Arial"/>
          <w:sz w:val="17"/>
          <w:szCs w:val="17"/>
          <w:color w:val="auto"/>
          <w:shd w:val="clear" w:color="auto" w:fill="E5E7EF"/>
        </w:rPr>
        <w:t xml:space="preserve"> </w:t>
      </w:r>
      <w:r>
        <w:rPr>
          <w:rFonts w:ascii="Arial" w:cs="Arial" w:eastAsia="Arial" w:hAnsi="Arial"/>
          <w:sz w:val="17"/>
          <w:szCs w:val="17"/>
          <w:b w:val="1"/>
          <w:bCs w:val="1"/>
          <w:i w:val="1"/>
          <w:iCs w:val="1"/>
          <w:color w:val="auto"/>
          <w:shd w:val="clear" w:color="auto" w:fill="E5E7EF"/>
        </w:rPr>
        <w:t>LMT2021</w:t>
      </w:r>
      <w:r>
        <w:rPr>
          <w:rFonts w:ascii="Arial" w:cs="Arial" w:eastAsia="Arial" w:hAnsi="Arial"/>
          <w:sz w:val="17"/>
          <w:szCs w:val="17"/>
          <w:color w:val="auto"/>
          <w:shd w:val="clear" w:color="auto" w:fill="E5E7EF"/>
        </w:rPr>
        <w:t xml:space="preserve"> (if prompted for one)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002E6D"/>
          <w:shd w:val="clear" w:color="auto" w:fill="E5E7EF"/>
        </w:rPr>
        <w:t>Who Can Vote:</w:t>
      </w:r>
    </w:p>
    <w:p>
      <w:pPr>
        <w:spacing w:after="0" w:line="13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shd w:val="clear" w:color="auto" w:fill="E5E7EF"/>
        </w:rPr>
        <w:t>Stockholders of record at the close of business on February 26, 2021 are entitled to vote. Whether or not you plan to attend the Annual Meeting, we encourage you to vote and submit your proxy in advance of the meeting by one of the methods described below. See pages 85-89 for additional information regarding accessing the Annual Meeting and how to vote your shares.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002E6D"/>
        </w:rPr>
        <w:t>How to Vote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173355</wp:posOffset>
            </wp:positionV>
            <wp:extent cx="342900" cy="385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0" cy="385445"/>
                    </a:xfrm>
                    <a:prstGeom prst="rect">
                      <a:avLst/>
                    </a:prstGeom>
                    <a:noFill/>
                  </pic:spPr>
                </pic:pic>
              </a:graphicData>
            </a:graphic>
          </wp:anchor>
        </w:drawing>
      </w:r>
    </w:p>
    <w:p>
      <w:pPr>
        <w:spacing w:after="0" w:line="274" w:lineRule="exact"/>
        <w:rPr>
          <w:sz w:val="20"/>
          <w:szCs w:val="20"/>
          <w:color w:val="auto"/>
        </w:rPr>
      </w:pPr>
    </w:p>
    <w:p>
      <w:pPr>
        <w:ind w:left="860"/>
        <w:spacing w:after="0"/>
        <w:rPr>
          <w:sz w:val="20"/>
          <w:szCs w:val="20"/>
          <w:color w:val="auto"/>
        </w:rPr>
      </w:pPr>
      <w:r>
        <w:rPr>
          <w:rFonts w:ascii="Arial" w:cs="Arial" w:eastAsia="Arial" w:hAnsi="Arial"/>
          <w:sz w:val="17"/>
          <w:szCs w:val="17"/>
          <w:color w:val="002E6D"/>
        </w:rPr>
        <w:t>Via the Internet:</w:t>
      </w:r>
    </w:p>
    <w:p>
      <w:pPr>
        <w:spacing w:after="0" w:line="129" w:lineRule="exact"/>
        <w:rPr>
          <w:sz w:val="20"/>
          <w:szCs w:val="20"/>
          <w:color w:val="auto"/>
        </w:rPr>
      </w:pPr>
    </w:p>
    <w:p>
      <w:pPr>
        <w:ind w:left="860" w:right="200"/>
        <w:spacing w:after="0" w:line="276" w:lineRule="auto"/>
        <w:rPr>
          <w:sz w:val="20"/>
          <w:szCs w:val="20"/>
          <w:color w:val="auto"/>
        </w:rPr>
      </w:pPr>
      <w:r>
        <w:rPr>
          <w:rFonts w:ascii="Arial" w:cs="Arial" w:eastAsia="Arial" w:hAnsi="Arial"/>
          <w:sz w:val="17"/>
          <w:szCs w:val="17"/>
          <w:color w:val="auto"/>
        </w:rPr>
        <w:t>At the website listed on the proxy card or voting instruction form you received.</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color w:val="002E6D"/>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wp:posOffset>
            </wp:positionV>
            <wp:extent cx="38608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6080" cy="445770"/>
                    </a:xfrm>
                    <a:prstGeom prst="rect">
                      <a:avLst/>
                    </a:prstGeom>
                    <a:noFill/>
                  </pic:spPr>
                </pic:pic>
              </a:graphicData>
            </a:graphic>
          </wp:anchor>
        </w:drawing>
      </w:r>
    </w:p>
    <w:p>
      <w:pPr>
        <w:spacing w:after="0" w:line="109" w:lineRule="exact"/>
        <w:rPr>
          <w:sz w:val="20"/>
          <w:szCs w:val="20"/>
          <w:color w:val="auto"/>
        </w:rPr>
      </w:pPr>
    </w:p>
    <w:p>
      <w:pPr>
        <w:ind w:left="860"/>
        <w:spacing w:after="0" w:line="268" w:lineRule="auto"/>
        <w:rPr>
          <w:sz w:val="20"/>
          <w:szCs w:val="20"/>
          <w:color w:val="auto"/>
        </w:rPr>
      </w:pPr>
      <w:r>
        <w:rPr>
          <w:rFonts w:ascii="Arial" w:cs="Arial" w:eastAsia="Arial" w:hAnsi="Arial"/>
          <w:sz w:val="17"/>
          <w:szCs w:val="17"/>
          <w:color w:val="auto"/>
        </w:rPr>
        <w:t>Call 1-800-652-8683 in the United States, Canada and Puerto Rico, 1-781-575-2300 for other locations, or the numbers provided on your voting instruction form.</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7"/>
          <w:szCs w:val="17"/>
          <w:color w:val="002E6D"/>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-93980</wp:posOffset>
            </wp:positionV>
            <wp:extent cx="39433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4335" cy="428625"/>
                    </a:xfrm>
                    <a:prstGeom prst="rect">
                      <a:avLst/>
                    </a:prstGeom>
                    <a:noFill/>
                  </pic:spPr>
                </pic:pic>
              </a:graphicData>
            </a:graphic>
          </wp:anchor>
        </w:drawing>
      </w:r>
    </w:p>
    <w:p>
      <w:pPr>
        <w:spacing w:after="0" w:line="109" w:lineRule="exact"/>
        <w:rPr>
          <w:sz w:val="20"/>
          <w:szCs w:val="20"/>
          <w:color w:val="auto"/>
        </w:rPr>
      </w:pPr>
    </w:p>
    <w:p>
      <w:pPr>
        <w:ind w:left="860" w:right="60"/>
        <w:spacing w:after="0" w:line="270" w:lineRule="auto"/>
        <w:rPr>
          <w:sz w:val="20"/>
          <w:szCs w:val="20"/>
          <w:color w:val="auto"/>
        </w:rPr>
      </w:pPr>
      <w:r>
        <w:rPr>
          <w:rFonts w:ascii="Arial" w:cs="Arial" w:eastAsia="Arial" w:hAnsi="Arial"/>
          <w:sz w:val="17"/>
          <w:szCs w:val="17"/>
          <w:color w:val="auto"/>
        </w:rPr>
        <w:t>Mark, date and sign your proxy card or voting instruction form and return it in the accompanying postage prepaid envelope.</w:t>
      </w:r>
    </w:p>
    <w:p>
      <w:pPr>
        <w:spacing w:after="0" w:line="1517" w:lineRule="exact"/>
        <w:rPr>
          <w:sz w:val="20"/>
          <w:szCs w:val="20"/>
          <w:color w:val="auto"/>
        </w:rPr>
      </w:pPr>
    </w:p>
    <w:p>
      <w:pPr>
        <w:sectPr>
          <w:pgSz w:w="11900" w:h="16838" w:orient="portrait"/>
          <w:cols w:equalWidth="0" w:num="2">
            <w:col w:w="6120" w:space="360"/>
            <w:col w:w="4660"/>
          </w:cols>
          <w:pgMar w:left="320" w:top="1340" w:right="439" w:bottom="1440" w:gutter="0" w:footer="0" w:header="0"/>
          <w:type w:val="continuous"/>
        </w:sect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9"/>
          <w:szCs w:val="19"/>
          <w:color w:val="002E6D"/>
        </w:rPr>
        <w:t>Important Notice Regarding the Availability of Proxy Materials for the 2021 Annual Meeting:</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The 2021 Proxy Statement and 2020 Annual Report are available at </w:t>
      </w:r>
      <w:r>
        <w:rPr>
          <w:rFonts w:ascii="Arial" w:cs="Arial" w:eastAsia="Arial" w:hAnsi="Arial"/>
          <w:sz w:val="17"/>
          <w:szCs w:val="17"/>
          <w:i w:val="1"/>
          <w:iCs w:val="1"/>
          <w:color w:val="auto"/>
        </w:rPr>
        <w:t>www.edocumentview.com/LMT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293370</wp:posOffset>
            </wp:positionV>
            <wp:extent cx="96901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2</w:t>
      </w:r>
    </w:p>
    <w:p>
      <w:pPr>
        <w:sectPr>
          <w:pgSz w:w="11900" w:h="16838" w:orient="portrait"/>
          <w:cols w:equalWidth="0" w:num="1">
            <w:col w:w="11140"/>
          </w:cols>
          <w:pgMar w:left="320" w:top="1340" w:right="4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3"/>
          <w:szCs w:val="43"/>
          <w:color w:val="002E6D"/>
        </w:rPr>
        <w:t>Table of Contents</w:t>
      </w:r>
    </w:p>
    <w:p>
      <w:pPr>
        <w:spacing w:after="0" w:line="258" w:lineRule="exact"/>
        <w:rPr>
          <w:sz w:val="20"/>
          <w:szCs w:val="20"/>
          <w:color w:val="auto"/>
        </w:rPr>
      </w:pPr>
    </w:p>
    <w:p>
      <w:pPr>
        <w:ind w:left="20"/>
        <w:spacing w:after="0"/>
        <w:rPr>
          <w:rFonts w:ascii="Arial" w:cs="Arial" w:eastAsia="Arial" w:hAnsi="Arial"/>
          <w:sz w:val="16"/>
          <w:szCs w:val="16"/>
          <w:b w:val="1"/>
          <w:bCs w:val="1"/>
          <w:color w:val="002E6D"/>
        </w:rPr>
      </w:pPr>
      <w:hyperlink w:anchor="page7">
        <w:r>
          <w:rPr>
            <w:rFonts w:ascii="Arial" w:cs="Arial" w:eastAsia="Arial" w:hAnsi="Arial"/>
            <w:sz w:val="16"/>
            <w:szCs w:val="16"/>
            <w:b w:val="1"/>
            <w:bCs w:val="1"/>
            <w:color w:val="002E6D"/>
          </w:rPr>
          <w:t>ABOUT LOCKHEED MARTIN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471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77" w:lineRule="exact"/>
        <w:rPr>
          <w:sz w:val="20"/>
          <w:szCs w:val="20"/>
          <w:color w:val="auto"/>
        </w:rPr>
      </w:pPr>
    </w:p>
    <w:p>
      <w:pPr>
        <w:ind w:left="20"/>
        <w:spacing w:after="0"/>
        <w:rPr>
          <w:rFonts w:ascii="Arial" w:cs="Arial" w:eastAsia="Arial" w:hAnsi="Arial"/>
          <w:sz w:val="16"/>
          <w:szCs w:val="16"/>
          <w:b w:val="1"/>
          <w:bCs w:val="1"/>
          <w:color w:val="002E6D"/>
        </w:rPr>
      </w:pPr>
      <w:hyperlink w:anchor="page8">
        <w:r>
          <w:rPr>
            <w:rFonts w:ascii="Arial" w:cs="Arial" w:eastAsia="Arial" w:hAnsi="Arial"/>
            <w:sz w:val="16"/>
            <w:szCs w:val="16"/>
            <w:b w:val="1"/>
            <w:bCs w:val="1"/>
            <w:color w:val="002E6D"/>
          </w:rPr>
          <w:t>IMPACTS OF COVID-19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715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rPr>
          <w:rFonts w:ascii="Arial" w:cs="Arial" w:eastAsia="Arial" w:hAnsi="Arial"/>
          <w:sz w:val="16"/>
          <w:szCs w:val="16"/>
          <w:b w:val="1"/>
          <w:bCs w:val="1"/>
          <w:color w:val="002E6D"/>
        </w:rPr>
      </w:pPr>
      <w:hyperlink w:anchor="page9">
        <w:r>
          <w:rPr>
            <w:rFonts w:ascii="Arial" w:cs="Arial" w:eastAsia="Arial" w:hAnsi="Arial"/>
            <w:sz w:val="16"/>
            <w:szCs w:val="16"/>
            <w:b w:val="1"/>
            <w:bCs w:val="1"/>
            <w:color w:val="002E6D"/>
          </w:rPr>
          <w:t>PROXY STATEMENT SUMMARY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715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23" w:lineRule="exact"/>
        <w:rPr>
          <w:sz w:val="20"/>
          <w:szCs w:val="20"/>
          <w:color w:val="auto"/>
        </w:rPr>
      </w:pPr>
    </w:p>
    <w:p>
      <w:pPr>
        <w:ind w:left="20"/>
        <w:spacing w:after="0"/>
        <w:rPr>
          <w:rFonts w:ascii="Arial" w:cs="Arial" w:eastAsia="Arial" w:hAnsi="Arial"/>
          <w:sz w:val="16"/>
          <w:szCs w:val="16"/>
          <w:b w:val="1"/>
          <w:bCs w:val="1"/>
          <w:color w:val="002E6D"/>
        </w:rPr>
      </w:pPr>
      <w:hyperlink w:anchor="page14">
        <w:r>
          <w:rPr>
            <w:rFonts w:ascii="Arial" w:cs="Arial" w:eastAsia="Arial" w:hAnsi="Arial"/>
            <w:sz w:val="16"/>
            <w:szCs w:val="16"/>
            <w:b w:val="1"/>
            <w:bCs w:val="1"/>
            <w:color w:val="002E6D"/>
          </w:rPr>
          <w:t>PROPOSAL 1: ELECTION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471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40" w:lineRule="exact"/>
        <w:rPr>
          <w:sz w:val="20"/>
          <w:szCs w:val="20"/>
          <w:color w:val="auto"/>
        </w:rPr>
      </w:pPr>
    </w:p>
    <w:p>
      <w:pPr>
        <w:ind w:left="20" w:right="1117"/>
        <w:spacing w:after="0" w:line="501" w:lineRule="auto"/>
        <w:rPr>
          <w:rFonts w:ascii="Arial" w:cs="Arial" w:eastAsia="Arial" w:hAnsi="Arial"/>
          <w:sz w:val="16"/>
          <w:szCs w:val="16"/>
          <w:color w:val="auto"/>
        </w:rPr>
      </w:pPr>
      <w:hyperlink w:anchor="page15">
        <w:r>
          <w:rPr>
            <w:rFonts w:ascii="Arial" w:cs="Arial" w:eastAsia="Arial" w:hAnsi="Arial"/>
            <w:sz w:val="16"/>
            <w:szCs w:val="16"/>
            <w:color w:val="auto"/>
          </w:rPr>
          <w:t>Board Composition, Qualifications and Diversity</w:t>
        </w:r>
      </w:hyperlink>
      <w:r>
        <w:rPr>
          <w:rFonts w:ascii="Arial" w:cs="Arial" w:eastAsia="Arial" w:hAnsi="Arial"/>
          <w:sz w:val="16"/>
          <w:szCs w:val="16"/>
          <w:color w:val="auto"/>
        </w:rPr>
        <w:t xml:space="preserve"> </w:t>
      </w:r>
      <w:hyperlink w:anchor="page15">
        <w:r>
          <w:rPr>
            <w:rFonts w:ascii="Arial" w:cs="Arial" w:eastAsia="Arial" w:hAnsi="Arial"/>
            <w:sz w:val="16"/>
            <w:szCs w:val="16"/>
            <w:color w:val="auto"/>
          </w:rPr>
          <w:t>Board Attendance</w:t>
        </w:r>
      </w:hyperlink>
    </w:p>
    <w:p>
      <w:pPr>
        <w:spacing w:after="0" w:line="1" w:lineRule="exact"/>
        <w:rPr>
          <w:sz w:val="20"/>
          <w:szCs w:val="20"/>
          <w:color w:val="auto"/>
        </w:rPr>
      </w:pPr>
    </w:p>
    <w:p>
      <w:pPr>
        <w:ind w:left="20" w:right="677"/>
        <w:spacing w:after="0" w:line="454" w:lineRule="auto"/>
        <w:rPr>
          <w:rFonts w:ascii="Arial" w:cs="Arial" w:eastAsia="Arial" w:hAnsi="Arial"/>
          <w:sz w:val="16"/>
          <w:szCs w:val="16"/>
          <w:color w:val="auto"/>
        </w:rPr>
      </w:pPr>
      <w:hyperlink w:anchor="page15">
        <w:r>
          <w:rPr>
            <w:rFonts w:ascii="Arial" w:cs="Arial" w:eastAsia="Arial" w:hAnsi="Arial"/>
            <w:sz w:val="16"/>
            <w:szCs w:val="16"/>
            <w:color w:val="auto"/>
          </w:rPr>
          <w:t>Summary of Directors-</w:t>
        </w:r>
      </w:hyperlink>
      <w:r>
        <w:rPr>
          <w:rFonts w:ascii="Arial" w:cs="Arial" w:eastAsia="Arial" w:hAnsi="Arial"/>
          <w:sz w:val="16"/>
          <w:szCs w:val="16"/>
          <w:color w:val="auto"/>
        </w:rPr>
        <w:t xml:space="preserve">Nominees' </w:t>
      </w:r>
      <w:hyperlink w:anchor="page15">
        <w:r>
          <w:rPr>
            <w:rFonts w:ascii="Arial" w:cs="Arial" w:eastAsia="Arial" w:hAnsi="Arial"/>
            <w:sz w:val="16"/>
            <w:szCs w:val="16"/>
            <w:color w:val="auto"/>
          </w:rPr>
          <w:t>Core Competencies</w:t>
        </w:r>
      </w:hyperlink>
      <w:r>
        <w:rPr>
          <w:rFonts w:ascii="Arial" w:cs="Arial" w:eastAsia="Arial" w:hAnsi="Arial"/>
          <w:sz w:val="16"/>
          <w:szCs w:val="16"/>
          <w:color w:val="auto"/>
        </w:rPr>
        <w:t xml:space="preserve"> </w:t>
      </w:r>
      <w:hyperlink w:anchor="page16">
        <w:r>
          <w:rPr>
            <w:rFonts w:ascii="Arial" w:cs="Arial" w:eastAsia="Arial" w:hAnsi="Arial"/>
            <w:sz w:val="16"/>
            <w:szCs w:val="16"/>
            <w:color w:val="auto"/>
          </w:rPr>
          <w:t>Director-Nominees</w:t>
        </w:r>
      </w:hyperlink>
    </w:p>
    <w:p>
      <w:pPr>
        <w:spacing w:after="0" w:line="6"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hyperlink w:anchor="page20">
        <w:r>
          <w:rPr>
            <w:rFonts w:ascii="Arial" w:cs="Arial" w:eastAsia="Arial" w:hAnsi="Arial"/>
            <w:sz w:val="16"/>
            <w:szCs w:val="16"/>
            <w:color w:val="auto"/>
          </w:rPr>
          <w:t>Board Effectiveness, Evaluations and Refreshment</w:t>
        </w:r>
      </w:hyperlink>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ind w:left="20"/>
        <w:spacing w:after="0"/>
        <w:rPr>
          <w:rFonts w:ascii="Arial" w:cs="Arial" w:eastAsia="Arial" w:hAnsi="Arial"/>
          <w:sz w:val="16"/>
          <w:szCs w:val="16"/>
          <w:b w:val="1"/>
          <w:bCs w:val="1"/>
          <w:color w:val="002E6D"/>
        </w:rPr>
      </w:pPr>
      <w:hyperlink w:anchor="page22">
        <w:r>
          <w:rPr>
            <w:rFonts w:ascii="Arial" w:cs="Arial" w:eastAsia="Arial" w:hAnsi="Arial"/>
            <w:sz w:val="16"/>
            <w:szCs w:val="16"/>
            <w:b w:val="1"/>
            <w:bCs w:val="1"/>
            <w:color w:val="002E6D"/>
          </w:rPr>
          <w:t>CORPORATE GOVERNANCE</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4715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21"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hyperlink w:anchor="page23">
        <w:r>
          <w:rPr>
            <w:rFonts w:ascii="Arial" w:cs="Arial" w:eastAsia="Arial" w:hAnsi="Arial"/>
            <w:sz w:val="16"/>
            <w:szCs w:val="16"/>
            <w:color w:val="auto"/>
          </w:rPr>
          <w:t>Independent Lead Director</w:t>
        </w:r>
      </w:hyperlink>
    </w:p>
    <w:p>
      <w:pPr>
        <w:spacing w:after="0" w:line="181"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hyperlink w:anchor="page23">
        <w:r>
          <w:rPr>
            <w:rFonts w:ascii="Arial" w:cs="Arial" w:eastAsia="Arial" w:hAnsi="Arial"/>
            <w:sz w:val="16"/>
            <w:szCs w:val="16"/>
            <w:color w:val="auto"/>
          </w:rPr>
          <w:t>Message from Independent Lead Director</w:t>
        </w:r>
      </w:hyperlink>
    </w:p>
    <w:p>
      <w:pPr>
        <w:spacing w:after="0" w:line="181"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hyperlink w:anchor="page24">
        <w:r>
          <w:rPr>
            <w:rFonts w:ascii="Arial" w:cs="Arial" w:eastAsia="Arial" w:hAnsi="Arial"/>
            <w:sz w:val="16"/>
            <w:szCs w:val="16"/>
            <w:color w:val="auto"/>
          </w:rPr>
          <w:t>Board Leadership Structure</w:t>
        </w:r>
      </w:hyperlink>
    </w:p>
    <w:p>
      <w:pPr>
        <w:spacing w:after="0" w:line="100"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hyperlink w:anchor="page25">
        <w:r>
          <w:rPr>
            <w:rFonts w:ascii="Arial" w:cs="Arial" w:eastAsia="Arial" w:hAnsi="Arial"/>
            <w:sz w:val="16"/>
            <w:szCs w:val="16"/>
            <w:color w:val="auto"/>
          </w:rPr>
          <w:t>Executive Sessions</w:t>
        </w:r>
      </w:hyperlink>
    </w:p>
    <w:p>
      <w:pPr>
        <w:spacing w:after="0" w:line="181" w:lineRule="exact"/>
        <w:rPr>
          <w:rFonts w:ascii="Arial" w:cs="Arial" w:eastAsia="Arial" w:hAnsi="Arial"/>
          <w:sz w:val="16"/>
          <w:szCs w:val="16"/>
          <w:color w:val="auto"/>
        </w:rPr>
      </w:pPr>
    </w:p>
    <w:p>
      <w:pPr>
        <w:ind w:left="20" w:right="1857"/>
        <w:spacing w:after="0" w:line="489" w:lineRule="auto"/>
        <w:rPr>
          <w:rFonts w:ascii="Arial" w:cs="Arial" w:eastAsia="Arial" w:hAnsi="Arial"/>
          <w:sz w:val="16"/>
          <w:szCs w:val="16"/>
          <w:color w:val="auto"/>
        </w:rPr>
      </w:pPr>
      <w:hyperlink w:anchor="page25">
        <w:r>
          <w:rPr>
            <w:rFonts w:ascii="Arial" w:cs="Arial" w:eastAsia="Arial" w:hAnsi="Arial"/>
            <w:sz w:val="16"/>
            <w:szCs w:val="16"/>
            <w:color w:val="auto"/>
          </w:rPr>
          <w:t>Committees of the Board of Directors</w:t>
        </w:r>
      </w:hyperlink>
      <w:r>
        <w:rPr>
          <w:rFonts w:ascii="Arial" w:cs="Arial" w:eastAsia="Arial" w:hAnsi="Arial"/>
          <w:sz w:val="16"/>
          <w:szCs w:val="16"/>
          <w:color w:val="auto"/>
        </w:rPr>
        <w:t xml:space="preserve"> </w:t>
      </w:r>
      <w:hyperlink w:anchor="page27">
        <w:r>
          <w:rPr>
            <w:rFonts w:ascii="Arial" w:cs="Arial" w:eastAsia="Arial" w:hAnsi="Arial"/>
            <w:sz w:val="16"/>
            <w:szCs w:val="16"/>
            <w:color w:val="auto"/>
          </w:rPr>
          <w:t>Board Role and Responsibilities</w:t>
        </w:r>
      </w:hyperlink>
    </w:p>
    <w:p>
      <w:pPr>
        <w:spacing w:after="0" w:line="60" w:lineRule="exact"/>
        <w:rPr>
          <w:sz w:val="20"/>
          <w:szCs w:val="20"/>
          <w:color w:val="auto"/>
        </w:rPr>
      </w:pPr>
    </w:p>
    <w:p>
      <w:pPr>
        <w:ind w:left="20"/>
        <w:spacing w:after="0"/>
        <w:rPr>
          <w:rFonts w:ascii="Arial" w:cs="Arial" w:eastAsia="Arial" w:hAnsi="Arial"/>
          <w:sz w:val="16"/>
          <w:szCs w:val="16"/>
          <w:color w:val="auto"/>
        </w:rPr>
      </w:pPr>
      <w:hyperlink w:anchor="page27">
        <w:r>
          <w:rPr>
            <w:rFonts w:ascii="Arial" w:cs="Arial" w:eastAsia="Arial" w:hAnsi="Arial"/>
            <w:sz w:val="16"/>
            <w:szCs w:val="16"/>
            <w:color w:val="auto"/>
          </w:rPr>
          <w:t>Board Role in Strategic Planning</w:t>
        </w:r>
      </w:hyperlink>
    </w:p>
    <w:p>
      <w:pPr>
        <w:spacing w:after="0" w:line="181" w:lineRule="exact"/>
        <w:rPr>
          <w:sz w:val="20"/>
          <w:szCs w:val="20"/>
          <w:color w:val="auto"/>
        </w:rPr>
      </w:pPr>
    </w:p>
    <w:p>
      <w:pPr>
        <w:ind w:left="20"/>
        <w:spacing w:after="0"/>
        <w:rPr>
          <w:rFonts w:ascii="Arial" w:cs="Arial" w:eastAsia="Arial" w:hAnsi="Arial"/>
          <w:sz w:val="16"/>
          <w:szCs w:val="16"/>
          <w:color w:val="auto"/>
        </w:rPr>
      </w:pPr>
      <w:hyperlink w:anchor="page27">
        <w:r>
          <w:rPr>
            <w:rFonts w:ascii="Arial" w:cs="Arial" w:eastAsia="Arial" w:hAnsi="Arial"/>
            <w:sz w:val="16"/>
            <w:szCs w:val="16"/>
            <w:color w:val="auto"/>
          </w:rPr>
          <w:t>Enterprise Risk Management</w:t>
        </w:r>
      </w:hyperlink>
    </w:p>
    <w:p>
      <w:pPr>
        <w:spacing w:after="0" w:line="181" w:lineRule="exact"/>
        <w:rPr>
          <w:sz w:val="20"/>
          <w:szCs w:val="20"/>
          <w:color w:val="auto"/>
        </w:rPr>
      </w:pPr>
    </w:p>
    <w:p>
      <w:pPr>
        <w:ind w:left="20"/>
        <w:spacing w:after="0"/>
        <w:rPr>
          <w:rFonts w:ascii="Arial" w:cs="Arial" w:eastAsia="Arial" w:hAnsi="Arial"/>
          <w:sz w:val="16"/>
          <w:szCs w:val="16"/>
          <w:color w:val="auto"/>
        </w:rPr>
      </w:pPr>
      <w:hyperlink w:anchor="page28">
        <w:r>
          <w:rPr>
            <w:rFonts w:ascii="Arial" w:cs="Arial" w:eastAsia="Arial" w:hAnsi="Arial"/>
            <w:sz w:val="16"/>
            <w:szCs w:val="16"/>
            <w:color w:val="auto"/>
          </w:rPr>
          <w:t>Cybersecurity</w:t>
        </w:r>
      </w:hyperlink>
    </w:p>
    <w:p>
      <w:pPr>
        <w:spacing w:after="0" w:line="181" w:lineRule="exact"/>
        <w:rPr>
          <w:sz w:val="20"/>
          <w:szCs w:val="20"/>
          <w:color w:val="auto"/>
        </w:rPr>
      </w:pPr>
    </w:p>
    <w:p>
      <w:pPr>
        <w:ind w:left="20"/>
        <w:spacing w:after="0"/>
        <w:rPr>
          <w:rFonts w:ascii="Arial" w:cs="Arial" w:eastAsia="Arial" w:hAnsi="Arial"/>
          <w:sz w:val="16"/>
          <w:szCs w:val="16"/>
          <w:color w:val="auto"/>
        </w:rPr>
      </w:pPr>
      <w:hyperlink w:anchor="page28">
        <w:r>
          <w:rPr>
            <w:rFonts w:ascii="Arial" w:cs="Arial" w:eastAsia="Arial" w:hAnsi="Arial"/>
            <w:sz w:val="16"/>
            <w:szCs w:val="16"/>
            <w:color w:val="auto"/>
          </w:rPr>
          <w:t>Talent Management and Succession Planning</w:t>
        </w:r>
      </w:hyperlink>
    </w:p>
    <w:p>
      <w:pPr>
        <w:spacing w:after="0" w:line="181" w:lineRule="exact"/>
        <w:rPr>
          <w:sz w:val="20"/>
          <w:szCs w:val="20"/>
          <w:color w:val="auto"/>
        </w:rPr>
      </w:pPr>
    </w:p>
    <w:p>
      <w:pPr>
        <w:ind w:left="20"/>
        <w:spacing w:after="0"/>
        <w:rPr>
          <w:rFonts w:ascii="Arial" w:cs="Arial" w:eastAsia="Arial" w:hAnsi="Arial"/>
          <w:sz w:val="16"/>
          <w:szCs w:val="16"/>
          <w:color w:val="auto"/>
        </w:rPr>
      </w:pPr>
      <w:hyperlink w:anchor="page28">
        <w:r>
          <w:rPr>
            <w:rFonts w:ascii="Arial" w:cs="Arial" w:eastAsia="Arial" w:hAnsi="Arial"/>
            <w:sz w:val="16"/>
            <w:szCs w:val="16"/>
            <w:color w:val="auto"/>
          </w:rPr>
          <w:t>Board Oversight of People Strategy</w:t>
        </w:r>
      </w:hyperlink>
    </w:p>
    <w:p>
      <w:pPr>
        <w:spacing w:after="0" w:line="181" w:lineRule="exact"/>
        <w:rPr>
          <w:sz w:val="20"/>
          <w:szCs w:val="20"/>
          <w:color w:val="auto"/>
        </w:rPr>
      </w:pPr>
    </w:p>
    <w:p>
      <w:pPr>
        <w:ind w:left="20"/>
        <w:spacing w:after="0"/>
        <w:rPr>
          <w:rFonts w:ascii="Arial" w:cs="Arial" w:eastAsia="Arial" w:hAnsi="Arial"/>
          <w:sz w:val="16"/>
          <w:szCs w:val="16"/>
          <w:color w:val="auto"/>
        </w:rPr>
      </w:pPr>
      <w:hyperlink w:anchor="page30">
        <w:r>
          <w:rPr>
            <w:rFonts w:ascii="Arial" w:cs="Arial" w:eastAsia="Arial" w:hAnsi="Arial"/>
            <w:sz w:val="16"/>
            <w:szCs w:val="16"/>
            <w:color w:val="auto"/>
          </w:rPr>
          <w:t>Human Rights</w:t>
        </w:r>
      </w:hyperlink>
    </w:p>
    <w:p>
      <w:pPr>
        <w:spacing w:after="0" w:line="181" w:lineRule="exact"/>
        <w:rPr>
          <w:sz w:val="20"/>
          <w:szCs w:val="20"/>
          <w:color w:val="auto"/>
        </w:rPr>
      </w:pPr>
    </w:p>
    <w:p>
      <w:pPr>
        <w:ind w:left="20" w:right="1157"/>
        <w:spacing w:after="0" w:line="383" w:lineRule="auto"/>
        <w:rPr>
          <w:rFonts w:ascii="Arial" w:cs="Arial" w:eastAsia="Arial" w:hAnsi="Arial"/>
          <w:sz w:val="16"/>
          <w:szCs w:val="16"/>
          <w:color w:val="auto"/>
        </w:rPr>
      </w:pPr>
      <w:hyperlink w:anchor="page31">
        <w:r>
          <w:rPr>
            <w:rFonts w:ascii="Arial" w:cs="Arial" w:eastAsia="Arial" w:hAnsi="Arial"/>
            <w:sz w:val="16"/>
            <w:szCs w:val="16"/>
            <w:color w:val="auto"/>
          </w:rPr>
          <w:t>Stockholder Engagement and Responsiveness</w:t>
        </w:r>
      </w:hyperlink>
      <w:r>
        <w:rPr>
          <w:rFonts w:ascii="Arial" w:cs="Arial" w:eastAsia="Arial" w:hAnsi="Arial"/>
          <w:sz w:val="16"/>
          <w:szCs w:val="16"/>
          <w:color w:val="auto"/>
        </w:rPr>
        <w:t xml:space="preserve"> </w:t>
      </w:r>
      <w:hyperlink w:anchor="page32">
        <w:r>
          <w:rPr>
            <w:rFonts w:ascii="Arial" w:cs="Arial" w:eastAsia="Arial" w:hAnsi="Arial"/>
            <w:sz w:val="16"/>
            <w:szCs w:val="16"/>
            <w:color w:val="auto"/>
          </w:rPr>
          <w:t>Board Policies and Processes</w:t>
        </w:r>
      </w:hyperlink>
    </w:p>
    <w:p>
      <w:pPr>
        <w:spacing w:after="0" w:line="61" w:lineRule="exact"/>
        <w:rPr>
          <w:sz w:val="20"/>
          <w:szCs w:val="20"/>
          <w:color w:val="auto"/>
        </w:rPr>
      </w:pPr>
    </w:p>
    <w:p>
      <w:pPr>
        <w:ind w:left="20"/>
        <w:spacing w:after="0"/>
        <w:rPr>
          <w:rFonts w:ascii="Arial" w:cs="Arial" w:eastAsia="Arial" w:hAnsi="Arial"/>
          <w:sz w:val="16"/>
          <w:szCs w:val="16"/>
          <w:color w:val="auto"/>
        </w:rPr>
      </w:pPr>
      <w:hyperlink w:anchor="page33">
        <w:r>
          <w:rPr>
            <w:rFonts w:ascii="Arial" w:cs="Arial" w:eastAsia="Arial" w:hAnsi="Arial"/>
            <w:sz w:val="16"/>
            <w:szCs w:val="16"/>
            <w:color w:val="auto"/>
          </w:rPr>
          <w:t>Corporate Governance Guidelines</w:t>
        </w:r>
      </w:hyperlink>
    </w:p>
    <w:p>
      <w:pPr>
        <w:spacing w:after="0" w:line="262" w:lineRule="exact"/>
        <w:rPr>
          <w:sz w:val="20"/>
          <w:szCs w:val="20"/>
          <w:color w:val="auto"/>
        </w:rPr>
      </w:pPr>
    </w:p>
    <w:p>
      <w:pPr>
        <w:ind w:left="20"/>
        <w:spacing w:after="0"/>
        <w:rPr>
          <w:rFonts w:ascii="Arial" w:cs="Arial" w:eastAsia="Arial" w:hAnsi="Arial"/>
          <w:sz w:val="16"/>
          <w:szCs w:val="16"/>
          <w:color w:val="auto"/>
        </w:rPr>
      </w:pPr>
      <w:hyperlink w:anchor="page33">
        <w:r>
          <w:rPr>
            <w:rFonts w:ascii="Arial" w:cs="Arial" w:eastAsia="Arial" w:hAnsi="Arial"/>
            <w:sz w:val="16"/>
            <w:szCs w:val="16"/>
            <w:color w:val="auto"/>
          </w:rPr>
          <w:t>Director Overboarding Policy</w:t>
        </w:r>
      </w:hyperlink>
    </w:p>
    <w:p>
      <w:pPr>
        <w:spacing w:after="0" w:line="100" w:lineRule="exact"/>
        <w:rPr>
          <w:sz w:val="20"/>
          <w:szCs w:val="20"/>
          <w:color w:val="auto"/>
        </w:rPr>
      </w:pPr>
    </w:p>
    <w:p>
      <w:pPr>
        <w:ind w:left="20"/>
        <w:spacing w:after="0"/>
        <w:rPr>
          <w:rFonts w:ascii="Arial" w:cs="Arial" w:eastAsia="Arial" w:hAnsi="Arial"/>
          <w:sz w:val="16"/>
          <w:szCs w:val="16"/>
          <w:color w:val="auto"/>
        </w:rPr>
      </w:pPr>
      <w:hyperlink w:anchor="page33">
        <w:r>
          <w:rPr>
            <w:rFonts w:ascii="Arial" w:cs="Arial" w:eastAsia="Arial" w:hAnsi="Arial"/>
            <w:sz w:val="16"/>
            <w:szCs w:val="16"/>
            <w:color w:val="auto"/>
          </w:rPr>
          <w:t>Director Independence</w:t>
        </w:r>
      </w:hyperlink>
    </w:p>
    <w:p>
      <w:pPr>
        <w:spacing w:after="0" w:line="154" w:lineRule="exact"/>
        <w:rPr>
          <w:sz w:val="20"/>
          <w:szCs w:val="20"/>
          <w:color w:val="auto"/>
        </w:rPr>
      </w:pPr>
    </w:p>
    <w:p>
      <w:pPr>
        <w:ind w:left="20"/>
        <w:spacing w:after="0"/>
        <w:rPr>
          <w:rFonts w:ascii="Arial" w:cs="Arial" w:eastAsia="Arial" w:hAnsi="Arial"/>
          <w:sz w:val="16"/>
          <w:szCs w:val="16"/>
          <w:color w:val="auto"/>
        </w:rPr>
      </w:pPr>
      <w:hyperlink w:anchor="page34">
        <w:r>
          <w:rPr>
            <w:rFonts w:ascii="Arial" w:cs="Arial" w:eastAsia="Arial" w:hAnsi="Arial"/>
            <w:sz w:val="16"/>
            <w:szCs w:val="16"/>
            <w:color w:val="auto"/>
          </w:rPr>
          <w:t>Related Person Transaction Policy</w:t>
        </w:r>
      </w:hyperlink>
    </w:p>
    <w:p>
      <w:pPr>
        <w:spacing w:after="0" w:line="46" w:lineRule="exact"/>
        <w:rPr>
          <w:sz w:val="20"/>
          <w:szCs w:val="20"/>
          <w:color w:val="auto"/>
        </w:rPr>
      </w:pPr>
    </w:p>
    <w:p>
      <w:pPr>
        <w:ind w:left="20" w:right="377"/>
        <w:spacing w:after="0" w:line="278" w:lineRule="auto"/>
        <w:rPr>
          <w:rFonts w:ascii="Arial" w:cs="Arial" w:eastAsia="Arial" w:hAnsi="Arial"/>
          <w:sz w:val="16"/>
          <w:szCs w:val="16"/>
          <w:color w:val="auto"/>
        </w:rPr>
      </w:pPr>
      <w:hyperlink w:anchor="page35">
        <w:r>
          <w:rPr>
            <w:rFonts w:ascii="Arial" w:cs="Arial" w:eastAsia="Arial" w:hAnsi="Arial"/>
            <w:sz w:val="16"/>
            <w:szCs w:val="16"/>
            <w:color w:val="auto"/>
          </w:rPr>
          <w:t>Certain Relationships and Related Person Transactions of</w:t>
        </w:r>
      </w:hyperlink>
      <w:r>
        <w:rPr>
          <w:rFonts w:ascii="Arial" w:cs="Arial" w:eastAsia="Arial" w:hAnsi="Arial"/>
          <w:sz w:val="16"/>
          <w:szCs w:val="16"/>
          <w:color w:val="auto"/>
        </w:rPr>
        <w:t xml:space="preserve"> </w:t>
      </w:r>
      <w:hyperlink w:anchor="page35">
        <w:r>
          <w:rPr>
            <w:rFonts w:ascii="Arial" w:cs="Arial" w:eastAsia="Arial" w:hAnsi="Arial"/>
            <w:sz w:val="16"/>
            <w:szCs w:val="16"/>
            <w:color w:val="auto"/>
          </w:rPr>
          <w:t>Directors, Executive Officers and 5 Percent Stockholders</w:t>
        </w:r>
      </w:hyperlink>
    </w:p>
    <w:p>
      <w:pPr>
        <w:spacing w:after="0" w:line="127" w:lineRule="exact"/>
        <w:rPr>
          <w:sz w:val="20"/>
          <w:szCs w:val="20"/>
          <w:color w:val="auto"/>
        </w:rPr>
      </w:pPr>
    </w:p>
    <w:p>
      <w:pPr>
        <w:ind w:left="20"/>
        <w:spacing w:after="0"/>
        <w:rPr>
          <w:rFonts w:ascii="Arial" w:cs="Arial" w:eastAsia="Arial" w:hAnsi="Arial"/>
          <w:sz w:val="16"/>
          <w:szCs w:val="16"/>
          <w:color w:val="auto"/>
        </w:rPr>
      </w:pPr>
      <w:hyperlink w:anchor="page35">
        <w:r>
          <w:rPr>
            <w:rFonts w:ascii="Arial" w:cs="Arial" w:eastAsia="Arial" w:hAnsi="Arial"/>
            <w:sz w:val="16"/>
            <w:szCs w:val="16"/>
            <w:color w:val="auto"/>
          </w:rPr>
          <w:t>Accountability to Stockholders</w:t>
        </w:r>
      </w:hyperlink>
    </w:p>
    <w:p>
      <w:pPr>
        <w:spacing w:after="0" w:line="235" w:lineRule="exact"/>
        <w:rPr>
          <w:sz w:val="20"/>
          <w:szCs w:val="20"/>
          <w:color w:val="auto"/>
        </w:rPr>
      </w:pPr>
    </w:p>
    <w:p>
      <w:pPr>
        <w:ind w:left="20"/>
        <w:spacing w:after="0"/>
        <w:rPr>
          <w:rFonts w:ascii="Arial" w:cs="Arial" w:eastAsia="Arial" w:hAnsi="Arial"/>
          <w:sz w:val="16"/>
          <w:szCs w:val="16"/>
          <w:color w:val="auto"/>
        </w:rPr>
      </w:pPr>
      <w:hyperlink w:anchor="page35">
        <w:r>
          <w:rPr>
            <w:rFonts w:ascii="Arial" w:cs="Arial" w:eastAsia="Arial" w:hAnsi="Arial"/>
            <w:sz w:val="16"/>
            <w:szCs w:val="16"/>
            <w:color w:val="auto"/>
          </w:rPr>
          <w:t>Majority Voting Policy for Director Elections</w:t>
        </w:r>
      </w:hyperlink>
    </w:p>
    <w:p>
      <w:pPr>
        <w:spacing w:after="0" w:line="127" w:lineRule="exact"/>
        <w:rPr>
          <w:sz w:val="20"/>
          <w:szCs w:val="20"/>
          <w:color w:val="auto"/>
        </w:rPr>
      </w:pPr>
    </w:p>
    <w:p>
      <w:pPr>
        <w:ind w:left="20"/>
        <w:spacing w:after="0"/>
        <w:rPr>
          <w:rFonts w:ascii="Arial" w:cs="Arial" w:eastAsia="Arial" w:hAnsi="Arial"/>
          <w:sz w:val="16"/>
          <w:szCs w:val="16"/>
          <w:color w:val="auto"/>
        </w:rPr>
      </w:pPr>
      <w:hyperlink w:anchor="page36">
        <w:r>
          <w:rPr>
            <w:rFonts w:ascii="Arial" w:cs="Arial" w:eastAsia="Arial" w:hAnsi="Arial"/>
            <w:sz w:val="16"/>
            <w:szCs w:val="16"/>
            <w:color w:val="auto"/>
          </w:rPr>
          <w:t>Stockholder Right to Amend Bylaws</w:t>
        </w:r>
      </w:hyperlink>
    </w:p>
    <w:p>
      <w:pPr>
        <w:spacing w:after="0" w:line="140" w:lineRule="exact"/>
        <w:rPr>
          <w:sz w:val="20"/>
          <w:szCs w:val="20"/>
          <w:color w:val="auto"/>
        </w:rPr>
      </w:pPr>
    </w:p>
    <w:p>
      <w:pPr>
        <w:ind w:left="20"/>
        <w:spacing w:after="0"/>
        <w:rPr>
          <w:rFonts w:ascii="Arial" w:cs="Arial" w:eastAsia="Arial" w:hAnsi="Arial"/>
          <w:sz w:val="16"/>
          <w:szCs w:val="16"/>
          <w:color w:val="auto"/>
        </w:rPr>
      </w:pPr>
      <w:hyperlink w:anchor="page36">
        <w:r>
          <w:rPr>
            <w:rFonts w:ascii="Arial" w:cs="Arial" w:eastAsia="Arial" w:hAnsi="Arial"/>
            <w:sz w:val="16"/>
            <w:szCs w:val="16"/>
            <w:color w:val="auto"/>
          </w:rPr>
          <w:t>Proxy Access</w:t>
        </w:r>
      </w:hyperlink>
    </w:p>
    <w:p>
      <w:pPr>
        <w:spacing w:after="0" w:line="140" w:lineRule="exact"/>
        <w:rPr>
          <w:sz w:val="20"/>
          <w:szCs w:val="20"/>
          <w:color w:val="auto"/>
        </w:rPr>
      </w:pPr>
    </w:p>
    <w:p>
      <w:pPr>
        <w:ind w:left="20"/>
        <w:spacing w:after="0"/>
        <w:rPr>
          <w:rFonts w:ascii="Arial" w:cs="Arial" w:eastAsia="Arial" w:hAnsi="Arial"/>
          <w:sz w:val="16"/>
          <w:szCs w:val="16"/>
          <w:color w:val="auto"/>
        </w:rPr>
      </w:pPr>
      <w:hyperlink w:anchor="page36">
        <w:r>
          <w:rPr>
            <w:rFonts w:ascii="Arial" w:cs="Arial" w:eastAsia="Arial" w:hAnsi="Arial"/>
            <w:sz w:val="16"/>
            <w:szCs w:val="16"/>
            <w:color w:val="auto"/>
          </w:rPr>
          <w:t>Stockholder Right to Call Special Meeting</w:t>
        </w:r>
      </w:hyperlink>
    </w:p>
    <w:p>
      <w:pPr>
        <w:spacing w:after="0" w:line="154" w:lineRule="exact"/>
        <w:rPr>
          <w:sz w:val="20"/>
          <w:szCs w:val="20"/>
          <w:color w:val="auto"/>
        </w:rPr>
      </w:pPr>
    </w:p>
    <w:p>
      <w:pPr>
        <w:ind w:left="20"/>
        <w:spacing w:after="0"/>
        <w:rPr>
          <w:rFonts w:ascii="Arial" w:cs="Arial" w:eastAsia="Arial" w:hAnsi="Arial"/>
          <w:sz w:val="16"/>
          <w:szCs w:val="16"/>
          <w:color w:val="auto"/>
        </w:rPr>
      </w:pPr>
      <w:hyperlink w:anchor="page36">
        <w:r>
          <w:rPr>
            <w:rFonts w:ascii="Arial" w:cs="Arial" w:eastAsia="Arial" w:hAnsi="Arial"/>
            <w:sz w:val="16"/>
            <w:szCs w:val="16"/>
            <w:color w:val="auto"/>
          </w:rPr>
          <w:t>No Poison Pill</w:t>
        </w:r>
      </w:hyperlink>
    </w:p>
    <w:p>
      <w:pPr>
        <w:spacing w:after="0" w:line="200" w:lineRule="exact"/>
        <w:rPr>
          <w:sz w:val="20"/>
          <w:szCs w:val="20"/>
          <w:color w:val="auto"/>
        </w:rPr>
      </w:pPr>
    </w:p>
    <w:p>
      <w:pPr>
        <w:spacing w:after="0" w:line="217" w:lineRule="exact"/>
        <w:rPr>
          <w:sz w:val="20"/>
          <w:szCs w:val="20"/>
          <w:color w:val="auto"/>
        </w:rPr>
      </w:pPr>
    </w:p>
    <w:p>
      <w:pPr>
        <w:ind w:left="20"/>
        <w:spacing w:after="0"/>
        <w:rPr>
          <w:rFonts w:ascii="Arial" w:cs="Arial" w:eastAsia="Arial" w:hAnsi="Arial"/>
          <w:sz w:val="16"/>
          <w:szCs w:val="16"/>
          <w:b w:val="1"/>
          <w:bCs w:val="1"/>
          <w:color w:val="002E6D"/>
        </w:rPr>
      </w:pPr>
      <w:hyperlink w:anchor="page36">
        <w:r>
          <w:rPr>
            <w:rFonts w:ascii="Arial" w:cs="Arial" w:eastAsia="Arial" w:hAnsi="Arial"/>
            <w:sz w:val="16"/>
            <w:szCs w:val="16"/>
            <w:b w:val="1"/>
            <w:bCs w:val="1"/>
            <w:color w:val="002E6D"/>
          </w:rPr>
          <w:t>ENTERPRISE RISK AND SUSTAINABILITY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4715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7" w:lineRule="exact"/>
        <w:rPr>
          <w:sz w:val="20"/>
          <w:szCs w:val="20"/>
          <w:color w:val="auto"/>
        </w:rPr>
      </w:pPr>
    </w:p>
    <w:p>
      <w:pPr>
        <w:ind w:left="20" w:right="1677"/>
        <w:spacing w:after="0" w:line="295" w:lineRule="auto"/>
        <w:rPr>
          <w:rFonts w:ascii="Arial" w:cs="Arial" w:eastAsia="Arial" w:hAnsi="Arial"/>
          <w:sz w:val="16"/>
          <w:szCs w:val="16"/>
          <w:color w:val="auto"/>
        </w:rPr>
      </w:pPr>
      <w:hyperlink w:anchor="page37">
        <w:r>
          <w:rPr>
            <w:rFonts w:ascii="Arial" w:cs="Arial" w:eastAsia="Arial" w:hAnsi="Arial"/>
            <w:sz w:val="16"/>
            <w:szCs w:val="16"/>
            <w:color w:val="auto"/>
          </w:rPr>
          <w:t>Enterprise Risk Management Highlights</w:t>
        </w:r>
      </w:hyperlink>
      <w:r>
        <w:rPr>
          <w:rFonts w:ascii="Arial" w:cs="Arial" w:eastAsia="Arial" w:hAnsi="Arial"/>
          <w:sz w:val="16"/>
          <w:szCs w:val="16"/>
          <w:color w:val="auto"/>
        </w:rPr>
        <w:t xml:space="preserve"> </w:t>
      </w:r>
      <w:hyperlink w:anchor="page37">
        <w:r>
          <w:rPr>
            <w:rFonts w:ascii="Arial" w:cs="Arial" w:eastAsia="Arial" w:hAnsi="Arial"/>
            <w:sz w:val="16"/>
            <w:szCs w:val="16"/>
            <w:color w:val="auto"/>
          </w:rPr>
          <w:t>Beyond 2020 Sustainability Priorities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3" w:type="dxa"/>
        <w:tblCellMar>
          <w:top w:w="0" w:type="dxa"/>
          <w:left w:w="0" w:type="dxa"/>
          <w:bottom w:w="0" w:type="dxa"/>
          <w:right w:w="0" w:type="dxa"/>
        </w:tblCellMar>
      </w:tblPr>
      <w:tr>
        <w:trPr>
          <w:trHeight w:val="242"/>
        </w:trPr>
        <w:tc>
          <w:tcPr>
            <w:tcW w:w="400" w:type="dxa"/>
            <w:vAlign w:val="bottom"/>
          </w:tcPr>
          <w:p>
            <w:pPr>
              <w:jc w:val="right"/>
              <w:ind w:right="139"/>
              <w:spacing w:after="0"/>
              <w:rPr>
                <w:rFonts w:ascii="Arial" w:cs="Arial" w:eastAsia="Arial" w:hAnsi="Arial"/>
                <w:sz w:val="16"/>
                <w:szCs w:val="16"/>
                <w:b w:val="1"/>
                <w:bCs w:val="1"/>
                <w:color w:val="012E6C"/>
              </w:rPr>
            </w:pPr>
            <w:hyperlink w:anchor="page7">
              <w:r>
                <w:rPr>
                  <w:rFonts w:ascii="Arial" w:cs="Arial" w:eastAsia="Arial" w:hAnsi="Arial"/>
                  <w:sz w:val="16"/>
                  <w:szCs w:val="16"/>
                  <w:b w:val="1"/>
                  <w:bCs w:val="1"/>
                  <w:color w:val="012E6C"/>
                </w:rPr>
                <w:t>4</w:t>
              </w:r>
            </w:hyperlink>
          </w:p>
        </w:tc>
        <w:tc>
          <w:tcPr>
            <w:tcW w:w="4940" w:type="dxa"/>
            <w:vAlign w:val="bottom"/>
          </w:tcPr>
          <w:p>
            <w:pPr>
              <w:ind w:left="20"/>
              <w:spacing w:after="0"/>
              <w:rPr>
                <w:rFonts w:ascii="Arial" w:cs="Arial" w:eastAsia="Arial" w:hAnsi="Arial"/>
                <w:sz w:val="16"/>
                <w:szCs w:val="16"/>
                <w:color w:val="auto"/>
              </w:rPr>
            </w:pPr>
            <w:hyperlink w:anchor="page38">
              <w:r>
                <w:rPr>
                  <w:rFonts w:ascii="Arial" w:cs="Arial" w:eastAsia="Arial" w:hAnsi="Arial"/>
                  <w:sz w:val="16"/>
                  <w:szCs w:val="16"/>
                  <w:color w:val="auto"/>
                </w:rPr>
                <w:t>Sustainability Highlights</w:t>
              </w:r>
            </w:hyperlink>
          </w:p>
        </w:tc>
        <w:tc>
          <w:tcPr>
            <w:tcW w:w="620" w:type="dxa"/>
            <w:vAlign w:val="bottom"/>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34</w:t>
              </w:r>
            </w:hyperlink>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4940" w:type="dxa"/>
            <w:vAlign w:val="bottom"/>
          </w:tcPr>
          <w:p>
            <w:pPr>
              <w:ind w:left="20"/>
              <w:spacing w:after="0"/>
              <w:rPr>
                <w:rFonts w:ascii="Arial" w:cs="Arial" w:eastAsia="Arial" w:hAnsi="Arial"/>
                <w:sz w:val="16"/>
                <w:szCs w:val="16"/>
                <w:color w:val="auto"/>
              </w:rPr>
            </w:pPr>
            <w:hyperlink w:anchor="page38">
              <w:r>
                <w:rPr>
                  <w:rFonts w:ascii="Arial" w:cs="Arial" w:eastAsia="Arial" w:hAnsi="Arial"/>
                  <w:sz w:val="16"/>
                  <w:szCs w:val="16"/>
                  <w:color w:val="auto"/>
                </w:rPr>
                <w:t>Climate &amp; Environmental Stewardship</w:t>
              </w:r>
            </w:hyperlink>
          </w:p>
        </w:tc>
        <w:tc>
          <w:tcPr>
            <w:tcW w:w="620" w:type="dxa"/>
            <w:vAlign w:val="bottom"/>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35</w:t>
              </w:r>
            </w:hyperlink>
          </w:p>
        </w:tc>
        <w:tc>
          <w:tcPr>
            <w:tcW w:w="0" w:type="dxa"/>
            <w:vAlign w:val="bottom"/>
          </w:tcPr>
          <w:p>
            <w:pPr>
              <w:spacing w:after="0"/>
              <w:rPr>
                <w:sz w:val="1"/>
                <w:szCs w:val="1"/>
                <w:color w:val="auto"/>
              </w:rPr>
            </w:pPr>
          </w:p>
        </w:tc>
      </w:tr>
      <w:tr>
        <w:trPr>
          <w:trHeight w:val="297"/>
        </w:trPr>
        <w:tc>
          <w:tcPr>
            <w:tcW w:w="400" w:type="dxa"/>
            <w:vAlign w:val="bottom"/>
          </w:tcPr>
          <w:p>
            <w:pPr>
              <w:jc w:val="right"/>
              <w:ind w:right="139"/>
              <w:spacing w:after="0"/>
              <w:rPr>
                <w:rFonts w:ascii="Arial" w:cs="Arial" w:eastAsia="Arial" w:hAnsi="Arial"/>
                <w:sz w:val="16"/>
                <w:szCs w:val="16"/>
                <w:b w:val="1"/>
                <w:bCs w:val="1"/>
                <w:color w:val="012E6C"/>
              </w:rPr>
            </w:pPr>
            <w:hyperlink w:anchor="page8">
              <w:r>
                <w:rPr>
                  <w:rFonts w:ascii="Arial" w:cs="Arial" w:eastAsia="Arial" w:hAnsi="Arial"/>
                  <w:sz w:val="16"/>
                  <w:szCs w:val="16"/>
                  <w:b w:val="1"/>
                  <w:bCs w:val="1"/>
                  <w:color w:val="012E6C"/>
                </w:rPr>
                <w:t>5</w:t>
              </w:r>
            </w:hyperlink>
          </w:p>
        </w:tc>
        <w:tc>
          <w:tcPr>
            <w:tcW w:w="4940" w:type="dxa"/>
            <w:vAlign w:val="bottom"/>
          </w:tcPr>
          <w:p>
            <w:pPr>
              <w:ind w:left="20"/>
              <w:spacing w:after="0"/>
              <w:rPr>
                <w:rFonts w:ascii="Arial" w:cs="Arial" w:eastAsia="Arial" w:hAnsi="Arial"/>
                <w:sz w:val="16"/>
                <w:szCs w:val="16"/>
                <w:color w:val="auto"/>
              </w:rPr>
            </w:pPr>
            <w:hyperlink w:anchor="page39">
              <w:r>
                <w:rPr>
                  <w:rFonts w:ascii="Arial" w:cs="Arial" w:eastAsia="Arial" w:hAnsi="Arial"/>
                  <w:sz w:val="16"/>
                  <w:szCs w:val="16"/>
                  <w:color w:val="auto"/>
                </w:rPr>
                <w:t>Supplier Engagement</w:t>
              </w:r>
            </w:hyperlink>
          </w:p>
        </w:tc>
        <w:tc>
          <w:tcPr>
            <w:tcW w:w="620" w:type="dxa"/>
            <w:vAlign w:val="bottom"/>
          </w:tcPr>
          <w:p>
            <w:pPr>
              <w:jc w:val="right"/>
              <w:spacing w:after="0"/>
              <w:rPr>
                <w:rFonts w:ascii="Arial" w:cs="Arial" w:eastAsia="Arial" w:hAnsi="Arial"/>
                <w:sz w:val="16"/>
                <w:szCs w:val="16"/>
                <w:color w:val="auto"/>
              </w:rPr>
            </w:pPr>
            <w:hyperlink w:anchor="page39">
              <w:r>
                <w:rPr>
                  <w:rFonts w:ascii="Arial" w:cs="Arial" w:eastAsia="Arial" w:hAnsi="Arial"/>
                  <w:sz w:val="16"/>
                  <w:szCs w:val="16"/>
                  <w:color w:val="auto"/>
                </w:rPr>
                <w:t>35</w:t>
              </w:r>
            </w:hyperlink>
          </w:p>
        </w:tc>
        <w:tc>
          <w:tcPr>
            <w:tcW w:w="0" w:type="dxa"/>
            <w:vAlign w:val="bottom"/>
          </w:tcPr>
          <w:p>
            <w:pPr>
              <w:spacing w:after="0"/>
              <w:rPr>
                <w:sz w:val="1"/>
                <w:szCs w:val="1"/>
                <w:color w:val="auto"/>
              </w:rPr>
            </w:pPr>
          </w:p>
        </w:tc>
      </w:tr>
      <w:tr>
        <w:trPr>
          <w:trHeight w:val="567"/>
        </w:trPr>
        <w:tc>
          <w:tcPr>
            <w:tcW w:w="400" w:type="dxa"/>
            <w:vAlign w:val="bottom"/>
          </w:tcPr>
          <w:p>
            <w:pPr>
              <w:jc w:val="right"/>
              <w:ind w:right="139"/>
              <w:spacing w:after="0"/>
              <w:rPr>
                <w:rFonts w:ascii="Arial" w:cs="Arial" w:eastAsia="Arial" w:hAnsi="Arial"/>
                <w:sz w:val="16"/>
                <w:szCs w:val="16"/>
                <w:b w:val="1"/>
                <w:bCs w:val="1"/>
                <w:color w:val="012E6C"/>
              </w:rPr>
            </w:pPr>
            <w:hyperlink w:anchor="page9">
              <w:r>
                <w:rPr>
                  <w:rFonts w:ascii="Arial" w:cs="Arial" w:eastAsia="Arial" w:hAnsi="Arial"/>
                  <w:sz w:val="16"/>
                  <w:szCs w:val="16"/>
                  <w:b w:val="1"/>
                  <w:bCs w:val="1"/>
                  <w:color w:val="012E6C"/>
                </w:rPr>
                <w:t>6</w:t>
              </w:r>
            </w:hyperlink>
          </w:p>
        </w:tc>
        <w:tc>
          <w:tcPr>
            <w:tcW w:w="4940" w:type="dxa"/>
            <w:vAlign w:val="bottom"/>
          </w:tcPr>
          <w:p>
            <w:pPr>
              <w:ind w:left="20"/>
              <w:spacing w:after="0"/>
              <w:rPr>
                <w:rFonts w:ascii="Arial" w:cs="Arial" w:eastAsia="Arial" w:hAnsi="Arial"/>
                <w:sz w:val="16"/>
                <w:szCs w:val="16"/>
                <w:b w:val="1"/>
                <w:bCs w:val="1"/>
                <w:color w:val="002E6D"/>
              </w:rPr>
            </w:pPr>
            <w:hyperlink w:anchor="page39">
              <w:r>
                <w:rPr>
                  <w:rFonts w:ascii="Arial" w:cs="Arial" w:eastAsia="Arial" w:hAnsi="Arial"/>
                  <w:sz w:val="16"/>
                  <w:szCs w:val="16"/>
                  <w:b w:val="1"/>
                  <w:bCs w:val="1"/>
                  <w:color w:val="002E6D"/>
                </w:rPr>
                <w:t>AUDIT MATTERS</w:t>
              </w:r>
            </w:hyperlink>
          </w:p>
        </w:tc>
        <w:tc>
          <w:tcPr>
            <w:tcW w:w="620" w:type="dxa"/>
            <w:vAlign w:val="bottom"/>
          </w:tcPr>
          <w:p>
            <w:pPr>
              <w:jc w:val="right"/>
              <w:spacing w:after="0"/>
              <w:rPr>
                <w:rFonts w:ascii="Arial" w:cs="Arial" w:eastAsia="Arial" w:hAnsi="Arial"/>
                <w:sz w:val="16"/>
                <w:szCs w:val="16"/>
                <w:b w:val="1"/>
                <w:bCs w:val="1"/>
                <w:color w:val="002F6C"/>
              </w:rPr>
            </w:pPr>
            <w:hyperlink w:anchor="page39">
              <w:r>
                <w:rPr>
                  <w:rFonts w:ascii="Arial" w:cs="Arial" w:eastAsia="Arial" w:hAnsi="Arial"/>
                  <w:sz w:val="16"/>
                  <w:szCs w:val="16"/>
                  <w:b w:val="1"/>
                  <w:bCs w:val="1"/>
                  <w:color w:val="002F6C"/>
                </w:rPr>
                <w:t>36</w:t>
              </w:r>
            </w:hyperlink>
          </w:p>
        </w:tc>
        <w:tc>
          <w:tcPr>
            <w:tcW w:w="0" w:type="dxa"/>
            <w:vAlign w:val="bottom"/>
          </w:tcPr>
          <w:p>
            <w:pPr>
              <w:spacing w:after="0"/>
              <w:rPr>
                <w:sz w:val="1"/>
                <w:szCs w:val="1"/>
                <w:color w:val="auto"/>
              </w:rPr>
            </w:pPr>
          </w:p>
        </w:tc>
      </w:tr>
      <w:tr>
        <w:trPr>
          <w:trHeight w:val="60"/>
        </w:trPr>
        <w:tc>
          <w:tcPr>
            <w:tcW w:w="400" w:type="dxa"/>
            <w:vAlign w:val="bottom"/>
            <w:vMerge w:val="restart"/>
          </w:tcPr>
          <w:p>
            <w:pPr>
              <w:jc w:val="right"/>
              <w:ind w:right="139"/>
              <w:spacing w:after="0"/>
              <w:rPr>
                <w:rFonts w:ascii="Arial" w:cs="Arial" w:eastAsia="Arial" w:hAnsi="Arial"/>
                <w:sz w:val="16"/>
                <w:szCs w:val="16"/>
                <w:b w:val="1"/>
                <w:bCs w:val="1"/>
                <w:color w:val="002F6C"/>
                <w:w w:val="89"/>
              </w:rPr>
            </w:pPr>
            <w:hyperlink w:anchor="page14">
              <w:r>
                <w:rPr>
                  <w:rFonts w:ascii="Arial" w:cs="Arial" w:eastAsia="Arial" w:hAnsi="Arial"/>
                  <w:sz w:val="16"/>
                  <w:szCs w:val="16"/>
                  <w:b w:val="1"/>
                  <w:bCs w:val="1"/>
                  <w:color w:val="002F6C"/>
                  <w:w w:val="89"/>
                </w:rPr>
                <w:t>11</w:t>
              </w:r>
            </w:hyperlink>
          </w:p>
        </w:tc>
        <w:tc>
          <w:tcPr>
            <w:tcW w:w="4940" w:type="dxa"/>
            <w:vAlign w:val="bottom"/>
            <w:tcBorders>
              <w:bottom w:val="single" w:sz="8" w:color="002E6D"/>
            </w:tcBorders>
          </w:tcPr>
          <w:p>
            <w:pPr>
              <w:spacing w:after="0"/>
              <w:rPr>
                <w:sz w:val="5"/>
                <w:szCs w:val="5"/>
                <w:color w:val="auto"/>
              </w:rPr>
            </w:pPr>
          </w:p>
        </w:tc>
        <w:tc>
          <w:tcPr>
            <w:tcW w:w="620" w:type="dxa"/>
            <w:vAlign w:val="bottom"/>
            <w:tcBorders>
              <w:bottom w:val="single" w:sz="8" w:color="002E6D"/>
            </w:tcBorders>
          </w:tcPr>
          <w:p>
            <w:pPr>
              <w:spacing w:after="0"/>
              <w:rPr>
                <w:sz w:val="5"/>
                <w:szCs w:val="5"/>
                <w:color w:val="auto"/>
              </w:rPr>
            </w:pPr>
          </w:p>
        </w:tc>
        <w:tc>
          <w:tcPr>
            <w:tcW w:w="0" w:type="dxa"/>
            <w:vAlign w:val="bottom"/>
          </w:tcPr>
          <w:p>
            <w:pPr>
              <w:spacing w:after="0"/>
              <w:rPr>
                <w:sz w:val="1"/>
                <w:szCs w:val="1"/>
                <w:color w:val="auto"/>
              </w:rPr>
            </w:pPr>
          </w:p>
        </w:tc>
      </w:tr>
      <w:tr>
        <w:trPr>
          <w:trHeight w:val="474"/>
        </w:trPr>
        <w:tc>
          <w:tcPr>
            <w:tcW w:w="400" w:type="dxa"/>
            <w:vAlign w:val="bottom"/>
            <w:vMerge w:val="continue"/>
          </w:tcPr>
          <w:p>
            <w:pPr>
              <w:spacing w:after="0"/>
              <w:rPr>
                <w:sz w:val="24"/>
                <w:szCs w:val="24"/>
                <w:color w:val="auto"/>
              </w:rPr>
            </w:pPr>
          </w:p>
        </w:tc>
        <w:tc>
          <w:tcPr>
            <w:tcW w:w="4940" w:type="dxa"/>
            <w:vAlign w:val="bottom"/>
            <w:vMerge w:val="restart"/>
          </w:tcPr>
          <w:p>
            <w:pPr>
              <w:ind w:left="20"/>
              <w:spacing w:after="0"/>
              <w:rPr>
                <w:rFonts w:ascii="Arial" w:cs="Arial" w:eastAsia="Arial" w:hAnsi="Arial"/>
                <w:sz w:val="16"/>
                <w:szCs w:val="16"/>
                <w:b w:val="1"/>
                <w:bCs w:val="1"/>
                <w:color w:val="002E6D"/>
              </w:rPr>
            </w:pPr>
            <w:hyperlink w:anchor="page40">
              <w:r>
                <w:rPr>
                  <w:rFonts w:ascii="Arial" w:cs="Arial" w:eastAsia="Arial" w:hAnsi="Arial"/>
                  <w:sz w:val="16"/>
                  <w:szCs w:val="16"/>
                  <w:b w:val="1"/>
                  <w:bCs w:val="1"/>
                  <w:color w:val="002E6D"/>
                </w:rPr>
                <w:t>PROPOSAL 2: RATIFICATION OF APPOINTMENT OF</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49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400" w:type="dxa"/>
            <w:vAlign w:val="bottom"/>
          </w:tcPr>
          <w:p>
            <w:pPr>
              <w:jc w:val="right"/>
              <w:ind w:right="139"/>
              <w:spacing w:after="0"/>
              <w:rPr>
                <w:rFonts w:ascii="Arial" w:cs="Arial" w:eastAsia="Arial" w:hAnsi="Arial"/>
                <w:sz w:val="16"/>
                <w:szCs w:val="16"/>
                <w:color w:val="auto"/>
                <w:w w:val="89"/>
              </w:rPr>
            </w:pPr>
            <w:hyperlink w:anchor="page15">
              <w:r>
                <w:rPr>
                  <w:rFonts w:ascii="Arial" w:cs="Arial" w:eastAsia="Arial" w:hAnsi="Arial"/>
                  <w:sz w:val="16"/>
                  <w:szCs w:val="16"/>
                  <w:color w:val="auto"/>
                  <w:w w:val="89"/>
                </w:rPr>
                <w:t>11</w:t>
              </w:r>
            </w:hyperlink>
          </w:p>
        </w:tc>
        <w:tc>
          <w:tcPr>
            <w:tcW w:w="4940" w:type="dxa"/>
            <w:vAlign w:val="bottom"/>
          </w:tcPr>
          <w:p>
            <w:pPr>
              <w:ind w:left="20"/>
              <w:spacing w:after="0"/>
              <w:rPr>
                <w:rFonts w:ascii="Arial" w:cs="Arial" w:eastAsia="Arial" w:hAnsi="Arial"/>
                <w:sz w:val="16"/>
                <w:szCs w:val="16"/>
                <w:b w:val="1"/>
                <w:bCs w:val="1"/>
                <w:color w:val="002E6D"/>
              </w:rPr>
            </w:pPr>
            <w:hyperlink w:anchor="page40">
              <w:r>
                <w:rPr>
                  <w:rFonts w:ascii="Arial" w:cs="Arial" w:eastAsia="Arial" w:hAnsi="Arial"/>
                  <w:sz w:val="16"/>
                  <w:szCs w:val="16"/>
                  <w:b w:val="1"/>
                  <w:bCs w:val="1"/>
                  <w:color w:val="002E6D"/>
                </w:rPr>
                <w:t>INDEPENDENT AUDITORS</w:t>
              </w:r>
            </w:hyperlink>
          </w:p>
        </w:tc>
        <w:tc>
          <w:tcPr>
            <w:tcW w:w="620" w:type="dxa"/>
            <w:vAlign w:val="bottom"/>
            <w:vMerge w:val="restart"/>
          </w:tcPr>
          <w:p>
            <w:pPr>
              <w:jc w:val="right"/>
              <w:spacing w:after="0"/>
              <w:rPr>
                <w:rFonts w:ascii="Arial" w:cs="Arial" w:eastAsia="Arial" w:hAnsi="Arial"/>
                <w:sz w:val="16"/>
                <w:szCs w:val="16"/>
                <w:b w:val="1"/>
                <w:bCs w:val="1"/>
                <w:color w:val="002F6C"/>
              </w:rPr>
            </w:pPr>
            <w:hyperlink w:anchor="page40">
              <w:r>
                <w:rPr>
                  <w:rFonts w:ascii="Arial" w:cs="Arial" w:eastAsia="Arial" w:hAnsi="Arial"/>
                  <w:sz w:val="16"/>
                  <w:szCs w:val="16"/>
                  <w:b w:val="1"/>
                  <w:bCs w:val="1"/>
                  <w:color w:val="002F6C"/>
                </w:rPr>
                <w:t>36</w:t>
              </w:r>
            </w:hyperlink>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49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4940" w:type="dxa"/>
            <w:vAlign w:val="bottom"/>
            <w:tcBorders>
              <w:bottom w:val="single" w:sz="8" w:color="002E6D"/>
            </w:tcBorders>
          </w:tcPr>
          <w:p>
            <w:pPr>
              <w:spacing w:after="0"/>
              <w:rPr>
                <w:sz w:val="2"/>
                <w:szCs w:val="2"/>
                <w:color w:val="auto"/>
              </w:rPr>
            </w:pPr>
          </w:p>
        </w:tc>
        <w:tc>
          <w:tcPr>
            <w:tcW w:w="620" w:type="dxa"/>
            <w:vAlign w:val="bottom"/>
            <w:tcBorders>
              <w:bottom w:val="single" w:sz="8" w:color="002E6D"/>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00" w:type="dxa"/>
            <w:vAlign w:val="bottom"/>
          </w:tcPr>
          <w:p>
            <w:pPr>
              <w:jc w:val="right"/>
              <w:ind w:right="139"/>
              <w:spacing w:after="0"/>
              <w:rPr>
                <w:rFonts w:ascii="Arial" w:cs="Arial" w:eastAsia="Arial" w:hAnsi="Arial"/>
                <w:sz w:val="16"/>
                <w:szCs w:val="16"/>
                <w:color w:val="auto"/>
                <w:w w:val="89"/>
              </w:rPr>
            </w:pPr>
            <w:hyperlink w:anchor="page15">
              <w:r>
                <w:rPr>
                  <w:rFonts w:ascii="Arial" w:cs="Arial" w:eastAsia="Arial" w:hAnsi="Arial"/>
                  <w:sz w:val="16"/>
                  <w:szCs w:val="16"/>
                  <w:color w:val="auto"/>
                  <w:w w:val="89"/>
                </w:rPr>
                <w:t>11</w:t>
              </w:r>
            </w:hyperlink>
          </w:p>
        </w:tc>
        <w:tc>
          <w:tcPr>
            <w:tcW w:w="4940" w:type="dxa"/>
            <w:vAlign w:val="bottom"/>
          </w:tcPr>
          <w:p>
            <w:pPr>
              <w:ind w:left="20"/>
              <w:spacing w:after="0"/>
              <w:rPr>
                <w:rFonts w:ascii="Arial" w:cs="Arial" w:eastAsia="Arial" w:hAnsi="Arial"/>
                <w:sz w:val="16"/>
                <w:szCs w:val="16"/>
                <w:color w:val="auto"/>
              </w:rPr>
            </w:pPr>
            <w:hyperlink w:anchor="page41">
              <w:r>
                <w:rPr>
                  <w:rFonts w:ascii="Arial" w:cs="Arial" w:eastAsia="Arial" w:hAnsi="Arial"/>
                  <w:sz w:val="16"/>
                  <w:szCs w:val="16"/>
                  <w:color w:val="auto"/>
                </w:rPr>
                <w:t>Audit Committee Report</w:t>
              </w:r>
            </w:hyperlink>
          </w:p>
        </w:tc>
        <w:tc>
          <w:tcPr>
            <w:tcW w:w="620" w:type="dxa"/>
            <w:vAlign w:val="bottom"/>
          </w:tcPr>
          <w:p>
            <w:pPr>
              <w:jc w:val="right"/>
              <w:spacing w:after="0"/>
              <w:rPr>
                <w:rFonts w:ascii="Arial" w:cs="Arial" w:eastAsia="Arial" w:hAnsi="Arial"/>
                <w:sz w:val="16"/>
                <w:szCs w:val="16"/>
                <w:color w:val="auto"/>
              </w:rPr>
            </w:pPr>
            <w:hyperlink w:anchor="page41">
              <w:r>
                <w:rPr>
                  <w:rFonts w:ascii="Arial" w:cs="Arial" w:eastAsia="Arial" w:hAnsi="Arial"/>
                  <w:sz w:val="16"/>
                  <w:szCs w:val="16"/>
                  <w:color w:val="auto"/>
                </w:rPr>
                <w:t>38</w:t>
              </w:r>
            </w:hyperlink>
          </w:p>
        </w:tc>
        <w:tc>
          <w:tcPr>
            <w:tcW w:w="0" w:type="dxa"/>
            <w:vAlign w:val="bottom"/>
          </w:tcPr>
          <w:p>
            <w:pPr>
              <w:spacing w:after="0"/>
              <w:rPr>
                <w:sz w:val="1"/>
                <w:szCs w:val="1"/>
                <w:color w:val="auto"/>
              </w:rPr>
            </w:pPr>
          </w:p>
        </w:tc>
      </w:tr>
      <w:tr>
        <w:trPr>
          <w:trHeight w:val="365"/>
        </w:trPr>
        <w:tc>
          <w:tcPr>
            <w:tcW w:w="400" w:type="dxa"/>
            <w:vAlign w:val="bottom"/>
          </w:tcPr>
          <w:p>
            <w:pPr>
              <w:jc w:val="right"/>
              <w:ind w:right="139"/>
              <w:spacing w:after="0"/>
              <w:rPr>
                <w:rFonts w:ascii="Arial" w:cs="Arial" w:eastAsia="Arial" w:hAnsi="Arial"/>
                <w:sz w:val="16"/>
                <w:szCs w:val="16"/>
                <w:color w:val="auto"/>
                <w:w w:val="89"/>
              </w:rPr>
            </w:pPr>
            <w:hyperlink w:anchor="page15">
              <w:r>
                <w:rPr>
                  <w:rFonts w:ascii="Arial" w:cs="Arial" w:eastAsia="Arial" w:hAnsi="Arial"/>
                  <w:sz w:val="16"/>
                  <w:szCs w:val="16"/>
                  <w:color w:val="auto"/>
                  <w:w w:val="89"/>
                </w:rPr>
                <w:t>12</w:t>
              </w:r>
            </w:hyperlink>
          </w:p>
        </w:tc>
        <w:tc>
          <w:tcPr>
            <w:tcW w:w="4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0" w:type="dxa"/>
            <w:vAlign w:val="bottom"/>
          </w:tcPr>
          <w:p>
            <w:pPr>
              <w:jc w:val="right"/>
              <w:ind w:right="139"/>
              <w:spacing w:after="0"/>
              <w:rPr>
                <w:rFonts w:ascii="Arial" w:cs="Arial" w:eastAsia="Arial" w:hAnsi="Arial"/>
                <w:sz w:val="16"/>
                <w:szCs w:val="16"/>
                <w:color w:val="auto"/>
                <w:w w:val="89"/>
              </w:rPr>
            </w:pPr>
            <w:hyperlink w:anchor="page16">
              <w:r>
                <w:rPr>
                  <w:rFonts w:ascii="Arial" w:cs="Arial" w:eastAsia="Arial" w:hAnsi="Arial"/>
                  <w:sz w:val="16"/>
                  <w:szCs w:val="16"/>
                  <w:color w:val="auto"/>
                  <w:w w:val="89"/>
                </w:rPr>
                <w:t>13</w:t>
              </w:r>
            </w:hyperlink>
          </w:p>
        </w:tc>
        <w:tc>
          <w:tcPr>
            <w:tcW w:w="4940" w:type="dxa"/>
            <w:vAlign w:val="bottom"/>
          </w:tcPr>
          <w:p>
            <w:pPr>
              <w:ind w:left="20"/>
              <w:spacing w:after="0"/>
              <w:rPr>
                <w:rFonts w:ascii="Arial" w:cs="Arial" w:eastAsia="Arial" w:hAnsi="Arial"/>
                <w:sz w:val="16"/>
                <w:szCs w:val="16"/>
                <w:b w:val="1"/>
                <w:bCs w:val="1"/>
                <w:color w:val="002E6D"/>
              </w:rPr>
            </w:pPr>
            <w:hyperlink w:anchor="page42">
              <w:r>
                <w:rPr>
                  <w:rFonts w:ascii="Arial" w:cs="Arial" w:eastAsia="Arial" w:hAnsi="Arial"/>
                  <w:sz w:val="16"/>
                  <w:szCs w:val="16"/>
                  <w:b w:val="1"/>
                  <w:bCs w:val="1"/>
                  <w:color w:val="002E6D"/>
                </w:rPr>
                <w:t>EXECUTIVE COMPENSATION</w:t>
              </w:r>
            </w:hyperlink>
          </w:p>
        </w:tc>
        <w:tc>
          <w:tcPr>
            <w:tcW w:w="620" w:type="dxa"/>
            <w:vAlign w:val="bottom"/>
          </w:tcPr>
          <w:p>
            <w:pPr>
              <w:jc w:val="right"/>
              <w:spacing w:after="0"/>
              <w:rPr>
                <w:rFonts w:ascii="Arial" w:cs="Arial" w:eastAsia="Arial" w:hAnsi="Arial"/>
                <w:sz w:val="16"/>
                <w:szCs w:val="16"/>
                <w:b w:val="1"/>
                <w:bCs w:val="1"/>
                <w:color w:val="002F6C"/>
              </w:rPr>
            </w:pPr>
            <w:hyperlink w:anchor="page42">
              <w:r>
                <w:rPr>
                  <w:rFonts w:ascii="Arial" w:cs="Arial" w:eastAsia="Arial" w:hAnsi="Arial"/>
                  <w:sz w:val="16"/>
                  <w:szCs w:val="16"/>
                  <w:b w:val="1"/>
                  <w:bCs w:val="1"/>
                  <w:color w:val="002F6C"/>
                </w:rPr>
                <w:t>39</w:t>
              </w:r>
            </w:hyperlink>
          </w:p>
        </w:tc>
        <w:tc>
          <w:tcPr>
            <w:tcW w:w="0" w:type="dxa"/>
            <w:vAlign w:val="bottom"/>
          </w:tcPr>
          <w:p>
            <w:pPr>
              <w:spacing w:after="0"/>
              <w:rPr>
                <w:sz w:val="1"/>
                <w:szCs w:val="1"/>
                <w:color w:val="auto"/>
              </w:rPr>
            </w:pPr>
          </w:p>
        </w:tc>
      </w:tr>
      <w:tr>
        <w:trPr>
          <w:trHeight w:val="87"/>
        </w:trPr>
        <w:tc>
          <w:tcPr>
            <w:tcW w:w="400" w:type="dxa"/>
            <w:vAlign w:val="bottom"/>
            <w:vMerge w:val="restart"/>
          </w:tcPr>
          <w:p>
            <w:pPr>
              <w:jc w:val="right"/>
              <w:ind w:right="139"/>
              <w:spacing w:after="0"/>
              <w:rPr>
                <w:rFonts w:ascii="Arial" w:cs="Arial" w:eastAsia="Arial" w:hAnsi="Arial"/>
                <w:sz w:val="16"/>
                <w:szCs w:val="16"/>
                <w:color w:val="auto"/>
                <w:w w:val="89"/>
              </w:rPr>
            </w:pPr>
            <w:hyperlink w:anchor="page20">
              <w:r>
                <w:rPr>
                  <w:rFonts w:ascii="Arial" w:cs="Arial" w:eastAsia="Arial" w:hAnsi="Arial"/>
                  <w:sz w:val="16"/>
                  <w:szCs w:val="16"/>
                  <w:color w:val="auto"/>
                  <w:w w:val="89"/>
                </w:rPr>
                <w:t>17</w:t>
              </w:r>
            </w:hyperlink>
          </w:p>
        </w:tc>
        <w:tc>
          <w:tcPr>
            <w:tcW w:w="4940" w:type="dxa"/>
            <w:vAlign w:val="bottom"/>
            <w:tcBorders>
              <w:bottom w:val="single" w:sz="8" w:color="002E6D"/>
            </w:tcBorders>
          </w:tcPr>
          <w:p>
            <w:pPr>
              <w:spacing w:after="0"/>
              <w:rPr>
                <w:sz w:val="7"/>
                <w:szCs w:val="7"/>
                <w:color w:val="auto"/>
              </w:rPr>
            </w:pPr>
          </w:p>
        </w:tc>
        <w:tc>
          <w:tcPr>
            <w:tcW w:w="620" w:type="dxa"/>
            <w:vAlign w:val="bottom"/>
            <w:tcBorders>
              <w:bottom w:val="single" w:sz="8" w:color="002E6D"/>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400" w:type="dxa"/>
            <w:vAlign w:val="bottom"/>
            <w:vMerge w:val="continue"/>
          </w:tcPr>
          <w:p>
            <w:pPr>
              <w:spacing w:after="0"/>
              <w:rPr>
                <w:sz w:val="22"/>
                <w:szCs w:val="22"/>
                <w:color w:val="auto"/>
              </w:rPr>
            </w:pPr>
          </w:p>
        </w:tc>
        <w:tc>
          <w:tcPr>
            <w:tcW w:w="4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400" w:type="dxa"/>
            <w:vAlign w:val="bottom"/>
          </w:tcPr>
          <w:p>
            <w:pPr>
              <w:spacing w:after="0"/>
              <w:rPr>
                <w:sz w:val="24"/>
                <w:szCs w:val="24"/>
                <w:color w:val="auto"/>
              </w:rPr>
            </w:pPr>
          </w:p>
        </w:tc>
        <w:tc>
          <w:tcPr>
            <w:tcW w:w="4940" w:type="dxa"/>
            <w:vAlign w:val="bottom"/>
          </w:tcPr>
          <w:p>
            <w:pPr>
              <w:ind w:left="20"/>
              <w:spacing w:after="0"/>
              <w:rPr>
                <w:rFonts w:ascii="Arial" w:cs="Arial" w:eastAsia="Arial" w:hAnsi="Arial"/>
                <w:sz w:val="16"/>
                <w:szCs w:val="16"/>
                <w:b w:val="1"/>
                <w:bCs w:val="1"/>
                <w:color w:val="002E6D"/>
              </w:rPr>
            </w:pPr>
            <w:hyperlink w:anchor="page43">
              <w:r>
                <w:rPr>
                  <w:rFonts w:ascii="Arial" w:cs="Arial" w:eastAsia="Arial" w:hAnsi="Arial"/>
                  <w:sz w:val="16"/>
                  <w:szCs w:val="16"/>
                  <w:b w:val="1"/>
                  <w:bCs w:val="1"/>
                  <w:color w:val="002E6D"/>
                </w:rPr>
                <w:t>PROPOSAL 3: ADVISORY VOTE TO APPROVE THE</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0" w:type="dxa"/>
            <w:vAlign w:val="bottom"/>
            <w:vMerge w:val="restart"/>
          </w:tcPr>
          <w:p>
            <w:pPr>
              <w:jc w:val="right"/>
              <w:ind w:right="139"/>
              <w:spacing w:after="0"/>
              <w:rPr>
                <w:rFonts w:ascii="Arial" w:cs="Arial" w:eastAsia="Arial" w:hAnsi="Arial"/>
                <w:sz w:val="16"/>
                <w:szCs w:val="16"/>
                <w:b w:val="1"/>
                <w:bCs w:val="1"/>
                <w:color w:val="012E6C"/>
                <w:w w:val="89"/>
              </w:rPr>
            </w:pPr>
            <w:hyperlink w:anchor="page22">
              <w:r>
                <w:rPr>
                  <w:rFonts w:ascii="Arial" w:cs="Arial" w:eastAsia="Arial" w:hAnsi="Arial"/>
                  <w:sz w:val="16"/>
                  <w:szCs w:val="16"/>
                  <w:b w:val="1"/>
                  <w:bCs w:val="1"/>
                  <w:color w:val="012E6C"/>
                  <w:w w:val="89"/>
                </w:rPr>
                <w:t>19</w:t>
              </w:r>
            </w:hyperlink>
          </w:p>
        </w:tc>
        <w:tc>
          <w:tcPr>
            <w:tcW w:w="4940" w:type="dxa"/>
            <w:vAlign w:val="bottom"/>
          </w:tcPr>
          <w:p>
            <w:pPr>
              <w:ind w:left="20"/>
              <w:spacing w:after="0"/>
              <w:rPr>
                <w:rFonts w:ascii="Arial" w:cs="Arial" w:eastAsia="Arial" w:hAnsi="Arial"/>
                <w:sz w:val="16"/>
                <w:szCs w:val="16"/>
                <w:b w:val="1"/>
                <w:bCs w:val="1"/>
                <w:color w:val="002E6D"/>
              </w:rPr>
            </w:pPr>
            <w:hyperlink w:anchor="page43">
              <w:r>
                <w:rPr>
                  <w:rFonts w:ascii="Arial" w:cs="Arial" w:eastAsia="Arial" w:hAnsi="Arial"/>
                  <w:sz w:val="16"/>
                  <w:szCs w:val="16"/>
                  <w:b w:val="1"/>
                  <w:bCs w:val="1"/>
                  <w:color w:val="002E6D"/>
                </w:rPr>
                <w:t>COMPENSATION OF OUR NEOs (SAY-ON-PAY)</w:t>
              </w:r>
            </w:hyperlink>
          </w:p>
        </w:tc>
        <w:tc>
          <w:tcPr>
            <w:tcW w:w="620" w:type="dxa"/>
            <w:vAlign w:val="bottom"/>
            <w:vMerge w:val="restart"/>
          </w:tcPr>
          <w:p>
            <w:pPr>
              <w:jc w:val="right"/>
              <w:spacing w:after="0"/>
              <w:rPr>
                <w:rFonts w:ascii="Arial" w:cs="Arial" w:eastAsia="Arial" w:hAnsi="Arial"/>
                <w:sz w:val="16"/>
                <w:szCs w:val="16"/>
                <w:b w:val="1"/>
                <w:bCs w:val="1"/>
                <w:color w:val="002F6C"/>
              </w:rPr>
            </w:pPr>
            <w:hyperlink w:anchor="page43">
              <w:r>
                <w:rPr>
                  <w:rFonts w:ascii="Arial" w:cs="Arial" w:eastAsia="Arial" w:hAnsi="Arial"/>
                  <w:sz w:val="16"/>
                  <w:szCs w:val="16"/>
                  <w:b w:val="1"/>
                  <w:bCs w:val="1"/>
                  <w:color w:val="002F6C"/>
                </w:rPr>
                <w:t>39</w:t>
              </w:r>
            </w:hyperlink>
          </w:p>
        </w:tc>
        <w:tc>
          <w:tcPr>
            <w:tcW w:w="0" w:type="dxa"/>
            <w:vAlign w:val="bottom"/>
          </w:tcPr>
          <w:p>
            <w:pPr>
              <w:spacing w:after="0"/>
              <w:rPr>
                <w:sz w:val="1"/>
                <w:szCs w:val="1"/>
                <w:color w:val="auto"/>
              </w:rPr>
            </w:pPr>
          </w:p>
        </w:tc>
      </w:tr>
      <w:tr>
        <w:trPr>
          <w:trHeight w:val="54"/>
        </w:trPr>
        <w:tc>
          <w:tcPr>
            <w:tcW w:w="400" w:type="dxa"/>
            <w:vAlign w:val="bottom"/>
            <w:vMerge w:val="continue"/>
          </w:tcPr>
          <w:p>
            <w:pPr>
              <w:spacing w:after="0"/>
              <w:rPr>
                <w:sz w:val="4"/>
                <w:szCs w:val="4"/>
                <w:color w:val="auto"/>
              </w:rPr>
            </w:pPr>
          </w:p>
        </w:tc>
        <w:tc>
          <w:tcPr>
            <w:tcW w:w="49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4940" w:type="dxa"/>
            <w:vAlign w:val="bottom"/>
            <w:tcBorders>
              <w:bottom w:val="single" w:sz="8" w:color="002E6D"/>
            </w:tcBorders>
          </w:tcPr>
          <w:p>
            <w:pPr>
              <w:spacing w:after="0"/>
              <w:rPr>
                <w:sz w:val="2"/>
                <w:szCs w:val="2"/>
                <w:color w:val="auto"/>
              </w:rPr>
            </w:pPr>
          </w:p>
        </w:tc>
        <w:tc>
          <w:tcPr>
            <w:tcW w:w="620" w:type="dxa"/>
            <w:vAlign w:val="bottom"/>
            <w:tcBorders>
              <w:bottom w:val="single" w:sz="8" w:color="002E6D"/>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00" w:type="dxa"/>
            <w:vAlign w:val="bottom"/>
          </w:tcPr>
          <w:p>
            <w:pPr>
              <w:jc w:val="right"/>
              <w:ind w:right="139"/>
              <w:spacing w:after="0"/>
              <w:rPr>
                <w:rFonts w:ascii="Arial" w:cs="Arial" w:eastAsia="Arial" w:hAnsi="Arial"/>
                <w:sz w:val="16"/>
                <w:szCs w:val="16"/>
                <w:color w:val="auto"/>
                <w:w w:val="89"/>
              </w:rPr>
            </w:pPr>
            <w:hyperlink w:anchor="page23">
              <w:r>
                <w:rPr>
                  <w:rFonts w:ascii="Arial" w:cs="Arial" w:eastAsia="Arial" w:hAnsi="Arial"/>
                  <w:sz w:val="16"/>
                  <w:szCs w:val="16"/>
                  <w:color w:val="auto"/>
                  <w:w w:val="89"/>
                </w:rPr>
                <w:t>19</w:t>
              </w:r>
            </w:hyperlink>
          </w:p>
        </w:tc>
        <w:tc>
          <w:tcPr>
            <w:tcW w:w="4940" w:type="dxa"/>
            <w:vAlign w:val="bottom"/>
          </w:tcPr>
          <w:p>
            <w:pPr>
              <w:ind w:left="20"/>
              <w:spacing w:after="0"/>
              <w:rPr>
                <w:rFonts w:ascii="Arial" w:cs="Arial" w:eastAsia="Arial" w:hAnsi="Arial"/>
                <w:sz w:val="16"/>
                <w:szCs w:val="16"/>
                <w:color w:val="auto"/>
              </w:rPr>
            </w:pPr>
            <w:hyperlink w:anchor="page43">
              <w:r>
                <w:rPr>
                  <w:rFonts w:ascii="Arial" w:cs="Arial" w:eastAsia="Arial" w:hAnsi="Arial"/>
                  <w:sz w:val="16"/>
                  <w:szCs w:val="16"/>
                  <w:color w:val="auto"/>
                </w:rPr>
                <w:t>Compensation Committee Report</w:t>
              </w:r>
            </w:hyperlink>
          </w:p>
        </w:tc>
        <w:tc>
          <w:tcPr>
            <w:tcW w:w="620" w:type="dxa"/>
            <w:vAlign w:val="bottom"/>
          </w:tcPr>
          <w:p>
            <w:pPr>
              <w:jc w:val="right"/>
              <w:spacing w:after="0"/>
              <w:rPr>
                <w:rFonts w:ascii="Arial" w:cs="Arial" w:eastAsia="Arial" w:hAnsi="Arial"/>
                <w:sz w:val="16"/>
                <w:szCs w:val="16"/>
                <w:color w:val="auto"/>
              </w:rPr>
            </w:pPr>
            <w:hyperlink w:anchor="page43">
              <w:r>
                <w:rPr>
                  <w:rFonts w:ascii="Arial" w:cs="Arial" w:eastAsia="Arial" w:hAnsi="Arial"/>
                  <w:sz w:val="16"/>
                  <w:szCs w:val="16"/>
                  <w:color w:val="auto"/>
                </w:rPr>
                <w:t>39</w:t>
              </w:r>
            </w:hyperlink>
          </w:p>
        </w:tc>
        <w:tc>
          <w:tcPr>
            <w:tcW w:w="0" w:type="dxa"/>
            <w:vAlign w:val="bottom"/>
          </w:tcPr>
          <w:p>
            <w:pPr>
              <w:spacing w:after="0"/>
              <w:rPr>
                <w:sz w:val="1"/>
                <w:szCs w:val="1"/>
                <w:color w:val="auto"/>
              </w:rPr>
            </w:pPr>
          </w:p>
        </w:tc>
      </w:tr>
      <w:tr>
        <w:trPr>
          <w:trHeight w:val="365"/>
        </w:trPr>
        <w:tc>
          <w:tcPr>
            <w:tcW w:w="400" w:type="dxa"/>
            <w:vAlign w:val="bottom"/>
          </w:tcPr>
          <w:p>
            <w:pPr>
              <w:jc w:val="right"/>
              <w:ind w:right="139"/>
              <w:spacing w:after="0"/>
              <w:rPr>
                <w:rFonts w:ascii="Arial" w:cs="Arial" w:eastAsia="Arial" w:hAnsi="Arial"/>
                <w:sz w:val="16"/>
                <w:szCs w:val="16"/>
                <w:color w:val="auto"/>
                <w:w w:val="89"/>
              </w:rPr>
            </w:pPr>
            <w:hyperlink w:anchor="page23">
              <w:r>
                <w:rPr>
                  <w:rFonts w:ascii="Arial" w:cs="Arial" w:eastAsia="Arial" w:hAnsi="Arial"/>
                  <w:sz w:val="16"/>
                  <w:szCs w:val="16"/>
                  <w:color w:val="auto"/>
                  <w:w w:val="89"/>
                </w:rPr>
                <w:t>20</w:t>
              </w:r>
            </w:hyperlink>
          </w:p>
        </w:tc>
        <w:tc>
          <w:tcPr>
            <w:tcW w:w="4940" w:type="dxa"/>
            <w:vAlign w:val="bottom"/>
          </w:tcPr>
          <w:p>
            <w:pPr>
              <w:ind w:left="20"/>
              <w:spacing w:after="0"/>
              <w:rPr>
                <w:rFonts w:ascii="Arial" w:cs="Arial" w:eastAsia="Arial" w:hAnsi="Arial"/>
                <w:sz w:val="16"/>
                <w:szCs w:val="16"/>
                <w:color w:val="auto"/>
              </w:rPr>
            </w:pPr>
            <w:hyperlink w:anchor="page43">
              <w:r>
                <w:rPr>
                  <w:rFonts w:ascii="Arial" w:cs="Arial" w:eastAsia="Arial" w:hAnsi="Arial"/>
                  <w:sz w:val="16"/>
                  <w:szCs w:val="16"/>
                  <w:color w:val="auto"/>
                </w:rPr>
                <w:t>Compensation Discussion and Analysis (CD&amp;A)</w:t>
              </w:r>
            </w:hyperlink>
          </w:p>
        </w:tc>
        <w:tc>
          <w:tcPr>
            <w:tcW w:w="620" w:type="dxa"/>
            <w:vAlign w:val="bottom"/>
          </w:tcPr>
          <w:p>
            <w:pPr>
              <w:jc w:val="right"/>
              <w:spacing w:after="0"/>
              <w:rPr>
                <w:rFonts w:ascii="Arial" w:cs="Arial" w:eastAsia="Arial" w:hAnsi="Arial"/>
                <w:sz w:val="16"/>
                <w:szCs w:val="16"/>
                <w:color w:val="auto"/>
              </w:rPr>
            </w:pPr>
            <w:hyperlink w:anchor="page43">
              <w:r>
                <w:rPr>
                  <w:rFonts w:ascii="Arial" w:cs="Arial" w:eastAsia="Arial" w:hAnsi="Arial"/>
                  <w:sz w:val="16"/>
                  <w:szCs w:val="16"/>
                  <w:color w:val="auto"/>
                </w:rPr>
                <w:t>40</w:t>
              </w:r>
            </w:hyperlink>
          </w:p>
        </w:tc>
        <w:tc>
          <w:tcPr>
            <w:tcW w:w="0" w:type="dxa"/>
            <w:vAlign w:val="bottom"/>
          </w:tcPr>
          <w:p>
            <w:pPr>
              <w:spacing w:after="0"/>
              <w:rPr>
                <w:sz w:val="1"/>
                <w:szCs w:val="1"/>
                <w:color w:val="auto"/>
              </w:rPr>
            </w:pPr>
          </w:p>
        </w:tc>
      </w:tr>
      <w:tr>
        <w:trPr>
          <w:trHeight w:val="364"/>
        </w:trPr>
        <w:tc>
          <w:tcPr>
            <w:tcW w:w="400" w:type="dxa"/>
            <w:vAlign w:val="bottom"/>
          </w:tcPr>
          <w:p>
            <w:pPr>
              <w:jc w:val="right"/>
              <w:ind w:right="139"/>
              <w:spacing w:after="0"/>
              <w:rPr>
                <w:rFonts w:ascii="Arial" w:cs="Arial" w:eastAsia="Arial" w:hAnsi="Arial"/>
                <w:sz w:val="16"/>
                <w:szCs w:val="16"/>
                <w:color w:val="auto"/>
                <w:w w:val="89"/>
              </w:rPr>
            </w:pPr>
            <w:hyperlink w:anchor="page24">
              <w:r>
                <w:rPr>
                  <w:rFonts w:ascii="Arial" w:cs="Arial" w:eastAsia="Arial" w:hAnsi="Arial"/>
                  <w:sz w:val="16"/>
                  <w:szCs w:val="16"/>
                  <w:color w:val="auto"/>
                  <w:w w:val="89"/>
                </w:rPr>
                <w:t>20</w:t>
              </w:r>
            </w:hyperlink>
          </w:p>
        </w:tc>
        <w:tc>
          <w:tcPr>
            <w:tcW w:w="4940" w:type="dxa"/>
            <w:vAlign w:val="bottom"/>
          </w:tcPr>
          <w:p>
            <w:pPr>
              <w:ind w:left="20"/>
              <w:spacing w:after="0"/>
              <w:rPr>
                <w:rFonts w:ascii="Arial" w:cs="Arial" w:eastAsia="Arial" w:hAnsi="Arial"/>
                <w:sz w:val="16"/>
                <w:szCs w:val="16"/>
                <w:color w:val="auto"/>
              </w:rPr>
            </w:pPr>
            <w:hyperlink w:anchor="page61">
              <w:r>
                <w:rPr>
                  <w:rFonts w:ascii="Arial" w:cs="Arial" w:eastAsia="Arial" w:hAnsi="Arial"/>
                  <w:sz w:val="16"/>
                  <w:szCs w:val="16"/>
                  <w:color w:val="auto"/>
                </w:rPr>
                <w:t>Summary Compensation Table</w:t>
              </w:r>
            </w:hyperlink>
          </w:p>
        </w:tc>
        <w:tc>
          <w:tcPr>
            <w:tcW w:w="620" w:type="dxa"/>
            <w:vAlign w:val="bottom"/>
          </w:tcPr>
          <w:p>
            <w:pPr>
              <w:jc w:val="right"/>
              <w:spacing w:after="0"/>
              <w:rPr>
                <w:rFonts w:ascii="Arial" w:cs="Arial" w:eastAsia="Arial" w:hAnsi="Arial"/>
                <w:sz w:val="16"/>
                <w:szCs w:val="16"/>
                <w:color w:val="auto"/>
              </w:rPr>
            </w:pPr>
            <w:hyperlink w:anchor="page61">
              <w:r>
                <w:rPr>
                  <w:rFonts w:ascii="Arial" w:cs="Arial" w:eastAsia="Arial" w:hAnsi="Arial"/>
                  <w:sz w:val="16"/>
                  <w:szCs w:val="16"/>
                  <w:color w:val="auto"/>
                </w:rPr>
                <w:t>58</w:t>
              </w:r>
            </w:hyperlink>
          </w:p>
        </w:tc>
        <w:tc>
          <w:tcPr>
            <w:tcW w:w="0" w:type="dxa"/>
            <w:vAlign w:val="bottom"/>
          </w:tcPr>
          <w:p>
            <w:pPr>
              <w:spacing w:after="0"/>
              <w:rPr>
                <w:sz w:val="1"/>
                <w:szCs w:val="1"/>
                <w:color w:val="auto"/>
              </w:rPr>
            </w:pPr>
          </w:p>
        </w:tc>
      </w:tr>
      <w:tr>
        <w:trPr>
          <w:trHeight w:val="365"/>
        </w:trPr>
        <w:tc>
          <w:tcPr>
            <w:tcW w:w="400" w:type="dxa"/>
            <w:vAlign w:val="bottom"/>
          </w:tcPr>
          <w:p>
            <w:pPr>
              <w:jc w:val="right"/>
              <w:ind w:right="139"/>
              <w:spacing w:after="0"/>
              <w:rPr>
                <w:rFonts w:ascii="Arial" w:cs="Arial" w:eastAsia="Arial" w:hAnsi="Arial"/>
                <w:sz w:val="16"/>
                <w:szCs w:val="16"/>
                <w:color w:val="auto"/>
                <w:w w:val="89"/>
              </w:rPr>
            </w:pPr>
            <w:hyperlink w:anchor="page25">
              <w:r>
                <w:rPr>
                  <w:rFonts w:ascii="Arial" w:cs="Arial" w:eastAsia="Arial" w:hAnsi="Arial"/>
                  <w:sz w:val="16"/>
                  <w:szCs w:val="16"/>
                  <w:color w:val="auto"/>
                  <w:w w:val="89"/>
                </w:rPr>
                <w:t>21</w:t>
              </w:r>
            </w:hyperlink>
          </w:p>
        </w:tc>
        <w:tc>
          <w:tcPr>
            <w:tcW w:w="4940" w:type="dxa"/>
            <w:vAlign w:val="bottom"/>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2020 </w:t>
            </w:r>
            <w:hyperlink w:anchor="page66">
              <w:r>
                <w:rPr>
                  <w:rFonts w:ascii="Arial" w:cs="Arial" w:eastAsia="Arial" w:hAnsi="Arial"/>
                  <w:sz w:val="16"/>
                  <w:szCs w:val="16"/>
                  <w:color w:val="auto"/>
                </w:rPr>
                <w:t>Grants of Plan-Based Awards</w:t>
              </w:r>
            </w:hyperlink>
          </w:p>
        </w:tc>
        <w:tc>
          <w:tcPr>
            <w:tcW w:w="62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62</w:t>
              </w:r>
            </w:hyperlink>
          </w:p>
        </w:tc>
        <w:tc>
          <w:tcPr>
            <w:tcW w:w="0" w:type="dxa"/>
            <w:vAlign w:val="bottom"/>
          </w:tcPr>
          <w:p>
            <w:pPr>
              <w:spacing w:after="0"/>
              <w:rPr>
                <w:sz w:val="1"/>
                <w:szCs w:val="1"/>
                <w:color w:val="auto"/>
              </w:rPr>
            </w:pPr>
          </w:p>
        </w:tc>
      </w:tr>
      <w:tr>
        <w:trPr>
          <w:trHeight w:val="365"/>
        </w:trPr>
        <w:tc>
          <w:tcPr>
            <w:tcW w:w="400" w:type="dxa"/>
            <w:vAlign w:val="bottom"/>
          </w:tcPr>
          <w:p>
            <w:pPr>
              <w:jc w:val="right"/>
              <w:ind w:right="139"/>
              <w:spacing w:after="0"/>
              <w:rPr>
                <w:rFonts w:ascii="Arial" w:cs="Arial" w:eastAsia="Arial" w:hAnsi="Arial"/>
                <w:sz w:val="16"/>
                <w:szCs w:val="16"/>
                <w:color w:val="auto"/>
                <w:w w:val="89"/>
              </w:rPr>
            </w:pPr>
            <w:hyperlink w:anchor="page25">
              <w:r>
                <w:rPr>
                  <w:rFonts w:ascii="Arial" w:cs="Arial" w:eastAsia="Arial" w:hAnsi="Arial"/>
                  <w:sz w:val="16"/>
                  <w:szCs w:val="16"/>
                  <w:color w:val="auto"/>
                  <w:w w:val="89"/>
                </w:rPr>
                <w:t>21</w:t>
              </w:r>
            </w:hyperlink>
          </w:p>
        </w:tc>
        <w:tc>
          <w:tcPr>
            <w:tcW w:w="4940" w:type="dxa"/>
            <w:vAlign w:val="bottom"/>
          </w:tcPr>
          <w:p>
            <w:pPr>
              <w:ind w:left="20"/>
              <w:spacing w:after="0"/>
              <w:rPr>
                <w:rFonts w:ascii="Arial" w:cs="Arial" w:eastAsia="Arial" w:hAnsi="Arial"/>
                <w:sz w:val="16"/>
                <w:szCs w:val="16"/>
                <w:color w:val="auto"/>
              </w:rPr>
            </w:pPr>
            <w:hyperlink w:anchor="page68">
              <w:r>
                <w:rPr>
                  <w:rFonts w:ascii="Arial" w:cs="Arial" w:eastAsia="Arial" w:hAnsi="Arial"/>
                  <w:sz w:val="16"/>
                  <w:szCs w:val="16"/>
                  <w:color w:val="auto"/>
                </w:rPr>
                <w:t>Outstanding Equity Awards at 2020 Fiscal Year-End</w:t>
              </w:r>
            </w:hyperlink>
          </w:p>
        </w:tc>
        <w:tc>
          <w:tcPr>
            <w:tcW w:w="620" w:type="dxa"/>
            <w:vAlign w:val="bottom"/>
          </w:tcPr>
          <w:p>
            <w:pPr>
              <w:jc w:val="right"/>
              <w:spacing w:after="0"/>
              <w:rPr>
                <w:rFonts w:ascii="Arial" w:cs="Arial" w:eastAsia="Arial" w:hAnsi="Arial"/>
                <w:sz w:val="16"/>
                <w:szCs w:val="16"/>
                <w:color w:val="auto"/>
              </w:rPr>
            </w:pPr>
            <w:hyperlink w:anchor="page68">
              <w:r>
                <w:rPr>
                  <w:rFonts w:ascii="Arial" w:cs="Arial" w:eastAsia="Arial" w:hAnsi="Arial"/>
                  <w:sz w:val="16"/>
                  <w:szCs w:val="16"/>
                  <w:color w:val="auto"/>
                </w:rPr>
                <w:t>65</w:t>
              </w:r>
            </w:hyperlink>
          </w:p>
        </w:tc>
        <w:tc>
          <w:tcPr>
            <w:tcW w:w="0" w:type="dxa"/>
            <w:vAlign w:val="bottom"/>
          </w:tcPr>
          <w:p>
            <w:pPr>
              <w:spacing w:after="0"/>
              <w:rPr>
                <w:sz w:val="1"/>
                <w:szCs w:val="1"/>
                <w:color w:val="auto"/>
              </w:rPr>
            </w:pPr>
          </w:p>
        </w:tc>
      </w:tr>
      <w:tr>
        <w:trPr>
          <w:trHeight w:val="365"/>
        </w:trPr>
        <w:tc>
          <w:tcPr>
            <w:tcW w:w="400" w:type="dxa"/>
            <w:vAlign w:val="bottom"/>
          </w:tcPr>
          <w:p>
            <w:pPr>
              <w:jc w:val="right"/>
              <w:ind w:right="139"/>
              <w:spacing w:after="0"/>
              <w:rPr>
                <w:rFonts w:ascii="Arial" w:cs="Arial" w:eastAsia="Arial" w:hAnsi="Arial"/>
                <w:sz w:val="16"/>
                <w:szCs w:val="16"/>
                <w:color w:val="auto"/>
                <w:w w:val="89"/>
              </w:rPr>
            </w:pPr>
            <w:hyperlink w:anchor="page27">
              <w:r>
                <w:rPr>
                  <w:rFonts w:ascii="Arial" w:cs="Arial" w:eastAsia="Arial" w:hAnsi="Arial"/>
                  <w:sz w:val="16"/>
                  <w:szCs w:val="16"/>
                  <w:color w:val="auto"/>
                  <w:w w:val="89"/>
                </w:rPr>
                <w:t>23</w:t>
              </w:r>
            </w:hyperlink>
          </w:p>
        </w:tc>
        <w:tc>
          <w:tcPr>
            <w:tcW w:w="4940" w:type="dxa"/>
            <w:vAlign w:val="bottom"/>
          </w:tcPr>
          <w:p>
            <w:pPr>
              <w:ind w:left="20"/>
              <w:spacing w:after="0"/>
              <w:rPr>
                <w:rFonts w:ascii="Arial" w:cs="Arial" w:eastAsia="Arial" w:hAnsi="Arial"/>
                <w:sz w:val="16"/>
                <w:szCs w:val="16"/>
                <w:color w:val="auto"/>
              </w:rPr>
            </w:pPr>
            <w:hyperlink w:anchor="page70">
              <w:r>
                <w:rPr>
                  <w:rFonts w:ascii="Arial" w:cs="Arial" w:eastAsia="Arial" w:hAnsi="Arial"/>
                  <w:sz w:val="16"/>
                  <w:szCs w:val="16"/>
                  <w:color w:val="auto"/>
                </w:rPr>
                <w:t xml:space="preserve">Option Exercises and Stock Vested During </w:t>
              </w:r>
            </w:hyperlink>
            <w:r>
              <w:rPr>
                <w:rFonts w:ascii="Arial" w:cs="Arial" w:eastAsia="Arial" w:hAnsi="Arial"/>
                <w:sz w:val="16"/>
                <w:szCs w:val="16"/>
                <w:color w:val="auto"/>
              </w:rPr>
              <w:t>2020</w:t>
            </w:r>
          </w:p>
        </w:tc>
        <w:tc>
          <w:tcPr>
            <w:tcW w:w="620" w:type="dxa"/>
            <w:vAlign w:val="bottom"/>
          </w:tcPr>
          <w:p>
            <w:pPr>
              <w:jc w:val="right"/>
              <w:spacing w:after="0"/>
              <w:rPr>
                <w:rFonts w:ascii="Arial" w:cs="Arial" w:eastAsia="Arial" w:hAnsi="Arial"/>
                <w:sz w:val="16"/>
                <w:szCs w:val="16"/>
                <w:color w:val="auto"/>
              </w:rPr>
            </w:pPr>
            <w:hyperlink w:anchor="page70">
              <w:r>
                <w:rPr>
                  <w:rFonts w:ascii="Arial" w:cs="Arial" w:eastAsia="Arial" w:hAnsi="Arial"/>
                  <w:sz w:val="16"/>
                  <w:szCs w:val="16"/>
                  <w:color w:val="auto"/>
                </w:rPr>
                <w:t>66</w:t>
              </w:r>
            </w:hyperlink>
          </w:p>
        </w:tc>
        <w:tc>
          <w:tcPr>
            <w:tcW w:w="0" w:type="dxa"/>
            <w:vAlign w:val="bottom"/>
          </w:tcPr>
          <w:p>
            <w:pPr>
              <w:spacing w:after="0"/>
              <w:rPr>
                <w:sz w:val="1"/>
                <w:szCs w:val="1"/>
                <w:color w:val="auto"/>
              </w:rPr>
            </w:pPr>
          </w:p>
        </w:tc>
      </w:tr>
      <w:tr>
        <w:trPr>
          <w:trHeight w:val="364"/>
        </w:trPr>
        <w:tc>
          <w:tcPr>
            <w:tcW w:w="400" w:type="dxa"/>
            <w:vAlign w:val="bottom"/>
          </w:tcPr>
          <w:p>
            <w:pPr>
              <w:jc w:val="right"/>
              <w:ind w:right="139"/>
              <w:spacing w:after="0"/>
              <w:rPr>
                <w:rFonts w:ascii="Arial" w:cs="Arial" w:eastAsia="Arial" w:hAnsi="Arial"/>
                <w:sz w:val="16"/>
                <w:szCs w:val="16"/>
                <w:color w:val="auto"/>
                <w:w w:val="89"/>
              </w:rPr>
            </w:pPr>
            <w:hyperlink w:anchor="page27">
              <w:r>
                <w:rPr>
                  <w:rFonts w:ascii="Arial" w:cs="Arial" w:eastAsia="Arial" w:hAnsi="Arial"/>
                  <w:sz w:val="16"/>
                  <w:szCs w:val="16"/>
                  <w:color w:val="auto"/>
                  <w:w w:val="89"/>
                </w:rPr>
                <w:t>23</w:t>
              </w:r>
            </w:hyperlink>
          </w:p>
        </w:tc>
        <w:tc>
          <w:tcPr>
            <w:tcW w:w="4940" w:type="dxa"/>
            <w:vAlign w:val="bottom"/>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2020 </w:t>
            </w:r>
            <w:hyperlink w:anchor="page70">
              <w:r>
                <w:rPr>
                  <w:rFonts w:ascii="Arial" w:cs="Arial" w:eastAsia="Arial" w:hAnsi="Arial"/>
                  <w:sz w:val="16"/>
                  <w:szCs w:val="16"/>
                  <w:color w:val="auto"/>
                </w:rPr>
                <w:t>Pension Benefits</w:t>
              </w:r>
            </w:hyperlink>
          </w:p>
        </w:tc>
        <w:tc>
          <w:tcPr>
            <w:tcW w:w="620" w:type="dxa"/>
            <w:vAlign w:val="bottom"/>
          </w:tcPr>
          <w:p>
            <w:pPr>
              <w:jc w:val="right"/>
              <w:spacing w:after="0"/>
              <w:rPr>
                <w:rFonts w:ascii="Arial" w:cs="Arial" w:eastAsia="Arial" w:hAnsi="Arial"/>
                <w:sz w:val="16"/>
                <w:szCs w:val="16"/>
                <w:color w:val="auto"/>
              </w:rPr>
            </w:pPr>
            <w:hyperlink w:anchor="page70">
              <w:r>
                <w:rPr>
                  <w:rFonts w:ascii="Arial" w:cs="Arial" w:eastAsia="Arial" w:hAnsi="Arial"/>
                  <w:sz w:val="16"/>
                  <w:szCs w:val="16"/>
                  <w:color w:val="auto"/>
                </w:rPr>
                <w:t>66</w:t>
              </w:r>
            </w:hyperlink>
          </w:p>
        </w:tc>
        <w:tc>
          <w:tcPr>
            <w:tcW w:w="0" w:type="dxa"/>
            <w:vAlign w:val="bottom"/>
          </w:tcPr>
          <w:p>
            <w:pPr>
              <w:spacing w:after="0"/>
              <w:rPr>
                <w:sz w:val="1"/>
                <w:szCs w:val="1"/>
                <w:color w:val="auto"/>
              </w:rPr>
            </w:pPr>
          </w:p>
        </w:tc>
      </w:tr>
      <w:tr>
        <w:trPr>
          <w:trHeight w:val="365"/>
        </w:trPr>
        <w:tc>
          <w:tcPr>
            <w:tcW w:w="400" w:type="dxa"/>
            <w:vAlign w:val="bottom"/>
          </w:tcPr>
          <w:p>
            <w:pPr>
              <w:jc w:val="right"/>
              <w:ind w:right="139"/>
              <w:spacing w:after="0"/>
              <w:rPr>
                <w:rFonts w:ascii="Arial" w:cs="Arial" w:eastAsia="Arial" w:hAnsi="Arial"/>
                <w:sz w:val="16"/>
                <w:szCs w:val="16"/>
                <w:color w:val="auto"/>
                <w:w w:val="89"/>
              </w:rPr>
            </w:pPr>
            <w:hyperlink w:anchor="page27">
              <w:r>
                <w:rPr>
                  <w:rFonts w:ascii="Arial" w:cs="Arial" w:eastAsia="Arial" w:hAnsi="Arial"/>
                  <w:sz w:val="16"/>
                  <w:szCs w:val="16"/>
                  <w:color w:val="auto"/>
                  <w:w w:val="89"/>
                </w:rPr>
                <w:t>24</w:t>
              </w:r>
            </w:hyperlink>
          </w:p>
        </w:tc>
        <w:tc>
          <w:tcPr>
            <w:tcW w:w="4940" w:type="dxa"/>
            <w:vAlign w:val="bottom"/>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2020 </w:t>
            </w:r>
            <w:hyperlink w:anchor="page71">
              <w:r>
                <w:rPr>
                  <w:rFonts w:ascii="Arial" w:cs="Arial" w:eastAsia="Arial" w:hAnsi="Arial"/>
                  <w:sz w:val="16"/>
                  <w:szCs w:val="16"/>
                  <w:color w:val="auto"/>
                </w:rPr>
                <w:t>Nonqualified Deferred Compensation</w:t>
              </w:r>
            </w:hyperlink>
          </w:p>
        </w:tc>
        <w:tc>
          <w:tcPr>
            <w:tcW w:w="620" w:type="dxa"/>
            <w:vAlign w:val="bottom"/>
          </w:tcPr>
          <w:p>
            <w:pPr>
              <w:jc w:val="right"/>
              <w:spacing w:after="0"/>
              <w:rPr>
                <w:rFonts w:ascii="Arial" w:cs="Arial" w:eastAsia="Arial" w:hAnsi="Arial"/>
                <w:sz w:val="16"/>
                <w:szCs w:val="16"/>
                <w:color w:val="auto"/>
              </w:rPr>
            </w:pPr>
            <w:hyperlink w:anchor="page71">
              <w:r>
                <w:rPr>
                  <w:rFonts w:ascii="Arial" w:cs="Arial" w:eastAsia="Arial" w:hAnsi="Arial"/>
                  <w:sz w:val="16"/>
                  <w:szCs w:val="16"/>
                  <w:color w:val="auto"/>
                </w:rPr>
                <w:t>68</w:t>
              </w:r>
            </w:hyperlink>
          </w:p>
        </w:tc>
        <w:tc>
          <w:tcPr>
            <w:tcW w:w="0" w:type="dxa"/>
            <w:vAlign w:val="bottom"/>
          </w:tcPr>
          <w:p>
            <w:pPr>
              <w:spacing w:after="0"/>
              <w:rPr>
                <w:sz w:val="1"/>
                <w:szCs w:val="1"/>
                <w:color w:val="auto"/>
              </w:rPr>
            </w:pPr>
          </w:p>
        </w:tc>
      </w:tr>
      <w:tr>
        <w:trPr>
          <w:trHeight w:val="365"/>
        </w:trPr>
        <w:tc>
          <w:tcPr>
            <w:tcW w:w="400" w:type="dxa"/>
            <w:vAlign w:val="bottom"/>
            <w:vMerge w:val="restart"/>
          </w:tcPr>
          <w:p>
            <w:pPr>
              <w:jc w:val="right"/>
              <w:ind w:right="139"/>
              <w:spacing w:after="0"/>
              <w:rPr>
                <w:rFonts w:ascii="Arial" w:cs="Arial" w:eastAsia="Arial" w:hAnsi="Arial"/>
                <w:sz w:val="16"/>
                <w:szCs w:val="16"/>
                <w:color w:val="auto"/>
                <w:w w:val="89"/>
              </w:rPr>
            </w:pPr>
            <w:hyperlink w:anchor="page28">
              <w:r>
                <w:rPr>
                  <w:rFonts w:ascii="Arial" w:cs="Arial" w:eastAsia="Arial" w:hAnsi="Arial"/>
                  <w:sz w:val="16"/>
                  <w:szCs w:val="16"/>
                  <w:color w:val="auto"/>
                  <w:w w:val="89"/>
                </w:rPr>
                <w:t>24</w:t>
              </w:r>
            </w:hyperlink>
          </w:p>
        </w:tc>
        <w:tc>
          <w:tcPr>
            <w:tcW w:w="4940" w:type="dxa"/>
            <w:vAlign w:val="bottom"/>
          </w:tcPr>
          <w:p>
            <w:pPr>
              <w:ind w:left="20"/>
              <w:spacing w:after="0"/>
              <w:rPr>
                <w:rFonts w:ascii="Arial" w:cs="Arial" w:eastAsia="Arial" w:hAnsi="Arial"/>
                <w:sz w:val="16"/>
                <w:szCs w:val="16"/>
                <w:color w:val="auto"/>
              </w:rPr>
            </w:pPr>
            <w:hyperlink w:anchor="page74">
              <w:r>
                <w:rPr>
                  <w:rFonts w:ascii="Arial" w:cs="Arial" w:eastAsia="Arial" w:hAnsi="Arial"/>
                  <w:sz w:val="16"/>
                  <w:szCs w:val="16"/>
                  <w:color w:val="auto"/>
                </w:rPr>
                <w:t>Potential Payments Upon Termination or Change in Control</w:t>
              </w:r>
            </w:hyperlink>
          </w:p>
        </w:tc>
        <w:tc>
          <w:tcPr>
            <w:tcW w:w="620" w:type="dxa"/>
            <w:vAlign w:val="bottom"/>
          </w:tcPr>
          <w:p>
            <w:pPr>
              <w:jc w:val="right"/>
              <w:spacing w:after="0"/>
              <w:rPr>
                <w:rFonts w:ascii="Arial" w:cs="Arial" w:eastAsia="Arial" w:hAnsi="Arial"/>
                <w:sz w:val="16"/>
                <w:szCs w:val="16"/>
                <w:color w:val="auto"/>
              </w:rPr>
            </w:pPr>
            <w:hyperlink w:anchor="page74">
              <w:r>
                <w:rPr>
                  <w:rFonts w:ascii="Arial" w:cs="Arial" w:eastAsia="Arial" w:hAnsi="Arial"/>
                  <w:sz w:val="16"/>
                  <w:szCs w:val="16"/>
                  <w:color w:val="auto"/>
                </w:rPr>
                <w:t>71</w:t>
              </w:r>
            </w:hyperlink>
          </w:p>
        </w:tc>
        <w:tc>
          <w:tcPr>
            <w:tcW w:w="0" w:type="dxa"/>
            <w:vAlign w:val="bottom"/>
          </w:tcPr>
          <w:p>
            <w:pPr>
              <w:spacing w:after="0"/>
              <w:rPr>
                <w:sz w:val="1"/>
                <w:szCs w:val="1"/>
                <w:color w:val="auto"/>
              </w:rPr>
            </w:pPr>
          </w:p>
        </w:tc>
      </w:tr>
      <w:tr>
        <w:trPr>
          <w:trHeight w:val="54"/>
        </w:trPr>
        <w:tc>
          <w:tcPr>
            <w:tcW w:w="400" w:type="dxa"/>
            <w:vAlign w:val="bottom"/>
            <w:vMerge w:val="continue"/>
          </w:tcPr>
          <w:p>
            <w:pPr>
              <w:spacing w:after="0"/>
              <w:rPr>
                <w:sz w:val="4"/>
                <w:szCs w:val="4"/>
                <w:color w:val="auto"/>
              </w:rPr>
            </w:pPr>
          </w:p>
        </w:tc>
        <w:tc>
          <w:tcPr>
            <w:tcW w:w="49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400" w:type="dxa"/>
            <w:vAlign w:val="bottom"/>
          </w:tcPr>
          <w:p>
            <w:pPr>
              <w:jc w:val="right"/>
              <w:ind w:right="139"/>
              <w:spacing w:after="0"/>
              <w:rPr>
                <w:rFonts w:ascii="Arial" w:cs="Arial" w:eastAsia="Arial" w:hAnsi="Arial"/>
                <w:sz w:val="16"/>
                <w:szCs w:val="16"/>
                <w:color w:val="auto"/>
                <w:w w:val="89"/>
              </w:rPr>
            </w:pPr>
            <w:hyperlink w:anchor="page28">
              <w:r>
                <w:rPr>
                  <w:rFonts w:ascii="Arial" w:cs="Arial" w:eastAsia="Arial" w:hAnsi="Arial"/>
                  <w:sz w:val="16"/>
                  <w:szCs w:val="16"/>
                  <w:color w:val="auto"/>
                  <w:w w:val="89"/>
                </w:rPr>
                <w:t>24</w:t>
              </w:r>
            </w:hyperlink>
          </w:p>
        </w:tc>
        <w:tc>
          <w:tcPr>
            <w:tcW w:w="4940" w:type="dxa"/>
            <w:vAlign w:val="bottom"/>
          </w:tcPr>
          <w:p>
            <w:pPr>
              <w:ind w:left="20"/>
              <w:spacing w:after="0"/>
              <w:rPr>
                <w:rFonts w:ascii="Arial" w:cs="Arial" w:eastAsia="Arial" w:hAnsi="Arial"/>
                <w:sz w:val="16"/>
                <w:szCs w:val="16"/>
                <w:color w:val="auto"/>
              </w:rPr>
            </w:pPr>
            <w:hyperlink w:anchor="page78">
              <w:r>
                <w:rPr>
                  <w:rFonts w:ascii="Arial" w:cs="Arial" w:eastAsia="Arial" w:hAnsi="Arial"/>
                  <w:sz w:val="16"/>
                  <w:szCs w:val="16"/>
                  <w:color w:val="auto"/>
                </w:rPr>
                <w:t>CEO Pay Ratio</w:t>
              </w:r>
            </w:hyperlink>
          </w:p>
        </w:tc>
        <w:tc>
          <w:tcPr>
            <w:tcW w:w="620" w:type="dxa"/>
            <w:vAlign w:val="bottom"/>
          </w:tcPr>
          <w:p>
            <w:pPr>
              <w:jc w:val="right"/>
              <w:spacing w:after="0"/>
              <w:rPr>
                <w:rFonts w:ascii="Arial" w:cs="Arial" w:eastAsia="Arial" w:hAnsi="Arial"/>
                <w:sz w:val="16"/>
                <w:szCs w:val="16"/>
                <w:color w:val="auto"/>
              </w:rPr>
            </w:pPr>
            <w:hyperlink w:anchor="page78">
              <w:r>
                <w:rPr>
                  <w:rFonts w:ascii="Arial" w:cs="Arial" w:eastAsia="Arial" w:hAnsi="Arial"/>
                  <w:sz w:val="16"/>
                  <w:szCs w:val="16"/>
                  <w:color w:val="auto"/>
                </w:rPr>
                <w:t>75</w:t>
              </w:r>
            </w:hyperlink>
          </w:p>
        </w:tc>
        <w:tc>
          <w:tcPr>
            <w:tcW w:w="0" w:type="dxa"/>
            <w:vAlign w:val="bottom"/>
          </w:tcPr>
          <w:p>
            <w:pPr>
              <w:spacing w:after="0"/>
              <w:rPr>
                <w:sz w:val="1"/>
                <w:szCs w:val="1"/>
                <w:color w:val="auto"/>
              </w:rPr>
            </w:pPr>
          </w:p>
        </w:tc>
      </w:tr>
      <w:tr>
        <w:trPr>
          <w:trHeight w:val="365"/>
        </w:trPr>
        <w:tc>
          <w:tcPr>
            <w:tcW w:w="400" w:type="dxa"/>
            <w:vAlign w:val="bottom"/>
          </w:tcPr>
          <w:p>
            <w:pPr>
              <w:jc w:val="right"/>
              <w:ind w:right="139"/>
              <w:spacing w:after="0"/>
              <w:rPr>
                <w:rFonts w:ascii="Arial" w:cs="Arial" w:eastAsia="Arial" w:hAnsi="Arial"/>
                <w:sz w:val="16"/>
                <w:szCs w:val="16"/>
                <w:color w:val="auto"/>
                <w:w w:val="89"/>
              </w:rPr>
            </w:pPr>
            <w:hyperlink w:anchor="page28">
              <w:r>
                <w:rPr>
                  <w:rFonts w:ascii="Arial" w:cs="Arial" w:eastAsia="Arial" w:hAnsi="Arial"/>
                  <w:sz w:val="16"/>
                  <w:szCs w:val="16"/>
                  <w:color w:val="auto"/>
                  <w:w w:val="89"/>
                </w:rPr>
                <w:t>25</w:t>
              </w:r>
            </w:hyperlink>
          </w:p>
        </w:tc>
        <w:tc>
          <w:tcPr>
            <w:tcW w:w="4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jc w:val="right"/>
              <w:ind w:right="139"/>
              <w:spacing w:after="0"/>
              <w:rPr>
                <w:rFonts w:ascii="Arial" w:cs="Arial" w:eastAsia="Arial" w:hAnsi="Arial"/>
                <w:sz w:val="16"/>
                <w:szCs w:val="16"/>
                <w:color w:val="auto"/>
                <w:w w:val="89"/>
              </w:rPr>
            </w:pPr>
            <w:hyperlink w:anchor="page30">
              <w:r>
                <w:rPr>
                  <w:rFonts w:ascii="Arial" w:cs="Arial" w:eastAsia="Arial" w:hAnsi="Arial"/>
                  <w:sz w:val="16"/>
                  <w:szCs w:val="16"/>
                  <w:color w:val="auto"/>
                  <w:w w:val="89"/>
                </w:rPr>
                <w:t>27</w:t>
              </w:r>
            </w:hyperlink>
          </w:p>
        </w:tc>
        <w:tc>
          <w:tcPr>
            <w:tcW w:w="4940" w:type="dxa"/>
            <w:vAlign w:val="bottom"/>
            <w:tcBorders>
              <w:bottom w:val="single" w:sz="8" w:color="002E6D"/>
            </w:tcBorders>
          </w:tcPr>
          <w:p>
            <w:pPr>
              <w:ind w:left="20"/>
              <w:spacing w:after="0"/>
              <w:rPr>
                <w:rFonts w:ascii="Arial" w:cs="Arial" w:eastAsia="Arial" w:hAnsi="Arial"/>
                <w:sz w:val="16"/>
                <w:szCs w:val="16"/>
                <w:b w:val="1"/>
                <w:bCs w:val="1"/>
                <w:color w:val="002E6D"/>
              </w:rPr>
            </w:pPr>
            <w:hyperlink w:anchor="page79">
              <w:r>
                <w:rPr>
                  <w:rFonts w:ascii="Arial" w:cs="Arial" w:eastAsia="Arial" w:hAnsi="Arial"/>
                  <w:sz w:val="16"/>
                  <w:szCs w:val="16"/>
                  <w:b w:val="1"/>
                  <w:bCs w:val="1"/>
                  <w:color w:val="002E6D"/>
                </w:rPr>
                <w:t>DIRECTOR COMPENSATION</w:t>
              </w:r>
            </w:hyperlink>
          </w:p>
        </w:tc>
        <w:tc>
          <w:tcPr>
            <w:tcW w:w="620" w:type="dxa"/>
            <w:vAlign w:val="bottom"/>
            <w:tcBorders>
              <w:bottom w:val="single" w:sz="8" w:color="002E6D"/>
            </w:tcBorders>
          </w:tcPr>
          <w:p>
            <w:pPr>
              <w:jc w:val="right"/>
              <w:spacing w:after="0"/>
              <w:rPr>
                <w:rFonts w:ascii="Arial" w:cs="Arial" w:eastAsia="Arial" w:hAnsi="Arial"/>
                <w:sz w:val="16"/>
                <w:szCs w:val="16"/>
                <w:b w:val="1"/>
                <w:bCs w:val="1"/>
                <w:color w:val="002F6C"/>
              </w:rPr>
            </w:pPr>
            <w:hyperlink w:anchor="page79">
              <w:r>
                <w:rPr>
                  <w:rFonts w:ascii="Arial" w:cs="Arial" w:eastAsia="Arial" w:hAnsi="Arial"/>
                  <w:sz w:val="16"/>
                  <w:szCs w:val="16"/>
                  <w:b w:val="1"/>
                  <w:bCs w:val="1"/>
                  <w:color w:val="002F6C"/>
                </w:rPr>
                <w:t>76</w:t>
              </w:r>
            </w:hyperlink>
          </w:p>
        </w:tc>
        <w:tc>
          <w:tcPr>
            <w:tcW w:w="0" w:type="dxa"/>
            <w:vAlign w:val="bottom"/>
          </w:tcPr>
          <w:p>
            <w:pPr>
              <w:spacing w:after="0"/>
              <w:rPr>
                <w:sz w:val="1"/>
                <w:szCs w:val="1"/>
                <w:color w:val="auto"/>
              </w:rPr>
            </w:pPr>
          </w:p>
        </w:tc>
      </w:tr>
      <w:tr>
        <w:trPr>
          <w:trHeight w:val="264"/>
        </w:trPr>
        <w:tc>
          <w:tcPr>
            <w:tcW w:w="400" w:type="dxa"/>
            <w:vAlign w:val="bottom"/>
          </w:tcPr>
          <w:p>
            <w:pPr>
              <w:jc w:val="right"/>
              <w:ind w:right="139"/>
              <w:spacing w:after="0"/>
              <w:rPr>
                <w:rFonts w:ascii="Arial" w:cs="Arial" w:eastAsia="Arial" w:hAnsi="Arial"/>
                <w:sz w:val="16"/>
                <w:szCs w:val="16"/>
                <w:color w:val="auto"/>
                <w:w w:val="89"/>
              </w:rPr>
            </w:pPr>
            <w:hyperlink w:anchor="page31">
              <w:r>
                <w:rPr>
                  <w:rFonts w:ascii="Arial" w:cs="Arial" w:eastAsia="Arial" w:hAnsi="Arial"/>
                  <w:sz w:val="16"/>
                  <w:szCs w:val="16"/>
                  <w:color w:val="auto"/>
                  <w:w w:val="89"/>
                </w:rPr>
                <w:t>28</w:t>
              </w:r>
            </w:hyperlink>
          </w:p>
        </w:tc>
        <w:tc>
          <w:tcPr>
            <w:tcW w:w="4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400" w:type="dxa"/>
            <w:vAlign w:val="bottom"/>
          </w:tcPr>
          <w:p>
            <w:pPr>
              <w:jc w:val="right"/>
              <w:ind w:right="139"/>
              <w:spacing w:after="0"/>
              <w:rPr>
                <w:rFonts w:ascii="Arial" w:cs="Arial" w:eastAsia="Arial" w:hAnsi="Arial"/>
                <w:sz w:val="16"/>
                <w:szCs w:val="16"/>
                <w:color w:val="auto"/>
                <w:w w:val="89"/>
              </w:rPr>
            </w:pPr>
            <w:hyperlink w:anchor="page32">
              <w:r>
                <w:rPr>
                  <w:rFonts w:ascii="Arial" w:cs="Arial" w:eastAsia="Arial" w:hAnsi="Arial"/>
                  <w:sz w:val="16"/>
                  <w:szCs w:val="16"/>
                  <w:color w:val="auto"/>
                  <w:w w:val="89"/>
                </w:rPr>
                <w:t>29</w:t>
              </w:r>
            </w:hyperlink>
          </w:p>
        </w:tc>
        <w:tc>
          <w:tcPr>
            <w:tcW w:w="4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vMerge w:val="restart"/>
          </w:tcPr>
          <w:p>
            <w:pPr>
              <w:jc w:val="right"/>
              <w:ind w:right="139"/>
              <w:spacing w:after="0"/>
              <w:rPr>
                <w:rFonts w:ascii="Arial" w:cs="Arial" w:eastAsia="Arial" w:hAnsi="Arial"/>
                <w:sz w:val="16"/>
                <w:szCs w:val="16"/>
                <w:color w:val="auto"/>
                <w:w w:val="89"/>
              </w:rPr>
            </w:pPr>
            <w:hyperlink w:anchor="page33">
              <w:r>
                <w:rPr>
                  <w:rFonts w:ascii="Arial" w:cs="Arial" w:eastAsia="Arial" w:hAnsi="Arial"/>
                  <w:sz w:val="16"/>
                  <w:szCs w:val="16"/>
                  <w:color w:val="auto"/>
                  <w:w w:val="89"/>
                </w:rPr>
                <w:t>29</w:t>
              </w:r>
            </w:hyperlink>
          </w:p>
        </w:tc>
        <w:tc>
          <w:tcPr>
            <w:tcW w:w="4940" w:type="dxa"/>
            <w:vAlign w:val="bottom"/>
          </w:tcPr>
          <w:p>
            <w:pPr>
              <w:ind w:left="20"/>
              <w:spacing w:after="0"/>
              <w:rPr>
                <w:rFonts w:ascii="Arial" w:cs="Arial" w:eastAsia="Arial" w:hAnsi="Arial"/>
                <w:sz w:val="16"/>
                <w:szCs w:val="16"/>
                <w:b w:val="1"/>
                <w:bCs w:val="1"/>
                <w:color w:val="002E6D"/>
              </w:rPr>
            </w:pPr>
            <w:hyperlink w:anchor="page82">
              <w:r>
                <w:rPr>
                  <w:rFonts w:ascii="Arial" w:cs="Arial" w:eastAsia="Arial" w:hAnsi="Arial"/>
                  <w:sz w:val="16"/>
                  <w:szCs w:val="16"/>
                  <w:b w:val="1"/>
                  <w:bCs w:val="1"/>
                  <w:color w:val="002E6D"/>
                </w:rPr>
                <w:t>SECURITY OWNERSHIP OF MANAGEMENT AND CERTAIN</w:t>
              </w:r>
            </w:hyperlink>
          </w:p>
        </w:tc>
        <w:tc>
          <w:tcPr>
            <w:tcW w:w="620" w:type="dxa"/>
            <w:vAlign w:val="bottom"/>
            <w:vMerge w:val="restart"/>
          </w:tcPr>
          <w:p>
            <w:pPr>
              <w:jc w:val="right"/>
              <w:spacing w:after="0"/>
              <w:rPr>
                <w:rFonts w:ascii="Arial" w:cs="Arial" w:eastAsia="Arial" w:hAnsi="Arial"/>
                <w:sz w:val="16"/>
                <w:szCs w:val="16"/>
                <w:b w:val="1"/>
                <w:bCs w:val="1"/>
                <w:color w:val="002F6C"/>
              </w:rPr>
            </w:pPr>
            <w:hyperlink w:anchor="page82">
              <w:r>
                <w:rPr>
                  <w:rFonts w:ascii="Arial" w:cs="Arial" w:eastAsia="Arial" w:hAnsi="Arial"/>
                  <w:sz w:val="16"/>
                  <w:szCs w:val="16"/>
                  <w:b w:val="1"/>
                  <w:bCs w:val="1"/>
                  <w:color w:val="002F6C"/>
                </w:rPr>
                <w:t>79</w:t>
              </w:r>
            </w:hyperlink>
          </w:p>
        </w:tc>
        <w:tc>
          <w:tcPr>
            <w:tcW w:w="0" w:type="dxa"/>
            <w:vAlign w:val="bottom"/>
          </w:tcPr>
          <w:p>
            <w:pPr>
              <w:spacing w:after="0"/>
              <w:rPr>
                <w:sz w:val="1"/>
                <w:szCs w:val="1"/>
                <w:color w:val="auto"/>
              </w:rPr>
            </w:pPr>
          </w:p>
        </w:tc>
      </w:tr>
      <w:tr>
        <w:trPr>
          <w:trHeight w:val="215"/>
        </w:trPr>
        <w:tc>
          <w:tcPr>
            <w:tcW w:w="400" w:type="dxa"/>
            <w:vAlign w:val="bottom"/>
            <w:vMerge w:val="continue"/>
          </w:tcPr>
          <w:p>
            <w:pPr>
              <w:spacing w:after="0"/>
              <w:rPr>
                <w:sz w:val="18"/>
                <w:szCs w:val="18"/>
                <w:color w:val="auto"/>
              </w:rPr>
            </w:pPr>
          </w:p>
        </w:tc>
        <w:tc>
          <w:tcPr>
            <w:tcW w:w="4940" w:type="dxa"/>
            <w:vAlign w:val="bottom"/>
            <w:tcBorders>
              <w:bottom w:val="single" w:sz="8" w:color="002E6D"/>
            </w:tcBorders>
          </w:tcPr>
          <w:p>
            <w:pPr>
              <w:ind w:left="20"/>
              <w:spacing w:after="0"/>
              <w:rPr>
                <w:rFonts w:ascii="Arial" w:cs="Arial" w:eastAsia="Arial" w:hAnsi="Arial"/>
                <w:sz w:val="16"/>
                <w:szCs w:val="16"/>
                <w:b w:val="1"/>
                <w:bCs w:val="1"/>
                <w:color w:val="002E6D"/>
              </w:rPr>
            </w:pPr>
            <w:hyperlink w:anchor="page82">
              <w:r>
                <w:rPr>
                  <w:rFonts w:ascii="Arial" w:cs="Arial" w:eastAsia="Arial" w:hAnsi="Arial"/>
                  <w:sz w:val="16"/>
                  <w:szCs w:val="16"/>
                  <w:b w:val="1"/>
                  <w:bCs w:val="1"/>
                  <w:color w:val="002E6D"/>
                </w:rPr>
                <w:t>BENEFICIAL OWNERS</w:t>
              </w:r>
            </w:hyperlink>
          </w:p>
        </w:tc>
        <w:tc>
          <w:tcPr>
            <w:tcW w:w="620" w:type="dxa"/>
            <w:vAlign w:val="bottom"/>
            <w:tcBorders>
              <w:bottom w:val="single" w:sz="8" w:color="002E6D"/>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00" w:type="dxa"/>
            <w:vAlign w:val="bottom"/>
          </w:tcPr>
          <w:p>
            <w:pPr>
              <w:jc w:val="right"/>
              <w:ind w:right="139"/>
              <w:spacing w:after="0"/>
              <w:rPr>
                <w:rFonts w:ascii="Arial" w:cs="Arial" w:eastAsia="Arial" w:hAnsi="Arial"/>
                <w:sz w:val="16"/>
                <w:szCs w:val="16"/>
                <w:color w:val="auto"/>
                <w:w w:val="89"/>
              </w:rPr>
            </w:pPr>
            <w:hyperlink w:anchor="page33">
              <w:r>
                <w:rPr>
                  <w:rFonts w:ascii="Arial" w:cs="Arial" w:eastAsia="Arial" w:hAnsi="Arial"/>
                  <w:sz w:val="16"/>
                  <w:szCs w:val="16"/>
                  <w:color w:val="auto"/>
                  <w:w w:val="89"/>
                </w:rPr>
                <w:t>29</w:t>
              </w:r>
            </w:hyperlink>
          </w:p>
        </w:tc>
        <w:tc>
          <w:tcPr>
            <w:tcW w:w="4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23" w:hanging="423"/>
        <w:spacing w:after="0"/>
        <w:tabs>
          <w:tab w:leader="none" w:pos="423" w:val="left"/>
        </w:tabs>
        <w:numPr>
          <w:ilvl w:val="0"/>
          <w:numId w:val="6"/>
        </w:numPr>
        <w:rPr>
          <w:rFonts w:ascii="Arial" w:cs="Arial" w:eastAsia="Arial" w:hAnsi="Arial"/>
          <w:sz w:val="16"/>
          <w:szCs w:val="16"/>
          <w:b w:val="1"/>
          <w:bCs w:val="1"/>
          <w:color w:val="002E6D"/>
        </w:rPr>
      </w:pPr>
      <w:hyperlink w:anchor="page84">
        <w:r>
          <w:rPr>
            <w:rFonts w:ascii="Arial" w:cs="Arial" w:eastAsia="Arial" w:hAnsi="Arial"/>
            <w:sz w:val="16"/>
            <w:szCs w:val="16"/>
            <w:b w:val="1"/>
            <w:bCs w:val="1"/>
            <w:color w:val="002E6D"/>
          </w:rPr>
          <w:t>PROPOSAL 4: STOCKHOLDER PROPOSAL TO ADOPT</w:t>
        </w:r>
      </w:hyperlink>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221"/>
        </w:trPr>
        <w:tc>
          <w:tcPr>
            <w:tcW w:w="400" w:type="dxa"/>
            <w:vAlign w:val="bottom"/>
          </w:tcPr>
          <w:p>
            <w:pPr>
              <w:jc w:val="right"/>
              <w:ind w:right="139"/>
              <w:spacing w:after="0"/>
              <w:rPr>
                <w:rFonts w:ascii="Arial" w:cs="Arial" w:eastAsia="Arial" w:hAnsi="Arial"/>
                <w:sz w:val="16"/>
                <w:szCs w:val="16"/>
                <w:color w:val="auto"/>
                <w:w w:val="89"/>
              </w:rPr>
            </w:pPr>
            <w:hyperlink w:anchor="page34">
              <w:r>
                <w:rPr>
                  <w:rFonts w:ascii="Arial" w:cs="Arial" w:eastAsia="Arial" w:hAnsi="Arial"/>
                  <w:sz w:val="16"/>
                  <w:szCs w:val="16"/>
                  <w:color w:val="auto"/>
                  <w:w w:val="89"/>
                </w:rPr>
                <w:t>30</w:t>
              </w:r>
            </w:hyperlink>
          </w:p>
        </w:tc>
        <w:tc>
          <w:tcPr>
            <w:tcW w:w="4840" w:type="dxa"/>
            <w:vAlign w:val="bottom"/>
            <w:tcBorders>
              <w:bottom w:val="single" w:sz="8" w:color="002E6D"/>
            </w:tcBorders>
          </w:tcPr>
          <w:p>
            <w:pPr>
              <w:ind w:left="20"/>
              <w:spacing w:after="0"/>
              <w:rPr>
                <w:rFonts w:ascii="Arial" w:cs="Arial" w:eastAsia="Arial" w:hAnsi="Arial"/>
                <w:sz w:val="16"/>
                <w:szCs w:val="16"/>
                <w:b w:val="1"/>
                <w:bCs w:val="1"/>
                <w:color w:val="002E6D"/>
              </w:rPr>
            </w:pPr>
            <w:hyperlink w:anchor="page84">
              <w:r>
                <w:rPr>
                  <w:rFonts w:ascii="Arial" w:cs="Arial" w:eastAsia="Arial" w:hAnsi="Arial"/>
                  <w:sz w:val="16"/>
                  <w:szCs w:val="16"/>
                  <w:b w:val="1"/>
                  <w:bCs w:val="1"/>
                  <w:color w:val="002E6D"/>
                </w:rPr>
                <w:t>STOCKHOLDER ACTION BY WRITTEN CONSENT</w:t>
              </w:r>
            </w:hyperlink>
          </w:p>
        </w:tc>
        <w:tc>
          <w:tcPr>
            <w:tcW w:w="720" w:type="dxa"/>
            <w:vAlign w:val="bottom"/>
            <w:tcBorders>
              <w:bottom w:val="single" w:sz="8" w:color="002E6D"/>
            </w:tcBorders>
          </w:tcPr>
          <w:p>
            <w:pPr>
              <w:jc w:val="right"/>
              <w:spacing w:after="0"/>
              <w:rPr>
                <w:rFonts w:ascii="Arial" w:cs="Arial" w:eastAsia="Arial" w:hAnsi="Arial"/>
                <w:sz w:val="16"/>
                <w:szCs w:val="16"/>
                <w:b w:val="1"/>
                <w:bCs w:val="1"/>
                <w:color w:val="002F6C"/>
              </w:rPr>
            </w:pPr>
            <w:hyperlink w:anchor="page84">
              <w:r>
                <w:rPr>
                  <w:rFonts w:ascii="Arial" w:cs="Arial" w:eastAsia="Arial" w:hAnsi="Arial"/>
                  <w:sz w:val="16"/>
                  <w:szCs w:val="16"/>
                  <w:b w:val="1"/>
                  <w:bCs w:val="1"/>
                  <w:color w:val="002F6C"/>
                </w:rPr>
                <w:t>81</w:t>
              </w:r>
            </w:hyperlink>
          </w:p>
        </w:tc>
        <w:tc>
          <w:tcPr>
            <w:tcW w:w="0" w:type="dxa"/>
            <w:vAlign w:val="bottom"/>
          </w:tcPr>
          <w:p>
            <w:pPr>
              <w:spacing w:after="0"/>
              <w:rPr>
                <w:sz w:val="1"/>
                <w:szCs w:val="1"/>
                <w:color w:val="auto"/>
              </w:rPr>
            </w:pPr>
          </w:p>
        </w:tc>
      </w:tr>
      <w:tr>
        <w:trPr>
          <w:trHeight w:val="439"/>
        </w:trPr>
        <w:tc>
          <w:tcPr>
            <w:tcW w:w="400" w:type="dxa"/>
            <w:vAlign w:val="bottom"/>
          </w:tcPr>
          <w:p>
            <w:pPr>
              <w:jc w:val="right"/>
              <w:ind w:right="139"/>
              <w:spacing w:after="0"/>
              <w:rPr>
                <w:rFonts w:ascii="Arial" w:cs="Arial" w:eastAsia="Arial" w:hAnsi="Arial"/>
                <w:sz w:val="16"/>
                <w:szCs w:val="16"/>
                <w:color w:val="auto"/>
                <w:w w:val="89"/>
              </w:rPr>
            </w:pPr>
            <w:hyperlink w:anchor="page35">
              <w:r>
                <w:rPr>
                  <w:rFonts w:ascii="Arial" w:cs="Arial" w:eastAsia="Arial" w:hAnsi="Arial"/>
                  <w:sz w:val="16"/>
                  <w:szCs w:val="16"/>
                  <w:color w:val="auto"/>
                  <w:w w:val="89"/>
                </w:rPr>
                <w:t>31</w:t>
              </w:r>
            </w:hyperlink>
          </w:p>
        </w:tc>
        <w:tc>
          <w:tcPr>
            <w:tcW w:w="4840" w:type="dxa"/>
            <w:vAlign w:val="bottom"/>
            <w:vMerge w:val="restart"/>
          </w:tcPr>
          <w:p>
            <w:pPr>
              <w:ind w:left="20"/>
              <w:spacing w:after="0"/>
              <w:rPr>
                <w:rFonts w:ascii="Arial" w:cs="Arial" w:eastAsia="Arial" w:hAnsi="Arial"/>
                <w:sz w:val="16"/>
                <w:szCs w:val="16"/>
                <w:b w:val="1"/>
                <w:bCs w:val="1"/>
                <w:color w:val="002E6D"/>
              </w:rPr>
            </w:pPr>
            <w:hyperlink w:anchor="page86">
              <w:r>
                <w:rPr>
                  <w:rFonts w:ascii="Arial" w:cs="Arial" w:eastAsia="Arial" w:hAnsi="Arial"/>
                  <w:sz w:val="16"/>
                  <w:szCs w:val="16"/>
                  <w:b w:val="1"/>
                  <w:bCs w:val="1"/>
                  <w:color w:val="002E6D"/>
                </w:rPr>
                <w:t>PROPOSAL 5: STOCKHOLDER PROPOSAL TO ISSUE A</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0" w:type="dxa"/>
            <w:vAlign w:val="bottom"/>
            <w:vMerge w:val="restart"/>
          </w:tcPr>
          <w:p>
            <w:pPr>
              <w:jc w:val="right"/>
              <w:ind w:right="139"/>
              <w:spacing w:after="0"/>
              <w:rPr>
                <w:rFonts w:ascii="Arial" w:cs="Arial" w:eastAsia="Arial" w:hAnsi="Arial"/>
                <w:sz w:val="16"/>
                <w:szCs w:val="16"/>
                <w:color w:val="auto"/>
                <w:w w:val="89"/>
              </w:rPr>
            </w:pPr>
            <w:hyperlink w:anchor="page35">
              <w:r>
                <w:rPr>
                  <w:rFonts w:ascii="Arial" w:cs="Arial" w:eastAsia="Arial" w:hAnsi="Arial"/>
                  <w:sz w:val="16"/>
                  <w:szCs w:val="16"/>
                  <w:color w:val="auto"/>
                  <w:w w:val="89"/>
                </w:rPr>
                <w:t>31</w:t>
              </w:r>
            </w:hyperlink>
          </w:p>
        </w:tc>
        <w:tc>
          <w:tcPr>
            <w:tcW w:w="4840" w:type="dxa"/>
            <w:vAlign w:val="bottom"/>
            <w:vMerge w:val="continue"/>
          </w:tcPr>
          <w:p>
            <w:pPr>
              <w:spacing w:after="0"/>
              <w:rPr>
                <w:sz w:val="11"/>
                <w:szCs w:val="11"/>
                <w:color w:val="auto"/>
              </w:rPr>
            </w:pPr>
          </w:p>
        </w:tc>
        <w:tc>
          <w:tcPr>
            <w:tcW w:w="720" w:type="dxa"/>
            <w:vAlign w:val="bottom"/>
            <w:vMerge w:val="restart"/>
          </w:tcPr>
          <w:p>
            <w:pPr>
              <w:jc w:val="right"/>
              <w:spacing w:after="0"/>
              <w:rPr>
                <w:rFonts w:ascii="Arial" w:cs="Arial" w:eastAsia="Arial" w:hAnsi="Arial"/>
                <w:sz w:val="16"/>
                <w:szCs w:val="16"/>
                <w:b w:val="1"/>
                <w:bCs w:val="1"/>
                <w:color w:val="002F6C"/>
              </w:rPr>
            </w:pPr>
            <w:hyperlink w:anchor="page86">
              <w:r>
                <w:rPr>
                  <w:rFonts w:ascii="Arial" w:cs="Arial" w:eastAsia="Arial" w:hAnsi="Arial"/>
                  <w:sz w:val="16"/>
                  <w:szCs w:val="16"/>
                  <w:b w:val="1"/>
                  <w:bCs w:val="1"/>
                  <w:color w:val="002F6C"/>
                </w:rPr>
                <w:t>83</w:t>
              </w:r>
            </w:hyperlink>
          </w:p>
        </w:tc>
        <w:tc>
          <w:tcPr>
            <w:tcW w:w="0" w:type="dxa"/>
            <w:vAlign w:val="bottom"/>
          </w:tcPr>
          <w:p>
            <w:pPr>
              <w:spacing w:after="0"/>
              <w:rPr>
                <w:sz w:val="1"/>
                <w:szCs w:val="1"/>
                <w:color w:val="auto"/>
              </w:rPr>
            </w:pPr>
          </w:p>
        </w:tc>
      </w:tr>
      <w:tr>
        <w:trPr>
          <w:trHeight w:val="161"/>
        </w:trPr>
        <w:tc>
          <w:tcPr>
            <w:tcW w:w="400" w:type="dxa"/>
            <w:vAlign w:val="bottom"/>
            <w:vMerge w:val="continue"/>
          </w:tcPr>
          <w:p>
            <w:pPr>
              <w:spacing w:after="0"/>
              <w:rPr>
                <w:sz w:val="13"/>
                <w:szCs w:val="13"/>
                <w:color w:val="auto"/>
              </w:rPr>
            </w:pPr>
          </w:p>
        </w:tc>
        <w:tc>
          <w:tcPr>
            <w:tcW w:w="4840" w:type="dxa"/>
            <w:vAlign w:val="bottom"/>
            <w:vMerge w:val="restart"/>
          </w:tcPr>
          <w:p>
            <w:pPr>
              <w:ind w:left="20"/>
              <w:spacing w:after="0"/>
              <w:rPr>
                <w:rFonts w:ascii="Arial" w:cs="Arial" w:eastAsia="Arial" w:hAnsi="Arial"/>
                <w:sz w:val="16"/>
                <w:szCs w:val="16"/>
                <w:b w:val="1"/>
                <w:bCs w:val="1"/>
                <w:color w:val="002E6D"/>
              </w:rPr>
            </w:pPr>
            <w:hyperlink w:anchor="page86">
              <w:r>
                <w:rPr>
                  <w:rFonts w:ascii="Arial" w:cs="Arial" w:eastAsia="Arial" w:hAnsi="Arial"/>
                  <w:sz w:val="16"/>
                  <w:szCs w:val="16"/>
                  <w:b w:val="1"/>
                  <w:bCs w:val="1"/>
                  <w:color w:val="002E6D"/>
                </w:rPr>
                <w:t>REPORT ON HUMAN RIGHTS DUE DILIGENCE</w:t>
              </w:r>
            </w:hyperlink>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48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0" w:type="dxa"/>
            <w:vAlign w:val="bottom"/>
            <w:vMerge w:val="restart"/>
          </w:tcPr>
          <w:p>
            <w:pPr>
              <w:jc w:val="right"/>
              <w:ind w:right="139"/>
              <w:spacing w:after="0"/>
              <w:rPr>
                <w:rFonts w:ascii="Arial" w:cs="Arial" w:eastAsia="Arial" w:hAnsi="Arial"/>
                <w:sz w:val="16"/>
                <w:szCs w:val="16"/>
                <w:color w:val="auto"/>
                <w:w w:val="89"/>
              </w:rPr>
            </w:pPr>
            <w:hyperlink w:anchor="page35">
              <w:r>
                <w:rPr>
                  <w:rFonts w:ascii="Arial" w:cs="Arial" w:eastAsia="Arial" w:hAnsi="Arial"/>
                  <w:sz w:val="16"/>
                  <w:szCs w:val="16"/>
                  <w:color w:val="auto"/>
                  <w:w w:val="89"/>
                </w:rPr>
                <w:t>31</w:t>
              </w:r>
            </w:hyperlink>
          </w:p>
        </w:tc>
        <w:tc>
          <w:tcPr>
            <w:tcW w:w="4840" w:type="dxa"/>
            <w:vAlign w:val="bottom"/>
            <w:tcBorders>
              <w:bottom w:val="single" w:sz="8" w:color="002E6D"/>
            </w:tcBorders>
          </w:tcPr>
          <w:p>
            <w:pPr>
              <w:spacing w:after="0"/>
              <w:rPr>
                <w:sz w:val="2"/>
                <w:szCs w:val="2"/>
                <w:color w:val="auto"/>
              </w:rPr>
            </w:pPr>
          </w:p>
        </w:tc>
        <w:tc>
          <w:tcPr>
            <w:tcW w:w="720" w:type="dxa"/>
            <w:vAlign w:val="bottom"/>
            <w:tcBorders>
              <w:bottom w:val="single" w:sz="8" w:color="002E6D"/>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 w:type="dxa"/>
            <w:vAlign w:val="bottom"/>
            <w:vMerge w:val="continue"/>
          </w:tcPr>
          <w:p>
            <w:pPr>
              <w:spacing w:after="0"/>
              <w:rPr>
                <w:sz w:val="22"/>
                <w:szCs w:val="22"/>
                <w:color w:val="auto"/>
              </w:rPr>
            </w:pPr>
          </w:p>
        </w:tc>
        <w:tc>
          <w:tcPr>
            <w:tcW w:w="4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400" w:type="dxa"/>
            <w:vAlign w:val="bottom"/>
          </w:tcPr>
          <w:p>
            <w:pPr>
              <w:jc w:val="right"/>
              <w:ind w:right="139"/>
              <w:spacing w:after="0"/>
              <w:rPr>
                <w:rFonts w:ascii="Arial" w:cs="Arial" w:eastAsia="Arial" w:hAnsi="Arial"/>
                <w:sz w:val="16"/>
                <w:szCs w:val="16"/>
                <w:color w:val="auto"/>
                <w:w w:val="89"/>
              </w:rPr>
            </w:pPr>
            <w:hyperlink w:anchor="page36">
              <w:r>
                <w:rPr>
                  <w:rFonts w:ascii="Arial" w:cs="Arial" w:eastAsia="Arial" w:hAnsi="Arial"/>
                  <w:sz w:val="16"/>
                  <w:szCs w:val="16"/>
                  <w:color w:val="auto"/>
                  <w:w w:val="89"/>
                </w:rPr>
                <w:t>32</w:t>
              </w:r>
            </w:hyperlink>
          </w:p>
        </w:tc>
        <w:tc>
          <w:tcPr>
            <w:tcW w:w="4840" w:type="dxa"/>
            <w:vAlign w:val="bottom"/>
          </w:tcPr>
          <w:p>
            <w:pPr>
              <w:ind w:left="20"/>
              <w:spacing w:after="0"/>
              <w:rPr>
                <w:rFonts w:ascii="Arial" w:cs="Arial" w:eastAsia="Arial" w:hAnsi="Arial"/>
                <w:sz w:val="16"/>
                <w:szCs w:val="16"/>
                <w:b w:val="1"/>
                <w:bCs w:val="1"/>
                <w:color w:val="002E6D"/>
              </w:rPr>
            </w:pPr>
            <w:r>
              <w:rPr>
                <w:rFonts w:ascii="Arial" w:cs="Arial" w:eastAsia="Arial" w:hAnsi="Arial"/>
                <w:sz w:val="16"/>
                <w:szCs w:val="16"/>
                <w:b w:val="1"/>
                <w:bCs w:val="1"/>
                <w:color w:val="002E6D"/>
              </w:rPr>
              <w:t xml:space="preserve">ANNUAL MEETING </w:t>
            </w:r>
            <w:hyperlink w:anchor="page88">
              <w:r>
                <w:rPr>
                  <w:rFonts w:ascii="Arial" w:cs="Arial" w:eastAsia="Arial" w:hAnsi="Arial"/>
                  <w:sz w:val="16"/>
                  <w:szCs w:val="16"/>
                  <w:b w:val="1"/>
                  <w:bCs w:val="1"/>
                  <w:color w:val="002E6D"/>
                </w:rPr>
                <w:t>QUESTIONS AND ANSWERS</w:t>
              </w:r>
            </w:hyperlink>
          </w:p>
        </w:tc>
        <w:tc>
          <w:tcPr>
            <w:tcW w:w="720" w:type="dxa"/>
            <w:vAlign w:val="bottom"/>
            <w:vMerge w:val="restart"/>
          </w:tcPr>
          <w:p>
            <w:pPr>
              <w:jc w:val="right"/>
              <w:spacing w:after="0"/>
              <w:rPr>
                <w:rFonts w:ascii="Arial" w:cs="Arial" w:eastAsia="Arial" w:hAnsi="Arial"/>
                <w:sz w:val="16"/>
                <w:szCs w:val="16"/>
                <w:b w:val="1"/>
                <w:bCs w:val="1"/>
                <w:color w:val="002F6C"/>
              </w:rPr>
            </w:pPr>
            <w:hyperlink w:anchor="page88">
              <w:r>
                <w:rPr>
                  <w:rFonts w:ascii="Arial" w:cs="Arial" w:eastAsia="Arial" w:hAnsi="Arial"/>
                  <w:sz w:val="16"/>
                  <w:szCs w:val="16"/>
                  <w:b w:val="1"/>
                  <w:bCs w:val="1"/>
                  <w:color w:val="002F6C"/>
                </w:rPr>
                <w:t>85</w:t>
              </w:r>
            </w:hyperlink>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48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0" w:type="dxa"/>
            <w:vAlign w:val="bottom"/>
            <w:vMerge w:val="restart"/>
          </w:tcPr>
          <w:p>
            <w:pPr>
              <w:jc w:val="right"/>
              <w:ind w:right="139"/>
              <w:spacing w:after="0"/>
              <w:rPr>
                <w:rFonts w:ascii="Arial" w:cs="Arial" w:eastAsia="Arial" w:hAnsi="Arial"/>
                <w:sz w:val="16"/>
                <w:szCs w:val="16"/>
                <w:color w:val="auto"/>
                <w:w w:val="89"/>
              </w:rPr>
            </w:pPr>
            <w:hyperlink w:anchor="page36">
              <w:r>
                <w:rPr>
                  <w:rFonts w:ascii="Arial" w:cs="Arial" w:eastAsia="Arial" w:hAnsi="Arial"/>
                  <w:sz w:val="16"/>
                  <w:szCs w:val="16"/>
                  <w:color w:val="auto"/>
                  <w:w w:val="89"/>
                </w:rPr>
                <w:t>32</w:t>
              </w:r>
            </w:hyperlink>
          </w:p>
        </w:tc>
        <w:tc>
          <w:tcPr>
            <w:tcW w:w="4840" w:type="dxa"/>
            <w:vAlign w:val="bottom"/>
            <w:tcBorders>
              <w:bottom w:val="single" w:sz="8" w:color="002E6D"/>
            </w:tcBorders>
          </w:tcPr>
          <w:p>
            <w:pPr>
              <w:spacing w:after="0"/>
              <w:rPr>
                <w:sz w:val="2"/>
                <w:szCs w:val="2"/>
                <w:color w:val="auto"/>
              </w:rPr>
            </w:pPr>
          </w:p>
        </w:tc>
        <w:tc>
          <w:tcPr>
            <w:tcW w:w="720" w:type="dxa"/>
            <w:vAlign w:val="bottom"/>
            <w:tcBorders>
              <w:bottom w:val="single" w:sz="8" w:color="002E6D"/>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vMerge w:val="continue"/>
          </w:tcPr>
          <w:p>
            <w:pPr>
              <w:spacing w:after="0"/>
              <w:rPr>
                <w:sz w:val="21"/>
                <w:szCs w:val="21"/>
                <w:color w:val="auto"/>
              </w:rPr>
            </w:pPr>
          </w:p>
        </w:tc>
        <w:tc>
          <w:tcPr>
            <w:tcW w:w="4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00" w:type="dxa"/>
            <w:vAlign w:val="bottom"/>
          </w:tcPr>
          <w:p>
            <w:pPr>
              <w:jc w:val="right"/>
              <w:ind w:right="139"/>
              <w:spacing w:after="0"/>
              <w:rPr>
                <w:rFonts w:ascii="Arial" w:cs="Arial" w:eastAsia="Arial" w:hAnsi="Arial"/>
                <w:sz w:val="16"/>
                <w:szCs w:val="16"/>
                <w:color w:val="auto"/>
                <w:w w:val="89"/>
              </w:rPr>
            </w:pPr>
            <w:hyperlink w:anchor="page36">
              <w:r>
                <w:rPr>
                  <w:rFonts w:ascii="Arial" w:cs="Arial" w:eastAsia="Arial" w:hAnsi="Arial"/>
                  <w:sz w:val="16"/>
                  <w:szCs w:val="16"/>
                  <w:color w:val="auto"/>
                  <w:w w:val="89"/>
                </w:rPr>
                <w:t>32</w:t>
              </w:r>
            </w:hyperlink>
          </w:p>
        </w:tc>
        <w:tc>
          <w:tcPr>
            <w:tcW w:w="4840" w:type="dxa"/>
            <w:vAlign w:val="bottom"/>
            <w:tcBorders>
              <w:bottom w:val="single" w:sz="8" w:color="002E6D"/>
            </w:tcBorders>
          </w:tcPr>
          <w:p>
            <w:pPr>
              <w:ind w:left="20"/>
              <w:spacing w:after="0"/>
              <w:rPr>
                <w:rFonts w:ascii="Arial" w:cs="Arial" w:eastAsia="Arial" w:hAnsi="Arial"/>
                <w:sz w:val="16"/>
                <w:szCs w:val="16"/>
                <w:b w:val="1"/>
                <w:bCs w:val="1"/>
                <w:color w:val="002E6D"/>
              </w:rPr>
            </w:pPr>
            <w:hyperlink w:anchor="page95">
              <w:r>
                <w:rPr>
                  <w:rFonts w:ascii="Arial" w:cs="Arial" w:eastAsia="Arial" w:hAnsi="Arial"/>
                  <w:sz w:val="16"/>
                  <w:szCs w:val="16"/>
                  <w:b w:val="1"/>
                  <w:bCs w:val="1"/>
                  <w:color w:val="002E6D"/>
                </w:rPr>
                <w:t>ADDITIONAL INFORMATION AND OTHER MATTERS</w:t>
              </w:r>
            </w:hyperlink>
          </w:p>
        </w:tc>
        <w:tc>
          <w:tcPr>
            <w:tcW w:w="720" w:type="dxa"/>
            <w:vAlign w:val="bottom"/>
            <w:tcBorders>
              <w:bottom w:val="single" w:sz="8" w:color="002E6D"/>
            </w:tcBorders>
          </w:tcPr>
          <w:p>
            <w:pPr>
              <w:jc w:val="right"/>
              <w:spacing w:after="0"/>
              <w:rPr>
                <w:rFonts w:ascii="Arial" w:cs="Arial" w:eastAsia="Arial" w:hAnsi="Arial"/>
                <w:sz w:val="16"/>
                <w:szCs w:val="16"/>
                <w:b w:val="1"/>
                <w:bCs w:val="1"/>
                <w:color w:val="002F6C"/>
              </w:rPr>
            </w:pPr>
            <w:hyperlink w:anchor="page95">
              <w:r>
                <w:rPr>
                  <w:rFonts w:ascii="Arial" w:cs="Arial" w:eastAsia="Arial" w:hAnsi="Arial"/>
                  <w:sz w:val="16"/>
                  <w:szCs w:val="16"/>
                  <w:b w:val="1"/>
                  <w:bCs w:val="1"/>
                  <w:color w:val="002F6C"/>
                </w:rPr>
                <w:t>92</w:t>
              </w:r>
            </w:hyperlink>
          </w:p>
        </w:tc>
        <w:tc>
          <w:tcPr>
            <w:tcW w:w="0" w:type="dxa"/>
            <w:vAlign w:val="bottom"/>
          </w:tcPr>
          <w:p>
            <w:pPr>
              <w:spacing w:after="0"/>
              <w:rPr>
                <w:sz w:val="1"/>
                <w:szCs w:val="1"/>
                <w:color w:val="auto"/>
              </w:rPr>
            </w:pPr>
          </w:p>
        </w:tc>
      </w:tr>
      <w:tr>
        <w:trPr>
          <w:trHeight w:val="371"/>
        </w:trPr>
        <w:tc>
          <w:tcPr>
            <w:tcW w:w="400" w:type="dxa"/>
            <w:vAlign w:val="bottom"/>
          </w:tcPr>
          <w:p>
            <w:pPr>
              <w:jc w:val="right"/>
              <w:ind w:right="139"/>
              <w:spacing w:after="0"/>
              <w:rPr>
                <w:rFonts w:ascii="Arial" w:cs="Arial" w:eastAsia="Arial" w:hAnsi="Arial"/>
                <w:sz w:val="16"/>
                <w:szCs w:val="16"/>
                <w:color w:val="auto"/>
                <w:w w:val="89"/>
              </w:rPr>
            </w:pPr>
            <w:hyperlink w:anchor="page36">
              <w:r>
                <w:rPr>
                  <w:rFonts w:ascii="Arial" w:cs="Arial" w:eastAsia="Arial" w:hAnsi="Arial"/>
                  <w:sz w:val="16"/>
                  <w:szCs w:val="16"/>
                  <w:color w:val="auto"/>
                  <w:w w:val="89"/>
                </w:rPr>
                <w:t>32</w:t>
              </w:r>
            </w:hyperlink>
          </w:p>
        </w:tc>
        <w:tc>
          <w:tcPr>
            <w:tcW w:w="4840" w:type="dxa"/>
            <w:vAlign w:val="bottom"/>
          </w:tcPr>
          <w:p>
            <w:pPr>
              <w:ind w:left="20"/>
              <w:spacing w:after="0"/>
              <w:rPr>
                <w:rFonts w:ascii="Arial" w:cs="Arial" w:eastAsia="Arial" w:hAnsi="Arial"/>
                <w:sz w:val="16"/>
                <w:szCs w:val="16"/>
                <w:color w:val="auto"/>
              </w:rPr>
            </w:pPr>
            <w:hyperlink w:anchor="page96">
              <w:r>
                <w:rPr>
                  <w:rFonts w:ascii="Arial" w:cs="Arial" w:eastAsia="Arial" w:hAnsi="Arial"/>
                  <w:sz w:val="16"/>
                  <w:szCs w:val="16"/>
                  <w:color w:val="auto"/>
                </w:rPr>
                <w:t>Appendix A: Definition of Non-GAAP (Generally Accepted</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840" w:type="dxa"/>
            <w:vAlign w:val="bottom"/>
          </w:tcPr>
          <w:p>
            <w:pPr>
              <w:ind w:left="20"/>
              <w:spacing w:after="0"/>
              <w:rPr>
                <w:rFonts w:ascii="Arial" w:cs="Arial" w:eastAsia="Arial" w:hAnsi="Arial"/>
                <w:sz w:val="16"/>
                <w:szCs w:val="16"/>
                <w:color w:val="auto"/>
              </w:rPr>
            </w:pPr>
            <w:hyperlink w:anchor="page96">
              <w:r>
                <w:rPr>
                  <w:rFonts w:ascii="Arial" w:cs="Arial" w:eastAsia="Arial" w:hAnsi="Arial"/>
                  <w:sz w:val="16"/>
                  <w:szCs w:val="16"/>
                  <w:color w:val="auto"/>
                </w:rPr>
                <w:t>Accounting Principles) Measures</w:t>
              </w:r>
            </w:hyperlink>
          </w:p>
        </w:tc>
        <w:tc>
          <w:tcPr>
            <w:tcW w:w="720" w:type="dxa"/>
            <w:vAlign w:val="bottom"/>
          </w:tcPr>
          <w:p>
            <w:pPr>
              <w:jc w:val="right"/>
              <w:spacing w:after="0"/>
              <w:rPr>
                <w:rFonts w:ascii="Arial" w:cs="Arial" w:eastAsia="Arial" w:hAnsi="Arial"/>
                <w:sz w:val="16"/>
                <w:szCs w:val="16"/>
                <w:color w:val="auto"/>
              </w:rPr>
            </w:pPr>
            <w:hyperlink w:anchor="page96">
              <w:r>
                <w:rPr>
                  <w:rFonts w:ascii="Arial" w:cs="Arial" w:eastAsia="Arial" w:hAnsi="Arial"/>
                  <w:sz w:val="16"/>
                  <w:szCs w:val="16"/>
                  <w:color w:val="auto"/>
                </w:rPr>
                <w:t>92</w:t>
              </w:r>
            </w:hyperlink>
          </w:p>
        </w:tc>
        <w:tc>
          <w:tcPr>
            <w:tcW w:w="0" w:type="dxa"/>
            <w:vAlign w:val="bottom"/>
          </w:tcPr>
          <w:p>
            <w:pPr>
              <w:spacing w:after="0"/>
              <w:rPr>
                <w:sz w:val="1"/>
                <w:szCs w:val="1"/>
                <w:color w:val="auto"/>
              </w:rPr>
            </w:pPr>
          </w:p>
        </w:tc>
      </w:tr>
      <w:tr>
        <w:trPr>
          <w:trHeight w:val="391"/>
        </w:trPr>
        <w:tc>
          <w:tcPr>
            <w:tcW w:w="400" w:type="dxa"/>
            <w:vAlign w:val="bottom"/>
          </w:tcPr>
          <w:p>
            <w:pPr>
              <w:jc w:val="right"/>
              <w:ind w:right="139"/>
              <w:spacing w:after="0"/>
              <w:rPr>
                <w:rFonts w:ascii="Arial" w:cs="Arial" w:eastAsia="Arial" w:hAnsi="Arial"/>
                <w:sz w:val="16"/>
                <w:szCs w:val="16"/>
                <w:b w:val="1"/>
                <w:bCs w:val="1"/>
                <w:color w:val="012E6C"/>
                <w:w w:val="89"/>
              </w:rPr>
            </w:pPr>
            <w:hyperlink w:anchor="page36">
              <w:r>
                <w:rPr>
                  <w:rFonts w:ascii="Arial" w:cs="Arial" w:eastAsia="Arial" w:hAnsi="Arial"/>
                  <w:sz w:val="16"/>
                  <w:szCs w:val="16"/>
                  <w:b w:val="1"/>
                  <w:bCs w:val="1"/>
                  <w:color w:val="012E6C"/>
                  <w:w w:val="89"/>
                </w:rPr>
                <w:t>33</w:t>
              </w:r>
            </w:hyperlink>
          </w:p>
        </w:tc>
        <w:tc>
          <w:tcPr>
            <w:tcW w:w="4840" w:type="dxa"/>
            <w:vAlign w:val="bottom"/>
          </w:tcPr>
          <w:p>
            <w:pPr>
              <w:ind w:left="20"/>
              <w:spacing w:after="0"/>
              <w:rPr>
                <w:rFonts w:ascii="Arial" w:cs="Arial" w:eastAsia="Arial" w:hAnsi="Arial"/>
                <w:sz w:val="16"/>
                <w:szCs w:val="16"/>
                <w:color w:val="auto"/>
              </w:rPr>
            </w:pPr>
            <w:hyperlink w:anchor="page97">
              <w:r>
                <w:rPr>
                  <w:rFonts w:ascii="Arial" w:cs="Arial" w:eastAsia="Arial" w:hAnsi="Arial"/>
                  <w:sz w:val="16"/>
                  <w:szCs w:val="16"/>
                  <w:color w:val="auto"/>
                </w:rPr>
                <w:t>Disclosure Regarding Forward-Looking Statements</w:t>
              </w:r>
            </w:hyperlink>
          </w:p>
        </w:tc>
        <w:tc>
          <w:tcPr>
            <w:tcW w:w="720" w:type="dxa"/>
            <w:vAlign w:val="bottom"/>
          </w:tcPr>
          <w:p>
            <w:pPr>
              <w:jc w:val="right"/>
              <w:spacing w:after="0"/>
              <w:rPr>
                <w:rFonts w:ascii="Arial" w:cs="Arial" w:eastAsia="Arial" w:hAnsi="Arial"/>
                <w:sz w:val="16"/>
                <w:szCs w:val="16"/>
                <w:color w:val="auto"/>
              </w:rPr>
            </w:pPr>
            <w:hyperlink w:anchor="page97">
              <w:r>
                <w:rPr>
                  <w:rFonts w:ascii="Arial" w:cs="Arial" w:eastAsia="Arial" w:hAnsi="Arial"/>
                  <w:sz w:val="16"/>
                  <w:szCs w:val="16"/>
                  <w:color w:val="auto"/>
                </w:rPr>
                <w:t>94</w:t>
              </w:r>
            </w:hyperlink>
          </w:p>
        </w:tc>
        <w:tc>
          <w:tcPr>
            <w:tcW w:w="0" w:type="dxa"/>
            <w:vAlign w:val="bottom"/>
          </w:tcPr>
          <w:p>
            <w:pPr>
              <w:spacing w:after="0"/>
              <w:rPr>
                <w:sz w:val="1"/>
                <w:szCs w:val="1"/>
                <w:color w:val="auto"/>
              </w:rPr>
            </w:pPr>
          </w:p>
        </w:tc>
      </w:tr>
      <w:tr>
        <w:trPr>
          <w:trHeight w:val="229"/>
        </w:trPr>
        <w:tc>
          <w:tcPr>
            <w:tcW w:w="400" w:type="dxa"/>
            <w:vAlign w:val="bottom"/>
          </w:tcPr>
          <w:p>
            <w:pPr>
              <w:jc w:val="right"/>
              <w:ind w:right="139"/>
              <w:spacing w:after="0"/>
              <w:rPr>
                <w:rFonts w:ascii="Arial" w:cs="Arial" w:eastAsia="Arial" w:hAnsi="Arial"/>
                <w:sz w:val="16"/>
                <w:szCs w:val="16"/>
                <w:color w:val="auto"/>
                <w:w w:val="89"/>
              </w:rPr>
            </w:pPr>
            <w:hyperlink w:anchor="page37">
              <w:r>
                <w:rPr>
                  <w:rFonts w:ascii="Arial" w:cs="Arial" w:eastAsia="Arial" w:hAnsi="Arial"/>
                  <w:sz w:val="16"/>
                  <w:szCs w:val="16"/>
                  <w:color w:val="auto"/>
                  <w:w w:val="89"/>
                </w:rPr>
                <w:t>33</w:t>
              </w:r>
            </w:hyperlink>
          </w:p>
        </w:tc>
        <w:tc>
          <w:tcPr>
            <w:tcW w:w="4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139"/>
              <w:spacing w:after="0"/>
              <w:rPr>
                <w:rFonts w:ascii="Arial" w:cs="Arial" w:eastAsia="Arial" w:hAnsi="Arial"/>
                <w:sz w:val="16"/>
                <w:szCs w:val="16"/>
                <w:color w:val="auto"/>
                <w:w w:val="89"/>
              </w:rPr>
            </w:pPr>
            <w:hyperlink w:anchor="page37">
              <w:r>
                <w:rPr>
                  <w:rFonts w:ascii="Arial" w:cs="Arial" w:eastAsia="Arial" w:hAnsi="Arial"/>
                  <w:sz w:val="16"/>
                  <w:szCs w:val="16"/>
                  <w:color w:val="auto"/>
                  <w:w w:val="89"/>
                </w:rPr>
                <w:t>34</w:t>
              </w:r>
            </w:hyperlink>
          </w:p>
        </w:tc>
        <w:tc>
          <w:tcPr>
            <w:tcW w:w="4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4557" w:space="720"/>
            <w:col w:w="5963"/>
          </w:cols>
          <w:pgMar w:left="320" w:top="1340" w:right="339" w:bottom="0" w:gutter="0" w:footer="0" w:header="0"/>
        </w:sectPr>
      </w:pPr>
    </w:p>
    <w:bookmarkStart w:id="6" w:name="page7"/>
    <w:bookmarkEnd w:id="6"/>
    <w:p>
      <w:pPr>
        <w:spacing w:after="0"/>
        <w:tabs>
          <w:tab w:leader="none" w:pos="8580" w:val="left"/>
          <w:tab w:leader="none" w:pos="1110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3</w:t>
      </w:r>
    </w:p>
    <w:p>
      <w:pPr>
        <w:sectPr>
          <w:pgSz w:w="11900" w:h="16838" w:orient="portrait"/>
          <w:cols w:equalWidth="0" w:num="1">
            <w:col w:w="11200"/>
          </w:cols>
          <w:pgMar w:left="340" w:top="693" w:right="359" w:bottom="1440" w:gutter="0" w:footer="0" w:header="0"/>
        </w:sectPr>
      </w:pPr>
    </w:p>
    <w:bookmarkStart w:id="7" w:name="page8"/>
    <w:bookmarkEnd w:id="7"/>
    <w:p>
      <w:pPr>
        <w:spacing w:after="0"/>
        <w:rPr>
          <w:sz w:val="20"/>
          <w:szCs w:val="20"/>
          <w:color w:val="auto"/>
        </w:rPr>
      </w:pPr>
      <w:r>
        <w:rPr>
          <w:rFonts w:ascii="Arial" w:cs="Arial" w:eastAsia="Arial" w:hAnsi="Arial"/>
          <w:sz w:val="43"/>
          <w:szCs w:val="43"/>
          <w:color w:val="002E6D"/>
        </w:rPr>
        <w:t>About Lockheed Martin</w:t>
      </w:r>
    </w:p>
    <w:p>
      <w:pPr>
        <w:spacing w:after="0" w:line="81" w:lineRule="exact"/>
        <w:rPr>
          <w:sz w:val="20"/>
          <w:szCs w:val="20"/>
          <w:color w:val="auto"/>
        </w:rPr>
      </w:pPr>
    </w:p>
    <w:p>
      <w:pPr>
        <w:jc w:val="both"/>
        <w:ind w:right="300"/>
        <w:spacing w:after="0" w:line="270" w:lineRule="auto"/>
        <w:rPr>
          <w:sz w:val="20"/>
          <w:szCs w:val="20"/>
          <w:color w:val="auto"/>
        </w:rPr>
      </w:pPr>
      <w:r>
        <w:rPr>
          <w:rFonts w:ascii="Arial" w:cs="Arial" w:eastAsia="Arial" w:hAnsi="Arial"/>
          <w:sz w:val="17"/>
          <w:szCs w:val="17"/>
          <w:color w:val="auto"/>
        </w:rPr>
        <w:t>Lockheed Martin is a global security and aerospace company that employs 114,000 people worldwide and is principally engaged in the research, design, development, manufacture, integration and sustainment of advanced technology systems, products and services. Our mission is to solve complex challenges, advance scientific discovery and deliver innovative solutions to help our customers keep people safe.</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color w:val="002E6D"/>
        </w:rPr>
        <w:t>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We have four business segments, each of which is dedicated to specific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505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2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20"/>
                <w:szCs w:val="20"/>
                <w:color w:val="002E6D"/>
              </w:rPr>
              <w:t>Aeronautics, 40%</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10020" w:type="dxa"/>
            <w:vAlign w:val="bottom"/>
          </w:tcPr>
          <w:p>
            <w:pPr>
              <w:ind w:left="220"/>
              <w:spacing w:after="0"/>
              <w:rPr>
                <w:sz w:val="20"/>
                <w:szCs w:val="20"/>
                <w:color w:val="auto"/>
              </w:rPr>
            </w:pPr>
            <w:r>
              <w:rPr>
                <w:rFonts w:ascii="Arial" w:cs="Arial" w:eastAsia="Arial" w:hAnsi="Arial"/>
                <w:sz w:val="17"/>
                <w:szCs w:val="17"/>
                <w:color w:val="auto"/>
              </w:rPr>
              <w:t>Engaged in the research, design, development, manufacture, integration, sustainment, support and upgrade of advanced military</w:t>
            </w:r>
          </w:p>
        </w:tc>
        <w:tc>
          <w:tcPr>
            <w:tcW w:w="0" w:type="dxa"/>
            <w:vAlign w:val="bottom"/>
          </w:tcPr>
          <w:p>
            <w:pPr>
              <w:spacing w:after="0"/>
              <w:rPr>
                <w:sz w:val="1"/>
                <w:szCs w:val="1"/>
                <w:color w:val="auto"/>
              </w:rPr>
            </w:pPr>
          </w:p>
        </w:tc>
      </w:tr>
      <w:tr>
        <w:trPr>
          <w:trHeight w:val="216"/>
        </w:trPr>
        <w:tc>
          <w:tcPr>
            <w:tcW w:w="1220" w:type="dxa"/>
            <w:vAlign w:val="bottom"/>
            <w:vMerge w:val="restart"/>
          </w:tcPr>
          <w:p>
            <w:pPr>
              <w:ind w:left="420"/>
              <w:spacing w:after="0"/>
              <w:rPr>
                <w:sz w:val="20"/>
                <w:szCs w:val="20"/>
                <w:color w:val="auto"/>
              </w:rPr>
            </w:pPr>
            <w:r>
              <w:rPr>
                <w:rFonts w:ascii="Arial" w:cs="Arial" w:eastAsia="Arial" w:hAnsi="Arial"/>
                <w:sz w:val="18"/>
                <w:szCs w:val="18"/>
                <w:color w:val="002F6C"/>
              </w:rPr>
              <w:t>$26.3B</w:t>
            </w:r>
          </w:p>
        </w:tc>
        <w:tc>
          <w:tcPr>
            <w:tcW w:w="10020" w:type="dxa"/>
            <w:vAlign w:val="bottom"/>
          </w:tcPr>
          <w:p>
            <w:pPr>
              <w:ind w:left="220"/>
              <w:spacing w:after="0"/>
              <w:rPr>
                <w:sz w:val="20"/>
                <w:szCs w:val="20"/>
                <w:color w:val="auto"/>
              </w:rPr>
            </w:pPr>
            <w:r>
              <w:rPr>
                <w:rFonts w:ascii="Arial" w:cs="Arial" w:eastAsia="Arial" w:hAnsi="Arial"/>
                <w:sz w:val="17"/>
                <w:szCs w:val="17"/>
                <w:color w:val="auto"/>
              </w:rPr>
              <w:t>aircraft, including combat and air mobility aircraft, unmanned air vehicles and related technologies</w:t>
            </w:r>
          </w:p>
        </w:tc>
        <w:tc>
          <w:tcPr>
            <w:tcW w:w="0" w:type="dxa"/>
            <w:vAlign w:val="bottom"/>
          </w:tcPr>
          <w:p>
            <w:pPr>
              <w:spacing w:after="0"/>
              <w:rPr>
                <w:sz w:val="1"/>
                <w:szCs w:val="1"/>
                <w:color w:val="auto"/>
              </w:rPr>
            </w:pPr>
          </w:p>
        </w:tc>
      </w:tr>
      <w:tr>
        <w:trPr>
          <w:trHeight w:val="126"/>
        </w:trPr>
        <w:tc>
          <w:tcPr>
            <w:tcW w:w="122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220" w:type="dxa"/>
            <w:vAlign w:val="bottom"/>
            <w:tcBorders>
              <w:bottom w:val="single" w:sz="8" w:color="808080"/>
            </w:tcBorders>
          </w:tcPr>
          <w:p>
            <w:pPr>
              <w:spacing w:after="0"/>
              <w:rPr>
                <w:sz w:val="2"/>
                <w:szCs w:val="2"/>
                <w:color w:val="auto"/>
              </w:rPr>
            </w:pPr>
          </w:p>
        </w:tc>
        <w:tc>
          <w:tcPr>
            <w:tcW w:w="100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220" w:type="dxa"/>
            <w:vAlign w:val="bottom"/>
          </w:tcPr>
          <w:p>
            <w:pPr>
              <w:spacing w:after="0"/>
              <w:rPr>
                <w:sz w:val="24"/>
                <w:szCs w:val="24"/>
                <w:color w:val="auto"/>
              </w:rPr>
            </w:pPr>
          </w:p>
        </w:tc>
        <w:tc>
          <w:tcPr>
            <w:tcW w:w="10020" w:type="dxa"/>
            <w:vAlign w:val="bottom"/>
          </w:tcPr>
          <w:p>
            <w:pPr>
              <w:ind w:left="220"/>
              <w:spacing w:after="0"/>
              <w:rPr>
                <w:sz w:val="20"/>
                <w:szCs w:val="20"/>
                <w:color w:val="auto"/>
              </w:rPr>
            </w:pPr>
            <w:r>
              <w:rPr>
                <w:rFonts w:ascii="Arial" w:cs="Arial" w:eastAsia="Arial" w:hAnsi="Arial"/>
                <w:sz w:val="20"/>
                <w:szCs w:val="20"/>
                <w:color w:val="002E6D"/>
              </w:rPr>
              <w:t>Missiles and Fire Control, 17%</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10020" w:type="dxa"/>
            <w:vAlign w:val="bottom"/>
          </w:tcPr>
          <w:p>
            <w:pPr>
              <w:ind w:left="220"/>
              <w:spacing w:after="0"/>
              <w:rPr>
                <w:sz w:val="20"/>
                <w:szCs w:val="20"/>
                <w:color w:val="auto"/>
              </w:rPr>
            </w:pPr>
            <w:r>
              <w:rPr>
                <w:rFonts w:ascii="Arial" w:cs="Arial" w:eastAsia="Arial" w:hAnsi="Arial"/>
                <w:sz w:val="17"/>
                <w:szCs w:val="17"/>
                <w:color w:val="auto"/>
              </w:rPr>
              <w:t>Provides air and missile defense systems; tactical missiles and air-to-ground precision strike weapon systems; logistics; fire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7"/>
                <w:szCs w:val="17"/>
                <w:color w:val="auto"/>
              </w:rPr>
              <w:t>control systems; mission operations support, readiness, engineering support and integration services; manned and unmanned</w:t>
            </w:r>
          </w:p>
        </w:tc>
        <w:tc>
          <w:tcPr>
            <w:tcW w:w="0" w:type="dxa"/>
            <w:vAlign w:val="bottom"/>
          </w:tcPr>
          <w:p>
            <w:pPr>
              <w:spacing w:after="0"/>
              <w:rPr>
                <w:sz w:val="1"/>
                <w:szCs w:val="1"/>
                <w:color w:val="auto"/>
              </w:rPr>
            </w:pPr>
          </w:p>
        </w:tc>
      </w:tr>
      <w:tr>
        <w:trPr>
          <w:trHeight w:val="261"/>
        </w:trPr>
        <w:tc>
          <w:tcPr>
            <w:tcW w:w="1220" w:type="dxa"/>
            <w:vAlign w:val="bottom"/>
          </w:tcPr>
          <w:p>
            <w:pPr>
              <w:ind w:left="420"/>
              <w:spacing w:after="0"/>
              <w:rPr>
                <w:sz w:val="20"/>
                <w:szCs w:val="20"/>
                <w:color w:val="auto"/>
              </w:rPr>
            </w:pPr>
            <w:r>
              <w:rPr>
                <w:rFonts w:ascii="Arial" w:cs="Arial" w:eastAsia="Arial" w:hAnsi="Arial"/>
                <w:sz w:val="18"/>
                <w:szCs w:val="18"/>
                <w:color w:val="002F6C"/>
              </w:rPr>
              <w:t>$11.3B</w:t>
            </w:r>
          </w:p>
        </w:tc>
        <w:tc>
          <w:tcPr>
            <w:tcW w:w="10020" w:type="dxa"/>
            <w:vAlign w:val="bottom"/>
          </w:tcPr>
          <w:p>
            <w:pPr>
              <w:ind w:left="220"/>
              <w:spacing w:after="0"/>
              <w:rPr>
                <w:sz w:val="20"/>
                <w:szCs w:val="20"/>
                <w:color w:val="auto"/>
              </w:rPr>
            </w:pPr>
            <w:r>
              <w:rPr>
                <w:rFonts w:ascii="Arial" w:cs="Arial" w:eastAsia="Arial" w:hAnsi="Arial"/>
                <w:sz w:val="17"/>
                <w:szCs w:val="17"/>
                <w:color w:val="auto"/>
              </w:rPr>
              <w:t>ground vehicles; and energy management solutions</w:t>
            </w:r>
          </w:p>
        </w:tc>
        <w:tc>
          <w:tcPr>
            <w:tcW w:w="0" w:type="dxa"/>
            <w:vAlign w:val="bottom"/>
          </w:tcPr>
          <w:p>
            <w:pPr>
              <w:spacing w:after="0"/>
              <w:rPr>
                <w:sz w:val="1"/>
                <w:szCs w:val="1"/>
                <w:color w:val="auto"/>
              </w:rPr>
            </w:pPr>
          </w:p>
        </w:tc>
      </w:tr>
      <w:tr>
        <w:trPr>
          <w:trHeight w:val="94"/>
        </w:trPr>
        <w:tc>
          <w:tcPr>
            <w:tcW w:w="1220" w:type="dxa"/>
            <w:vAlign w:val="bottom"/>
            <w:tcBorders>
              <w:bottom w:val="single" w:sz="8" w:color="808080"/>
            </w:tcBorders>
          </w:tcPr>
          <w:p>
            <w:pPr>
              <w:spacing w:after="0"/>
              <w:rPr>
                <w:sz w:val="8"/>
                <w:szCs w:val="8"/>
                <w:color w:val="auto"/>
              </w:rPr>
            </w:pPr>
          </w:p>
        </w:tc>
        <w:tc>
          <w:tcPr>
            <w:tcW w:w="10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416"/>
        </w:trPr>
        <w:tc>
          <w:tcPr>
            <w:tcW w:w="1220" w:type="dxa"/>
            <w:vAlign w:val="bottom"/>
          </w:tcPr>
          <w:p>
            <w:pPr>
              <w:spacing w:after="0"/>
              <w:rPr>
                <w:sz w:val="24"/>
                <w:szCs w:val="24"/>
                <w:color w:val="auto"/>
              </w:rPr>
            </w:pPr>
          </w:p>
        </w:tc>
        <w:tc>
          <w:tcPr>
            <w:tcW w:w="10020" w:type="dxa"/>
            <w:vAlign w:val="bottom"/>
          </w:tcPr>
          <w:p>
            <w:pPr>
              <w:ind w:left="220"/>
              <w:spacing w:after="0"/>
              <w:rPr>
                <w:sz w:val="20"/>
                <w:szCs w:val="20"/>
                <w:color w:val="auto"/>
              </w:rPr>
            </w:pPr>
            <w:r>
              <w:rPr>
                <w:rFonts w:ascii="Arial" w:cs="Arial" w:eastAsia="Arial" w:hAnsi="Arial"/>
                <w:sz w:val="20"/>
                <w:szCs w:val="20"/>
                <w:color w:val="002E6D"/>
              </w:rPr>
              <w:t>Rotary and Mission Systems, 25%</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10020" w:type="dxa"/>
            <w:vAlign w:val="bottom"/>
          </w:tcPr>
          <w:p>
            <w:pPr>
              <w:ind w:left="220"/>
              <w:spacing w:after="0"/>
              <w:rPr>
                <w:sz w:val="20"/>
                <w:szCs w:val="20"/>
                <w:color w:val="auto"/>
              </w:rPr>
            </w:pPr>
            <w:r>
              <w:rPr>
                <w:rFonts w:ascii="Arial" w:cs="Arial" w:eastAsia="Arial" w:hAnsi="Arial"/>
                <w:sz w:val="17"/>
                <w:szCs w:val="17"/>
                <w:color w:val="auto"/>
              </w:rPr>
              <w:t>Designs, manufactures, services and supports various military and commercial helicopters, surface ships, sea and land-based</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7"/>
                <w:szCs w:val="17"/>
                <w:color w:val="auto"/>
              </w:rPr>
              <w:t>missile defense systems, radar systems, sea and air-based mission and combat systems, command and control mission</w:t>
            </w:r>
          </w:p>
        </w:tc>
        <w:tc>
          <w:tcPr>
            <w:tcW w:w="0" w:type="dxa"/>
            <w:vAlign w:val="bottom"/>
          </w:tcPr>
          <w:p>
            <w:pPr>
              <w:spacing w:after="0"/>
              <w:rPr>
                <w:sz w:val="1"/>
                <w:szCs w:val="1"/>
                <w:color w:val="auto"/>
              </w:rPr>
            </w:pPr>
          </w:p>
        </w:tc>
      </w:tr>
      <w:tr>
        <w:trPr>
          <w:trHeight w:val="260"/>
        </w:trPr>
        <w:tc>
          <w:tcPr>
            <w:tcW w:w="1220" w:type="dxa"/>
            <w:vAlign w:val="bottom"/>
          </w:tcPr>
          <w:p>
            <w:pPr>
              <w:ind w:left="420"/>
              <w:spacing w:after="0"/>
              <w:rPr>
                <w:sz w:val="20"/>
                <w:szCs w:val="20"/>
                <w:color w:val="auto"/>
              </w:rPr>
            </w:pPr>
            <w:r>
              <w:rPr>
                <w:rFonts w:ascii="Arial" w:cs="Arial" w:eastAsia="Arial" w:hAnsi="Arial"/>
                <w:sz w:val="18"/>
                <w:szCs w:val="18"/>
                <w:color w:val="002F6C"/>
              </w:rPr>
              <w:t>$16.0B</w:t>
            </w:r>
          </w:p>
        </w:tc>
        <w:tc>
          <w:tcPr>
            <w:tcW w:w="10020" w:type="dxa"/>
            <w:vAlign w:val="bottom"/>
          </w:tcPr>
          <w:p>
            <w:pPr>
              <w:ind w:left="220"/>
              <w:spacing w:after="0"/>
              <w:rPr>
                <w:sz w:val="20"/>
                <w:szCs w:val="20"/>
                <w:color w:val="auto"/>
              </w:rPr>
            </w:pPr>
            <w:r>
              <w:rPr>
                <w:rFonts w:ascii="Arial" w:cs="Arial" w:eastAsia="Arial" w:hAnsi="Arial"/>
                <w:sz w:val="17"/>
                <w:szCs w:val="17"/>
                <w:color w:val="auto"/>
              </w:rPr>
              <w:t>solutions, cyber solutions, and simulation and training solutions</w:t>
            </w:r>
          </w:p>
        </w:tc>
        <w:tc>
          <w:tcPr>
            <w:tcW w:w="0" w:type="dxa"/>
            <w:vAlign w:val="bottom"/>
          </w:tcPr>
          <w:p>
            <w:pPr>
              <w:spacing w:after="0"/>
              <w:rPr>
                <w:sz w:val="1"/>
                <w:szCs w:val="1"/>
                <w:color w:val="auto"/>
              </w:rPr>
            </w:pPr>
          </w:p>
        </w:tc>
      </w:tr>
      <w:tr>
        <w:trPr>
          <w:trHeight w:val="95"/>
        </w:trPr>
        <w:tc>
          <w:tcPr>
            <w:tcW w:w="1220" w:type="dxa"/>
            <w:vAlign w:val="bottom"/>
            <w:tcBorders>
              <w:bottom w:val="single" w:sz="8" w:color="808080"/>
            </w:tcBorders>
          </w:tcPr>
          <w:p>
            <w:pPr>
              <w:spacing w:after="0"/>
              <w:rPr>
                <w:sz w:val="8"/>
                <w:szCs w:val="8"/>
                <w:color w:val="auto"/>
              </w:rPr>
            </w:pPr>
          </w:p>
        </w:tc>
        <w:tc>
          <w:tcPr>
            <w:tcW w:w="10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-1490980</wp:posOffset>
            </wp:positionV>
            <wp:extent cx="360045"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3771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-711200</wp:posOffset>
            </wp:positionV>
            <wp:extent cx="360045"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045" cy="3771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25400</wp:posOffset>
            </wp:positionV>
            <wp:extent cx="360045" cy="377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0045" cy="377190"/>
                    </a:xfrm>
                    <a:prstGeom prst="rect">
                      <a:avLst/>
                    </a:prstGeom>
                    <a:noFill/>
                  </pic:spPr>
                </pic:pic>
              </a:graphicData>
            </a:graphic>
          </wp:anchor>
        </w:drawing>
      </w:r>
    </w:p>
    <w:p>
      <w:pPr>
        <w:spacing w:after="0" w:line="165" w:lineRule="exact"/>
        <w:rPr>
          <w:sz w:val="20"/>
          <w:szCs w:val="20"/>
          <w:color w:val="auto"/>
        </w:rPr>
      </w:pPr>
    </w:p>
    <w:tbl>
      <w:tblPr>
        <w:tblLayout w:type="fixed"/>
        <w:tblInd w:w="420" w:type="dxa"/>
        <w:tblCellMar>
          <w:top w:w="0" w:type="dxa"/>
          <w:left w:w="0" w:type="dxa"/>
          <w:bottom w:w="0" w:type="dxa"/>
          <w:right w:w="0" w:type="dxa"/>
        </w:tblCellMar>
      </w:tblPr>
      <w:tr>
        <w:trPr>
          <w:trHeight w:val="237"/>
        </w:trPr>
        <w:tc>
          <w:tcPr>
            <w:tcW w:w="800" w:type="dxa"/>
            <w:vAlign w:val="bottom"/>
          </w:tcPr>
          <w:p>
            <w:pPr>
              <w:spacing w:after="0"/>
              <w:rPr>
                <w:sz w:val="20"/>
                <w:szCs w:val="20"/>
                <w:color w:val="auto"/>
              </w:rPr>
            </w:pPr>
          </w:p>
        </w:tc>
        <w:tc>
          <w:tcPr>
            <w:tcW w:w="10000" w:type="dxa"/>
            <w:vAlign w:val="bottom"/>
          </w:tcPr>
          <w:p>
            <w:pPr>
              <w:ind w:left="220"/>
              <w:spacing w:after="0"/>
              <w:rPr>
                <w:sz w:val="20"/>
                <w:szCs w:val="20"/>
                <w:color w:val="auto"/>
              </w:rPr>
            </w:pPr>
            <w:r>
              <w:rPr>
                <w:rFonts w:ascii="Arial" w:cs="Arial" w:eastAsia="Arial" w:hAnsi="Arial"/>
                <w:sz w:val="20"/>
                <w:szCs w:val="20"/>
                <w:color w:val="002E6D"/>
              </w:rPr>
              <w:t>Space, 18%</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0000" w:type="dxa"/>
            <w:vAlign w:val="bottom"/>
          </w:tcPr>
          <w:p>
            <w:pPr>
              <w:ind w:left="220"/>
              <w:spacing w:after="0"/>
              <w:rPr>
                <w:sz w:val="20"/>
                <w:szCs w:val="20"/>
                <w:color w:val="auto"/>
              </w:rPr>
            </w:pPr>
            <w:r>
              <w:rPr>
                <w:rFonts w:ascii="Arial" w:cs="Arial" w:eastAsia="Arial" w:hAnsi="Arial"/>
                <w:sz w:val="17"/>
                <w:szCs w:val="17"/>
                <w:color w:val="auto"/>
              </w:rPr>
              <w:t>Engaged in the research, design, development, engineering and production of satellites, space transportation systems, and</w:t>
            </w: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20"/>
                <w:szCs w:val="20"/>
                <w:color w:val="auto"/>
              </w:rPr>
            </w:pPr>
            <w:r>
              <w:rPr>
                <w:rFonts w:ascii="Arial" w:cs="Arial" w:eastAsia="Arial" w:hAnsi="Arial"/>
                <w:sz w:val="18"/>
                <w:szCs w:val="18"/>
                <w:color w:val="002F6C"/>
              </w:rPr>
              <w:t>$11.9B</w:t>
            </w:r>
          </w:p>
        </w:tc>
        <w:tc>
          <w:tcPr>
            <w:tcW w:w="10000" w:type="dxa"/>
            <w:vAlign w:val="bottom"/>
          </w:tcPr>
          <w:p>
            <w:pPr>
              <w:ind w:left="220"/>
              <w:spacing w:after="0"/>
              <w:rPr>
                <w:sz w:val="20"/>
                <w:szCs w:val="20"/>
                <w:color w:val="auto"/>
              </w:rPr>
            </w:pPr>
            <w:r>
              <w:rPr>
                <w:rFonts w:ascii="Arial" w:cs="Arial" w:eastAsia="Arial" w:hAnsi="Arial"/>
                <w:sz w:val="17"/>
                <w:szCs w:val="17"/>
                <w:color w:val="auto"/>
              </w:rPr>
              <w:t>strategic, advanced strike and defensive systems; provides network-enabled situational awareness and integrates complex space</w:t>
            </w:r>
          </w:p>
        </w:tc>
        <w:tc>
          <w:tcPr>
            <w:tcW w:w="0" w:type="dxa"/>
            <w:vAlign w:val="bottom"/>
          </w:tcPr>
          <w:p>
            <w:pPr>
              <w:spacing w:after="0"/>
              <w:rPr>
                <w:sz w:val="1"/>
                <w:szCs w:val="1"/>
                <w:color w:val="auto"/>
              </w:rPr>
            </w:pPr>
          </w:p>
        </w:tc>
      </w:tr>
      <w:tr>
        <w:trPr>
          <w:trHeight w:val="139"/>
        </w:trPr>
        <w:tc>
          <w:tcPr>
            <w:tcW w:w="800" w:type="dxa"/>
            <w:vAlign w:val="bottom"/>
            <w:vMerge w:val="continue"/>
          </w:tcPr>
          <w:p>
            <w:pPr>
              <w:spacing w:after="0"/>
              <w:rPr>
                <w:sz w:val="12"/>
                <w:szCs w:val="12"/>
                <w:color w:val="auto"/>
              </w:rPr>
            </w:pPr>
          </w:p>
        </w:tc>
        <w:tc>
          <w:tcPr>
            <w:tcW w:w="10000" w:type="dxa"/>
            <w:vAlign w:val="bottom"/>
            <w:vMerge w:val="restart"/>
          </w:tcPr>
          <w:p>
            <w:pPr>
              <w:ind w:left="220"/>
              <w:spacing w:after="0"/>
              <w:rPr>
                <w:sz w:val="20"/>
                <w:szCs w:val="20"/>
                <w:color w:val="auto"/>
              </w:rPr>
            </w:pPr>
            <w:r>
              <w:rPr>
                <w:rFonts w:ascii="Arial" w:cs="Arial" w:eastAsia="Arial" w:hAnsi="Arial"/>
                <w:sz w:val="17"/>
                <w:szCs w:val="17"/>
                <w:color w:val="auto"/>
              </w:rPr>
              <w:t>and ground global systems to help our customers gather, analyze and securely distribute critical intelligence data</w:t>
            </w:r>
          </w:p>
        </w:tc>
        <w:tc>
          <w:tcPr>
            <w:tcW w:w="0" w:type="dxa"/>
            <w:vAlign w:val="bottom"/>
          </w:tcPr>
          <w:p>
            <w:pPr>
              <w:spacing w:after="0"/>
              <w:rPr>
                <w:sz w:val="1"/>
                <w:szCs w:val="1"/>
                <w:color w:val="auto"/>
              </w:rPr>
            </w:pPr>
          </w:p>
        </w:tc>
      </w:tr>
      <w:tr>
        <w:trPr>
          <w:trHeight w:val="77"/>
        </w:trPr>
        <w:tc>
          <w:tcPr>
            <w:tcW w:w="800" w:type="dxa"/>
            <w:vAlign w:val="bottom"/>
          </w:tcPr>
          <w:p>
            <w:pPr>
              <w:spacing w:after="0"/>
              <w:rPr>
                <w:sz w:val="6"/>
                <w:szCs w:val="6"/>
                <w:color w:val="auto"/>
              </w:rPr>
            </w:pPr>
          </w:p>
        </w:tc>
        <w:tc>
          <w:tcPr>
            <w:tcW w:w="10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9"/>
          <w:szCs w:val="29"/>
          <w:color w:val="002E6D"/>
        </w:rPr>
        <w:t>2021 STRATEGIC FRAMEWORK</w:t>
      </w:r>
    </w:p>
    <w:p>
      <w:pPr>
        <w:spacing w:after="0" w:line="83" w:lineRule="exact"/>
        <w:rPr>
          <w:sz w:val="20"/>
          <w:szCs w:val="20"/>
          <w:color w:val="auto"/>
        </w:rPr>
      </w:pPr>
    </w:p>
    <w:p>
      <w:pPr>
        <w:ind w:right="600"/>
        <w:spacing w:after="0" w:line="276" w:lineRule="auto"/>
        <w:rPr>
          <w:sz w:val="20"/>
          <w:szCs w:val="20"/>
          <w:color w:val="auto"/>
        </w:rPr>
      </w:pPr>
      <w:r>
        <w:rPr>
          <w:rFonts w:ascii="Arial" w:cs="Arial" w:eastAsia="Arial" w:hAnsi="Arial"/>
          <w:sz w:val="17"/>
          <w:szCs w:val="17"/>
          <w:color w:val="auto"/>
        </w:rPr>
        <w:t>Enhance defense, security and scientific discovery by delivering reliable, innovative and affordable solutions to our customers’ most daunting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40575" cy="1062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106299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p>
      <w:pPr>
        <w:spacing w:after="0" w:line="112" w:lineRule="exact"/>
        <w:rPr>
          <w:sz w:val="20"/>
          <w:szCs w:val="20"/>
          <w:color w:val="auto"/>
        </w:rPr>
      </w:pPr>
    </w:p>
    <w:p>
      <w:pPr>
        <w:ind w:left="1000"/>
        <w:spacing w:after="0"/>
        <w:rPr>
          <w:sz w:val="20"/>
          <w:szCs w:val="20"/>
          <w:color w:val="auto"/>
        </w:rPr>
      </w:pPr>
      <w:r>
        <w:rPr>
          <w:rFonts w:ascii="Arial" w:cs="Arial" w:eastAsia="Arial" w:hAnsi="Arial"/>
          <w:sz w:val="25"/>
          <w:szCs w:val="25"/>
          <w:color w:val="FFFFFF"/>
        </w:rPr>
        <w:t>LEAD</w:t>
      </w:r>
    </w:p>
    <w:p>
      <w:pPr>
        <w:spacing w:after="0" w:line="157"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b w:val="1"/>
          <w:bCs w:val="1"/>
          <w:color w:val="auto"/>
        </w:rPr>
        <w:t>the defense industry and our customers in building a superior 21st Century Warfare capability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1946910</wp:posOffset>
            </wp:positionV>
            <wp:extent cx="96901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left="-139"/>
        <w:spacing w:after="0"/>
        <w:rPr>
          <w:sz w:val="20"/>
          <w:szCs w:val="20"/>
          <w:color w:val="auto"/>
        </w:rPr>
      </w:pPr>
      <w:r>
        <w:rPr>
          <w:rFonts w:ascii="Arial" w:cs="Arial" w:eastAsia="Arial" w:hAnsi="Arial"/>
          <w:sz w:val="25"/>
          <w:szCs w:val="25"/>
          <w:color w:val="FFFFFF"/>
        </w:rPr>
        <w:t>INNOVATE</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to provide cutting edge solutions to our customers at every level from product to Joint All-Domain Operations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840"/>
        <w:spacing w:after="0"/>
        <w:rPr>
          <w:sz w:val="20"/>
          <w:szCs w:val="20"/>
          <w:color w:val="auto"/>
        </w:rPr>
      </w:pPr>
      <w:r>
        <w:rPr>
          <w:rFonts w:ascii="Arial" w:cs="Arial" w:eastAsia="Arial" w:hAnsi="Arial"/>
          <w:sz w:val="25"/>
          <w:szCs w:val="25"/>
          <w:color w:val="FFFFFF"/>
        </w:rPr>
        <w:t>DRIVE</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operational excellence throughout the Corporation and efficiency throughout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249555</wp:posOffset>
            </wp:positionV>
            <wp:extent cx="5966460" cy="1371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646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100"/>
        <w:spacing w:after="0"/>
        <w:rPr>
          <w:sz w:val="20"/>
          <w:szCs w:val="20"/>
          <w:color w:val="auto"/>
        </w:rPr>
      </w:pPr>
      <w:r>
        <w:rPr>
          <w:rFonts w:ascii="Arial" w:cs="Arial" w:eastAsia="Arial" w:hAnsi="Arial"/>
          <w:sz w:val="25"/>
          <w:szCs w:val="25"/>
          <w:color w:val="FFFFFF"/>
        </w:rPr>
        <w:t>GROW</w:t>
      </w:r>
    </w:p>
    <w:p>
      <w:pPr>
        <w:spacing w:after="0" w:line="157" w:lineRule="exact"/>
        <w:rPr>
          <w:sz w:val="20"/>
          <w:szCs w:val="20"/>
          <w:color w:val="auto"/>
        </w:rPr>
      </w:pPr>
    </w:p>
    <w:p>
      <w:pPr>
        <w:jc w:val="both"/>
        <w:ind w:right="40"/>
        <w:spacing w:after="0" w:line="283" w:lineRule="auto"/>
        <w:rPr>
          <w:sz w:val="20"/>
          <w:szCs w:val="20"/>
          <w:color w:val="auto"/>
        </w:rPr>
      </w:pPr>
      <w:r>
        <w:rPr>
          <w:rFonts w:ascii="Arial" w:cs="Arial" w:eastAsia="Arial" w:hAnsi="Arial"/>
          <w:sz w:val="17"/>
          <w:szCs w:val="17"/>
          <w:b w:val="1"/>
          <w:bCs w:val="1"/>
          <w:color w:val="auto"/>
        </w:rPr>
        <w:t>organically and through capital and acquisition investments to benefit our stakeholders</w:t>
      </w:r>
    </w:p>
    <w:p>
      <w:pPr>
        <w:spacing w:after="0" w:line="518" w:lineRule="exact"/>
        <w:rPr>
          <w:sz w:val="20"/>
          <w:szCs w:val="20"/>
          <w:color w:val="auto"/>
        </w:rPr>
      </w:pPr>
    </w:p>
    <w:p>
      <w:pPr>
        <w:sectPr>
          <w:pgSz w:w="11900" w:h="16838" w:orient="portrait"/>
          <w:cols w:equalWidth="0" w:num="4">
            <w:col w:w="2460" w:space="460"/>
            <w:col w:w="2400" w:space="520"/>
            <w:col w:w="2400" w:space="420"/>
            <w:col w:w="2580"/>
          </w:cols>
          <w:pgMar w:left="320" w:top="13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4</w:t>
      </w:r>
    </w:p>
    <w:p>
      <w:pPr>
        <w:sectPr>
          <w:pgSz w:w="11900" w:h="16838" w:orient="portrait"/>
          <w:cols w:equalWidth="0" w:num="1">
            <w:col w:w="11240"/>
          </w:cols>
          <w:pgMar w:left="320" w:top="1340" w:right="339" w:bottom="1440" w:gutter="0" w:footer="0" w:header="0"/>
          <w:type w:val="continuous"/>
        </w:sectPr>
      </w:pPr>
    </w:p>
    <w:bookmarkStart w:id="8" w:name="page9"/>
    <w:bookmarkEnd w:id="8"/>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15175" cy="6917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6917690"/>
                    </a:xfrm>
                    <a:prstGeom prst="rect">
                      <a:avLst/>
                    </a:prstGeom>
                    <a:noFill/>
                  </pic:spPr>
                </pic:pic>
              </a:graphicData>
            </a:graphic>
          </wp:anchor>
        </w:drawing>
      </w:r>
    </w:p>
    <w:p>
      <w:pPr>
        <w:ind w:left="220" w:right="1060"/>
        <w:spacing w:after="0" w:line="260" w:lineRule="auto"/>
        <w:rPr>
          <w:sz w:val="20"/>
          <w:szCs w:val="20"/>
          <w:color w:val="auto"/>
        </w:rPr>
      </w:pPr>
      <w:r>
        <w:rPr>
          <w:rFonts w:ascii="Arial" w:cs="Arial" w:eastAsia="Arial" w:hAnsi="Arial"/>
          <w:sz w:val="32"/>
          <w:szCs w:val="32"/>
          <w:color w:val="002E6D"/>
        </w:rPr>
        <w:t>Support for Our Employees, Suppliers and Communities Impacted by COVID-19</w:t>
      </w:r>
    </w:p>
    <w:p>
      <w:pPr>
        <w:spacing w:after="0" w:line="30" w:lineRule="exact"/>
        <w:rPr>
          <w:sz w:val="20"/>
          <w:szCs w:val="20"/>
          <w:color w:val="auto"/>
        </w:rPr>
      </w:pPr>
    </w:p>
    <w:p>
      <w:pPr>
        <w:ind w:left="220" w:right="280"/>
        <w:spacing w:after="0" w:line="266" w:lineRule="auto"/>
        <w:rPr>
          <w:sz w:val="20"/>
          <w:szCs w:val="20"/>
          <w:color w:val="auto"/>
        </w:rPr>
      </w:pPr>
      <w:r>
        <w:rPr>
          <w:rFonts w:ascii="Arial" w:cs="Arial" w:eastAsia="Arial" w:hAnsi="Arial"/>
          <w:sz w:val="17"/>
          <w:szCs w:val="17"/>
          <w:color w:val="auto"/>
        </w:rPr>
        <w:t>Lockheed Martin continues to support the critical security needs of our nation and its allies during the COVID-19 global pandemic while also providing support to industrial base suppliers, front-line medical workers and local communities to help with relief and response efforts. We recognize that the rapid spread of COVID-19 and its wide-ranging impacts have caused severe disruption across society and tragic loss of life around the world. Managing the impacts of COVID-19 on our employees, suppliers and communities has been a key priority for the Corporation and our Board in 2020. In response to this crisis, the Corporation is guided by and operates with three clear priorities: (i) we will continue to protect the health and safety of our men and women on the job and their families; (ii) we will continue to perform and deliver for our customers because what they do for our national security, global communities, and infrastructure is critical to our nation and our allies; and (iii) we will do our part to use our innovation, resources, and leadership as a company to assist our communities and our country.</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5"/>
          <w:szCs w:val="25"/>
          <w:color w:val="475C90"/>
        </w:rPr>
        <w:t>Employee Health and Safety</w:t>
      </w:r>
    </w:p>
    <w:p>
      <w:pPr>
        <w:spacing w:after="0" w:line="96" w:lineRule="exact"/>
        <w:rPr>
          <w:sz w:val="20"/>
          <w:szCs w:val="20"/>
          <w:color w:val="auto"/>
        </w:rPr>
      </w:pPr>
    </w:p>
    <w:p>
      <w:pPr>
        <w:ind w:left="220" w:right="700"/>
        <w:spacing w:after="0" w:line="265" w:lineRule="auto"/>
        <w:rPr>
          <w:sz w:val="20"/>
          <w:szCs w:val="20"/>
          <w:color w:val="auto"/>
        </w:rPr>
      </w:pPr>
      <w:r>
        <w:rPr>
          <w:rFonts w:ascii="Arial" w:cs="Arial" w:eastAsia="Arial" w:hAnsi="Arial"/>
          <w:sz w:val="17"/>
          <w:szCs w:val="17"/>
          <w:color w:val="auto"/>
        </w:rPr>
        <w:t>Recognizing that our workforce is our most valuable asset in supporting our national security mission, we have taken action to protect its health and safety:</w:t>
      </w:r>
    </w:p>
    <w:p>
      <w:pPr>
        <w:ind w:left="460" w:right="440" w:hanging="157"/>
        <w:spacing w:after="0" w:line="265" w:lineRule="auto"/>
        <w:tabs>
          <w:tab w:leader="none" w:pos="42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fulfilled our pledge to cover 100% of medical expenses related to COVID-19 for those employees and their families participating in company health plans.</w:t>
      </w:r>
    </w:p>
    <w:p>
      <w:pPr>
        <w:ind w:left="460" w:right="480" w:hanging="157"/>
        <w:spacing w:after="0" w:line="265" w:lineRule="auto"/>
        <w:tabs>
          <w:tab w:leader="none" w:pos="42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employed a number of methods to reduce the concentration of employees in office and production environments who are doing work deemed essential by the U.S. government. We implemented teleworking, minimum staffing and social distancing policies for our employees consistent with current federal guidance as they continued to support national security.</w:t>
      </w:r>
    </w:p>
    <w:p>
      <w:pPr>
        <w:jc w:val="both"/>
        <w:ind w:left="460" w:right="520" w:hanging="157"/>
        <w:spacing w:after="0" w:line="265" w:lineRule="auto"/>
        <w:tabs>
          <w:tab w:leader="none" w:pos="42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provided employees with personal protective equipment, instituted new cleaning procedures including how tools are handled and, in some places, how areas are cleaned between shifts, restricted travel and implemented strict rules governing who can visit our facilities.</w:t>
      </w:r>
    </w:p>
    <w:p>
      <w:pPr>
        <w:ind w:left="460" w:right="960" w:hanging="157"/>
        <w:spacing w:after="0" w:line="276" w:lineRule="auto"/>
        <w:tabs>
          <w:tab w:leader="none" w:pos="42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enacted enhanced contingency plans in our factories to reduce the likelihood of an interruption in production of critical security programs.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5"/>
          <w:szCs w:val="25"/>
          <w:color w:val="475C90"/>
        </w:rPr>
        <w:t>Supply Chain Commitment</w:t>
      </w:r>
    </w:p>
    <w:p>
      <w:pPr>
        <w:spacing w:after="0" w:line="83" w:lineRule="exact"/>
        <w:rPr>
          <w:sz w:val="20"/>
          <w:szCs w:val="20"/>
          <w:color w:val="auto"/>
        </w:rPr>
      </w:pPr>
    </w:p>
    <w:p>
      <w:pPr>
        <w:ind w:left="460" w:right="280" w:hanging="157"/>
        <w:spacing w:after="0" w:line="265" w:lineRule="auto"/>
        <w:tabs>
          <w:tab w:leader="none" w:pos="42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Throughout the pandemic, we helped ensure a healthy supply base, accelerating payments to more than 10,100 suppliers, including nearly 6,200 small businesses across all 50 states, the District of Columbia, Puerto Rico, and 47 nations.</w:t>
      </w:r>
    </w:p>
    <w:p>
      <w:pPr>
        <w:ind w:left="460" w:right="440" w:hanging="157"/>
        <w:spacing w:after="0" w:line="265" w:lineRule="auto"/>
        <w:tabs>
          <w:tab w:leader="none" w:pos="425"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2020, the Department of Defense announced it would increase progress payment rates to large businesses from 80 percent to 90 percent, accelerating payments for the completion of work in recognition of the challenges posed by COVID-19. During 2020, Lockheed Martin flowed all of the accelerated payments it received from the Department of Defense to its supply chain with a focus on small businesses and those at-risk.</w:t>
      </w:r>
    </w:p>
    <w:p>
      <w:pPr>
        <w:ind w:left="460" w:right="500" w:hanging="157"/>
        <w:spacing w:after="0" w:line="276" w:lineRule="auto"/>
        <w:tabs>
          <w:tab w:leader="none" w:pos="42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continued in 2021 to monitor COVID-19 impacts and to accelerate cash to at-risk suppliers and small businesses, working with our U.S. government partners and suppliers, to meet commitments vital to national security.</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5"/>
          <w:szCs w:val="25"/>
          <w:color w:val="475C90"/>
        </w:rPr>
        <w:t>Aid to Our Communities and International Partners</w:t>
      </w:r>
    </w:p>
    <w:p>
      <w:pPr>
        <w:sectPr>
          <w:pgSz w:w="11900" w:h="16838" w:orient="portrait"/>
          <w:cols w:equalWidth="0" w:num="1">
            <w:col w:w="11200"/>
          </w:cols>
          <w:pgMar w:left="340" w:top="1440" w:right="359" w:bottom="1440" w:gutter="0" w:footer="0" w:header="0"/>
        </w:sectPr>
      </w:pPr>
    </w:p>
    <w:p>
      <w:pPr>
        <w:spacing w:after="0" w:line="110" w:lineRule="exact"/>
        <w:rPr>
          <w:sz w:val="20"/>
          <w:szCs w:val="20"/>
          <w:color w:val="auto"/>
        </w:rPr>
      </w:pPr>
    </w:p>
    <w:p>
      <w:pPr>
        <w:ind w:left="1200" w:right="580"/>
        <w:spacing w:after="0" w:line="251" w:lineRule="auto"/>
        <w:rPr>
          <w:sz w:val="20"/>
          <w:szCs w:val="20"/>
          <w:color w:val="auto"/>
        </w:rPr>
      </w:pPr>
      <w:r>
        <w:rPr>
          <w:rFonts w:ascii="Arial" w:cs="Arial" w:eastAsia="Arial" w:hAnsi="Arial"/>
          <w:sz w:val="17"/>
          <w:szCs w:val="17"/>
          <w:color w:val="auto"/>
        </w:rPr>
        <w:t>We made nearly $22 million in charitable contributions, as well as donations of meals for local communities surrounding Lockheed Martin locations, and personal protective equipment for doctors, nurses, and first responders.</w:t>
      </w:r>
    </w:p>
    <w:p>
      <w:pPr>
        <w:spacing w:after="0" w:line="98" w:lineRule="exact"/>
        <w:rPr>
          <w:sz w:val="20"/>
          <w:szCs w:val="20"/>
          <w:color w:val="auto"/>
        </w:rPr>
      </w:pPr>
    </w:p>
    <w:p>
      <w:pPr>
        <w:ind w:left="1200" w:right="600"/>
        <w:spacing w:after="0" w:line="252" w:lineRule="auto"/>
        <w:rPr>
          <w:sz w:val="20"/>
          <w:szCs w:val="20"/>
          <w:color w:val="auto"/>
        </w:rPr>
      </w:pPr>
      <w:r>
        <w:rPr>
          <w:rFonts w:ascii="Arial" w:cs="Arial" w:eastAsia="Arial" w:hAnsi="Arial"/>
          <w:sz w:val="17"/>
          <w:szCs w:val="17"/>
          <w:color w:val="auto"/>
        </w:rPr>
        <w:t>We donated the use of our facilities for crisis-related activities including critical medical supply storage, distribution, and COVID-19 testing, where needed and practical.</w:t>
      </w:r>
    </w:p>
    <w:p>
      <w:pPr>
        <w:spacing w:after="0" w:line="97" w:lineRule="exact"/>
        <w:rPr>
          <w:sz w:val="20"/>
          <w:szCs w:val="20"/>
          <w:color w:val="auto"/>
        </w:rPr>
      </w:pPr>
    </w:p>
    <w:p>
      <w:pPr>
        <w:ind w:left="1200" w:right="840"/>
        <w:spacing w:after="0" w:line="254" w:lineRule="auto"/>
        <w:rPr>
          <w:sz w:val="20"/>
          <w:szCs w:val="20"/>
          <w:color w:val="auto"/>
        </w:rPr>
      </w:pPr>
      <w:r>
        <w:rPr>
          <w:rFonts w:ascii="Arial" w:cs="Arial" w:eastAsia="Arial" w:hAnsi="Arial"/>
          <w:sz w:val="17"/>
          <w:szCs w:val="17"/>
          <w:color w:val="auto"/>
        </w:rPr>
        <w:t>We provided corporate air support to the U.S. Department of Health and Human Services and the National Marrow Donor Program.</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ind w:right="480"/>
        <w:spacing w:after="0" w:line="254" w:lineRule="auto"/>
        <w:rPr>
          <w:sz w:val="20"/>
          <w:szCs w:val="20"/>
          <w:color w:val="auto"/>
        </w:rPr>
      </w:pPr>
      <w:r>
        <w:rPr>
          <w:rFonts w:ascii="Arial" w:cs="Arial" w:eastAsia="Arial" w:hAnsi="Arial"/>
          <w:sz w:val="17"/>
          <w:szCs w:val="17"/>
          <w:color w:val="auto"/>
        </w:rPr>
        <w:t>We supported COVID-19 related initiatives around the world including in 16 different countries other than the U.S.</w:t>
      </w:r>
    </w:p>
    <w:p>
      <w:pPr>
        <w:spacing w:after="0" w:line="200" w:lineRule="exact"/>
        <w:rPr>
          <w:sz w:val="20"/>
          <w:szCs w:val="20"/>
          <w:color w:val="auto"/>
        </w:rPr>
      </w:pPr>
    </w:p>
    <w:p>
      <w:pPr>
        <w:spacing w:after="0" w:line="300"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We have continued to recruit and hire new employees to fill key roles around the country, often virtually, to advance technologies that will shape the future and keep us an employer of choice.</w:t>
      </w:r>
    </w:p>
    <w:p>
      <w:pPr>
        <w:spacing w:after="0" w:line="97"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We donated more than 1,400 iPhones to local hospitals and community organizations across the country.</w:t>
      </w:r>
    </w:p>
    <w:p>
      <w:pPr>
        <w:spacing w:after="0" w:line="398" w:lineRule="exact"/>
        <w:rPr>
          <w:sz w:val="20"/>
          <w:szCs w:val="20"/>
          <w:color w:val="auto"/>
        </w:rPr>
      </w:pPr>
    </w:p>
    <w:p>
      <w:pPr>
        <w:sectPr>
          <w:pgSz w:w="11900" w:h="16838" w:orient="portrait"/>
          <w:cols w:equalWidth="0" w:num="2">
            <w:col w:w="5920" w:space="720"/>
            <w:col w:w="4560"/>
          </w:cols>
          <w:pgMar w:left="340" w:top="1440" w:right="35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8580" w:val="left"/>
          <w:tab w:leader="none" w:pos="1110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5</w:t>
      </w:r>
    </w:p>
    <w:p>
      <w:pPr>
        <w:sectPr>
          <w:pgSz w:w="11900" w:h="16838" w:orient="portrait"/>
          <w:cols w:equalWidth="0" w:num="1">
            <w:col w:w="11200"/>
          </w:cols>
          <w:pgMar w:left="340" w:top="1440"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43"/>
          <w:szCs w:val="43"/>
          <w:color w:val="002E6D"/>
        </w:rPr>
        <w:t>Proxy Statement Summary</w:t>
      </w:r>
    </w:p>
    <w:p>
      <w:pPr>
        <w:spacing w:after="0" w:line="230"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The Board of Directors (the Board) of Lockheed Martin Corporation (the Corporation) is providing the Notice of 2021 Annual Meeting of Stockholders, this Proxy Statement and proxy card (the Proxy Materials) in connection with the Corporation's solicitation of proxies for the 2021 Annual Meeting (the Annual Meeting) to be held virtually on April 22, 2021, at 8:00 a.m. EDT.</w:t>
      </w:r>
    </w:p>
    <w:p>
      <w:pPr>
        <w:spacing w:after="0" w:line="9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proxy summary highlights information contained elsewhere in our Proxy Statement. The summary does not contain all the information that you should consider, and we encourage you to read the entire Proxy Statement carefully.</w:t>
      </w:r>
    </w:p>
    <w:p>
      <w:pPr>
        <w:spacing w:after="0" w:line="133" w:lineRule="exact"/>
        <w:rPr>
          <w:sz w:val="20"/>
          <w:szCs w:val="20"/>
          <w:color w:val="auto"/>
        </w:rPr>
      </w:pPr>
    </w:p>
    <w:p>
      <w:pPr>
        <w:spacing w:after="0"/>
        <w:rPr>
          <w:sz w:val="20"/>
          <w:szCs w:val="20"/>
          <w:color w:val="auto"/>
        </w:rPr>
      </w:pPr>
      <w:r>
        <w:rPr>
          <w:rFonts w:ascii="Arial" w:cs="Arial" w:eastAsia="Arial" w:hAnsi="Arial"/>
          <w:sz w:val="29"/>
          <w:szCs w:val="29"/>
          <w:color w:val="002E6D"/>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925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199" w:lineRule="exact"/>
        <w:rPr>
          <w:sz w:val="20"/>
          <w:szCs w:val="20"/>
          <w:color w:val="auto"/>
        </w:rPr>
      </w:pPr>
    </w:p>
    <w:p>
      <w:pPr>
        <w:ind w:left="160"/>
        <w:spacing w:after="0"/>
        <w:tabs>
          <w:tab w:leader="none" w:pos="1100" w:val="left"/>
        </w:tabs>
        <w:rPr>
          <w:sz w:val="20"/>
          <w:szCs w:val="20"/>
          <w:color w:val="auto"/>
        </w:rPr>
      </w:pPr>
      <w:r>
        <w:rPr>
          <w:rFonts w:ascii="Arial" w:cs="Arial" w:eastAsia="Arial" w:hAnsi="Arial"/>
          <w:sz w:val="36"/>
          <w:szCs w:val="36"/>
          <w:color w:val="012E6C"/>
          <w:vertAlign w:val="superscript"/>
        </w:rPr>
        <w:t>Proposal</w:t>
      </w:r>
      <w:r>
        <w:rPr>
          <w:sz w:val="20"/>
          <w:szCs w:val="20"/>
          <w:color w:val="auto"/>
        </w:rPr>
        <w:tab/>
      </w:r>
      <w:r>
        <w:rPr>
          <w:rFonts w:ascii="Arial" w:cs="Arial" w:eastAsia="Arial" w:hAnsi="Arial"/>
          <w:sz w:val="20"/>
          <w:szCs w:val="20"/>
          <w:color w:val="002E6D"/>
        </w:rPr>
        <w:t>Election of 11 Director-Nominees</w:t>
      </w:r>
    </w:p>
    <w:p>
      <w:pPr>
        <w:ind w:left="1120" w:hanging="669"/>
        <w:spacing w:after="0" w:line="181" w:lineRule="auto"/>
        <w:tabs>
          <w:tab w:leader="none" w:pos="1120" w:val="left"/>
        </w:tabs>
        <w:numPr>
          <w:ilvl w:val="0"/>
          <w:numId w:val="9"/>
        </w:numPr>
        <w:rPr>
          <w:rFonts w:ascii="Arial" w:cs="Arial" w:eastAsia="Arial" w:hAnsi="Arial"/>
          <w:sz w:val="44"/>
          <w:szCs w:val="44"/>
          <w:color w:val="012E6C"/>
          <w:vertAlign w:val="superscript"/>
        </w:rPr>
      </w:pPr>
      <w:r>
        <w:rPr>
          <w:rFonts w:ascii="Arial" w:cs="Arial" w:eastAsia="Arial" w:hAnsi="Arial"/>
          <w:sz w:val="16"/>
          <w:szCs w:val="16"/>
          <w:color w:val="002E6D"/>
        </w:rPr>
        <w:t>The Board recommends a vote FOR each of the director-nominees.</w:t>
      </w:r>
    </w:p>
    <w:p>
      <w:pPr>
        <w:spacing w:after="0" w:line="53" w:lineRule="exact"/>
        <w:rPr>
          <w:sz w:val="20"/>
          <w:szCs w:val="20"/>
          <w:color w:val="auto"/>
        </w:rPr>
      </w:pPr>
    </w:p>
    <w:p>
      <w:pPr>
        <w:ind w:left="9260"/>
        <w:spacing w:after="0"/>
        <w:rPr>
          <w:sz w:val="20"/>
          <w:szCs w:val="20"/>
          <w:color w:val="auto"/>
        </w:rPr>
      </w:pPr>
      <w:r>
        <w:rPr>
          <w:rFonts w:ascii="Arial" w:cs="Arial" w:eastAsia="Arial" w:hAnsi="Arial"/>
          <w:sz w:val="16"/>
          <w:szCs w:val="16"/>
          <w:color w:val="012E6C"/>
        </w:rPr>
        <w:t>See pages 11-16 for</w:t>
      </w:r>
    </w:p>
    <w:p>
      <w:pPr>
        <w:ind w:left="9260"/>
        <w:spacing w:after="0"/>
        <w:rPr>
          <w:sz w:val="20"/>
          <w:szCs w:val="20"/>
          <w:color w:val="auto"/>
        </w:rPr>
      </w:pPr>
      <w:r>
        <w:rPr>
          <w:rFonts w:ascii="Arial" w:cs="Arial" w:eastAsia="Arial" w:hAnsi="Arial"/>
          <w:sz w:val="16"/>
          <w:szCs w:val="16"/>
          <w:color w:val="012E6C"/>
        </w:rPr>
        <w:t>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019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19810"/>
                    </a:xfrm>
                    <a:prstGeom prst="rect">
                      <a:avLst/>
                    </a:prstGeom>
                    <a:noFill/>
                  </pic:spPr>
                </pic:pic>
              </a:graphicData>
            </a:graphic>
          </wp:anchor>
        </w:drawing>
      </w:r>
    </w:p>
    <w:p>
      <w:pPr>
        <w:sectPr>
          <w:pgSz w:w="11900" w:h="16838" w:orient="portrait"/>
          <w:cols w:equalWidth="0" w:num="1">
            <w:col w:w="11100"/>
          </w:cols>
          <w:pgMar w:left="320" w:top="1340" w:right="479" w:bottom="70" w:gutter="0" w:footer="0" w:header="0"/>
        </w:sectPr>
      </w:pPr>
    </w:p>
    <w:p>
      <w:pPr>
        <w:spacing w:after="0" w:line="334" w:lineRule="exact"/>
        <w:rPr>
          <w:sz w:val="20"/>
          <w:szCs w:val="20"/>
          <w:color w:val="auto"/>
        </w:rPr>
      </w:pPr>
    </w:p>
    <w:p>
      <w:pPr>
        <w:ind w:left="160"/>
        <w:spacing w:after="0"/>
        <w:tabs>
          <w:tab w:leader="none" w:pos="1120" w:val="left"/>
        </w:tabs>
        <w:rPr>
          <w:sz w:val="20"/>
          <w:szCs w:val="20"/>
          <w:color w:val="auto"/>
        </w:rPr>
      </w:pPr>
      <w:r>
        <w:rPr>
          <w:rFonts w:ascii="Arial" w:cs="Arial" w:eastAsia="Arial" w:hAnsi="Arial"/>
          <w:sz w:val="35"/>
          <w:szCs w:val="35"/>
          <w:color w:val="012E6C"/>
          <w:vertAlign w:val="superscript"/>
        </w:rPr>
        <w:t>Proposal</w:t>
      </w:r>
      <w:r>
        <w:rPr>
          <w:sz w:val="20"/>
          <w:szCs w:val="20"/>
          <w:color w:val="auto"/>
        </w:rPr>
        <w:tab/>
      </w:r>
      <w:r>
        <w:rPr>
          <w:rFonts w:ascii="Arial" w:cs="Arial" w:eastAsia="Arial" w:hAnsi="Arial"/>
          <w:sz w:val="19"/>
          <w:szCs w:val="19"/>
          <w:color w:val="002E6D"/>
        </w:rPr>
        <w:t>Ratification of the Appointment of Ernst &amp; Young LLP as our Independent Auditors for</w:t>
      </w:r>
    </w:p>
    <w:p>
      <w:pPr>
        <w:spacing w:after="0" w:line="36" w:lineRule="exact"/>
        <w:rPr>
          <w:sz w:val="20"/>
          <w:szCs w:val="20"/>
          <w:color w:val="auto"/>
        </w:rPr>
      </w:pPr>
    </w:p>
    <w:p>
      <w:pPr>
        <w:ind w:left="1140" w:hanging="689"/>
        <w:spacing w:after="0"/>
        <w:tabs>
          <w:tab w:leader="none" w:pos="1140" w:val="left"/>
        </w:tabs>
        <w:numPr>
          <w:ilvl w:val="0"/>
          <w:numId w:val="10"/>
        </w:numPr>
        <w:rPr>
          <w:rFonts w:ascii="Arial" w:cs="Arial" w:eastAsia="Arial" w:hAnsi="Arial"/>
          <w:sz w:val="25"/>
          <w:szCs w:val="25"/>
          <w:color w:val="012E6C"/>
        </w:rPr>
      </w:pPr>
      <w:r>
        <w:rPr>
          <w:rFonts w:ascii="Arial" w:cs="Arial" w:eastAsia="Arial" w:hAnsi="Arial"/>
          <w:sz w:val="20"/>
          <w:szCs w:val="20"/>
          <w:color w:val="002E6D"/>
        </w:rPr>
        <w:t>2021</w:t>
      </w:r>
    </w:p>
    <w:p>
      <w:pPr>
        <w:spacing w:after="0" w:line="111" w:lineRule="exact"/>
        <w:rPr>
          <w:sz w:val="20"/>
          <w:szCs w:val="20"/>
          <w:color w:val="auto"/>
        </w:rPr>
      </w:pPr>
    </w:p>
    <w:p>
      <w:pPr>
        <w:ind w:left="1140"/>
        <w:spacing w:after="0"/>
        <w:rPr>
          <w:sz w:val="20"/>
          <w:szCs w:val="20"/>
          <w:color w:val="auto"/>
        </w:rPr>
      </w:pPr>
      <w:r>
        <w:rPr>
          <w:rFonts w:ascii="Arial" w:cs="Arial" w:eastAsia="Arial" w:hAnsi="Arial"/>
          <w:sz w:val="17"/>
          <w:szCs w:val="17"/>
          <w:color w:val="002E6D"/>
        </w:rPr>
        <w:t>The Board recommends a vote FOR ratification of Ernst &amp; Young LLP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916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80"/>
        <w:spacing w:after="0" w:line="242" w:lineRule="auto"/>
        <w:rPr>
          <w:sz w:val="20"/>
          <w:szCs w:val="20"/>
          <w:color w:val="auto"/>
        </w:rPr>
      </w:pPr>
      <w:r>
        <w:rPr>
          <w:rFonts w:ascii="Arial" w:cs="Arial" w:eastAsia="Arial" w:hAnsi="Arial"/>
          <w:sz w:val="16"/>
          <w:szCs w:val="16"/>
          <w:color w:val="012E6C"/>
        </w:rPr>
        <w:t>See pages 36-37 for further information.</w:t>
      </w:r>
    </w:p>
    <w:p>
      <w:pPr>
        <w:spacing w:after="0" w:line="200" w:lineRule="exact"/>
        <w:rPr>
          <w:sz w:val="20"/>
          <w:szCs w:val="20"/>
          <w:color w:val="auto"/>
        </w:rPr>
      </w:pPr>
    </w:p>
    <w:p>
      <w:pPr>
        <w:sectPr>
          <w:pgSz w:w="11900" w:h="16838" w:orient="portrait"/>
          <w:cols w:equalWidth="0" w:num="2">
            <w:col w:w="8600" w:space="660"/>
            <w:col w:w="1840"/>
          </w:cols>
          <w:pgMar w:left="320" w:top="1340" w:right="479" w:bottom="70" w:gutter="0" w:footer="0" w:header="0"/>
          <w:type w:val="continuous"/>
        </w:sectPr>
      </w:pPr>
    </w:p>
    <w:p>
      <w:pPr>
        <w:spacing w:after="0" w:line="341" w:lineRule="exact"/>
        <w:rPr>
          <w:sz w:val="20"/>
          <w:szCs w:val="20"/>
          <w:color w:val="auto"/>
        </w:rPr>
      </w:pPr>
    </w:p>
    <w:p>
      <w:pPr>
        <w:ind w:left="160"/>
        <w:spacing w:after="0"/>
        <w:tabs>
          <w:tab w:leader="none" w:pos="1120" w:val="left"/>
        </w:tabs>
        <w:rPr>
          <w:sz w:val="20"/>
          <w:szCs w:val="20"/>
          <w:color w:val="auto"/>
        </w:rPr>
      </w:pPr>
      <w:r>
        <w:rPr>
          <w:rFonts w:ascii="Arial" w:cs="Arial" w:eastAsia="Arial" w:hAnsi="Arial"/>
          <w:sz w:val="18"/>
          <w:szCs w:val="18"/>
          <w:color w:val="012E6C"/>
        </w:rPr>
        <w:t>Proposal</w:t>
      </w:r>
      <w:r>
        <w:rPr>
          <w:sz w:val="20"/>
          <w:szCs w:val="20"/>
          <w:color w:val="auto"/>
        </w:rPr>
        <w:tab/>
      </w:r>
      <w:r>
        <w:rPr>
          <w:rFonts w:ascii="Arial" w:cs="Arial" w:eastAsia="Arial" w:hAnsi="Arial"/>
          <w:sz w:val="20"/>
          <w:szCs w:val="20"/>
          <w:color w:val="002E6D"/>
        </w:rPr>
        <w:t>Advisory Vote to Approve the Compensation of our Named Executive Officers (Say-on-</w:t>
      </w:r>
    </w:p>
    <w:p>
      <w:pPr>
        <w:ind w:left="1140" w:hanging="689"/>
        <w:spacing w:after="0" w:line="183" w:lineRule="auto"/>
        <w:tabs>
          <w:tab w:leader="none" w:pos="1140" w:val="left"/>
        </w:tabs>
        <w:numPr>
          <w:ilvl w:val="0"/>
          <w:numId w:val="11"/>
        </w:numPr>
        <w:rPr>
          <w:rFonts w:ascii="Arial" w:cs="Arial" w:eastAsia="Arial" w:hAnsi="Arial"/>
          <w:sz w:val="27"/>
          <w:szCs w:val="27"/>
          <w:color w:val="012E6C"/>
          <w:vertAlign w:val="subscript"/>
        </w:rPr>
      </w:pPr>
      <w:r>
        <w:rPr>
          <w:rFonts w:ascii="Arial" w:cs="Arial" w:eastAsia="Arial" w:hAnsi="Arial"/>
          <w:sz w:val="15"/>
          <w:szCs w:val="15"/>
          <w:color w:val="002E6D"/>
        </w:rPr>
        <w:t>Pay)</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7"/>
          <w:szCs w:val="17"/>
          <w:color w:val="002E6D"/>
        </w:rPr>
        <w:t>The Board recommends a vote FOR our Say-on-Pay proposal.</w:t>
      </w:r>
    </w:p>
    <w:p>
      <w:pPr>
        <w:ind w:left="9260"/>
        <w:spacing w:after="0" w:line="228" w:lineRule="auto"/>
        <w:rPr>
          <w:sz w:val="20"/>
          <w:szCs w:val="20"/>
          <w:color w:val="auto"/>
        </w:rPr>
      </w:pPr>
      <w:r>
        <w:rPr>
          <w:rFonts w:ascii="Arial" w:cs="Arial" w:eastAsia="Arial" w:hAnsi="Arial"/>
          <w:sz w:val="16"/>
          <w:szCs w:val="16"/>
          <w:color w:val="012E6C"/>
        </w:rPr>
        <w:t>See page 39 for further</w:t>
      </w:r>
    </w:p>
    <w:p>
      <w:pPr>
        <w:spacing w:after="0" w:line="1" w:lineRule="exact"/>
        <w:rPr>
          <w:sz w:val="20"/>
          <w:szCs w:val="20"/>
          <w:color w:val="auto"/>
        </w:rPr>
      </w:pPr>
    </w:p>
    <w:p>
      <w:pPr>
        <w:ind w:left="9260"/>
        <w:spacing w:after="0"/>
        <w:rPr>
          <w:sz w:val="20"/>
          <w:szCs w:val="20"/>
          <w:color w:val="auto"/>
        </w:rPr>
      </w:pPr>
      <w:r>
        <w:rPr>
          <w:rFonts w:ascii="Arial" w:cs="Arial" w:eastAsia="Arial" w:hAnsi="Arial"/>
          <w:sz w:val="16"/>
          <w:szCs w:val="16"/>
          <w:color w:val="012E6C"/>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977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62" w:lineRule="exact"/>
        <w:rPr>
          <w:sz w:val="20"/>
          <w:szCs w:val="20"/>
          <w:color w:val="auto"/>
        </w:rPr>
      </w:pPr>
    </w:p>
    <w:p>
      <w:pPr>
        <w:ind w:left="160"/>
        <w:spacing w:after="0"/>
        <w:tabs>
          <w:tab w:leader="none" w:pos="1120" w:val="left"/>
        </w:tabs>
        <w:rPr>
          <w:sz w:val="20"/>
          <w:szCs w:val="20"/>
          <w:color w:val="auto"/>
        </w:rPr>
      </w:pPr>
      <w:r>
        <w:rPr>
          <w:rFonts w:ascii="Arial" w:cs="Arial" w:eastAsia="Arial" w:hAnsi="Arial"/>
          <w:sz w:val="36"/>
          <w:szCs w:val="36"/>
          <w:color w:val="002E6D"/>
          <w:vertAlign w:val="superscript"/>
        </w:rPr>
        <w:t>Proposal</w:t>
      </w:r>
      <w:r>
        <w:rPr>
          <w:sz w:val="20"/>
          <w:szCs w:val="20"/>
          <w:color w:val="auto"/>
        </w:rPr>
        <w:tab/>
      </w:r>
      <w:r>
        <w:rPr>
          <w:rFonts w:ascii="Arial" w:cs="Arial" w:eastAsia="Arial" w:hAnsi="Arial"/>
          <w:sz w:val="20"/>
          <w:szCs w:val="20"/>
          <w:color w:val="002E6D"/>
        </w:rPr>
        <w:t>Stockholder Proposal to Adopt Stockholder Action by Written Consent</w:t>
      </w:r>
    </w:p>
    <w:p>
      <w:pPr>
        <w:ind w:left="1140" w:hanging="689"/>
        <w:spacing w:after="0" w:line="183" w:lineRule="auto"/>
        <w:tabs>
          <w:tab w:leader="none" w:pos="1140" w:val="left"/>
        </w:tabs>
        <w:numPr>
          <w:ilvl w:val="0"/>
          <w:numId w:val="12"/>
        </w:numPr>
        <w:rPr>
          <w:rFonts w:ascii="Arial" w:cs="Arial" w:eastAsia="Arial" w:hAnsi="Arial"/>
          <w:sz w:val="42"/>
          <w:szCs w:val="42"/>
          <w:color w:val="002E6D"/>
          <w:vertAlign w:val="superscript"/>
        </w:rPr>
      </w:pPr>
      <w:r>
        <w:rPr>
          <w:rFonts w:ascii="Arial" w:cs="Arial" w:eastAsia="Arial" w:hAnsi="Arial"/>
          <w:sz w:val="16"/>
          <w:szCs w:val="16"/>
          <w:color w:val="002E6D"/>
        </w:rPr>
        <w:t>The Board recommends a vote AGAINST proposal 4.</w:t>
      </w:r>
    </w:p>
    <w:p>
      <w:pPr>
        <w:spacing w:after="0" w:line="120" w:lineRule="exact"/>
        <w:rPr>
          <w:sz w:val="20"/>
          <w:szCs w:val="20"/>
          <w:color w:val="auto"/>
        </w:rPr>
      </w:pPr>
    </w:p>
    <w:p>
      <w:pPr>
        <w:ind w:left="9260"/>
        <w:spacing w:after="0"/>
        <w:rPr>
          <w:sz w:val="20"/>
          <w:szCs w:val="20"/>
          <w:color w:val="auto"/>
        </w:rPr>
      </w:pPr>
      <w:r>
        <w:rPr>
          <w:rFonts w:ascii="Arial" w:cs="Arial" w:eastAsia="Arial" w:hAnsi="Arial"/>
          <w:sz w:val="16"/>
          <w:szCs w:val="16"/>
          <w:color w:val="002E6D"/>
        </w:rPr>
        <w:t>See pages 81-82 for</w:t>
      </w:r>
    </w:p>
    <w:p>
      <w:pPr>
        <w:ind w:left="9260"/>
        <w:spacing w:after="0"/>
        <w:rPr>
          <w:sz w:val="20"/>
          <w:szCs w:val="20"/>
          <w:color w:val="auto"/>
        </w:rPr>
      </w:pPr>
      <w:r>
        <w:rPr>
          <w:rFonts w:ascii="Arial" w:cs="Arial" w:eastAsia="Arial" w:hAnsi="Arial"/>
          <w:sz w:val="16"/>
          <w:szCs w:val="16"/>
          <w:color w:val="002E6D"/>
        </w:rPr>
        <w:t>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977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329" w:lineRule="exact"/>
        <w:rPr>
          <w:sz w:val="20"/>
          <w:szCs w:val="20"/>
          <w:color w:val="auto"/>
        </w:rPr>
      </w:pPr>
    </w:p>
    <w:p>
      <w:pPr>
        <w:ind w:left="160"/>
        <w:spacing w:after="0"/>
        <w:tabs>
          <w:tab w:leader="none" w:pos="1120" w:val="left"/>
        </w:tabs>
        <w:rPr>
          <w:sz w:val="20"/>
          <w:szCs w:val="20"/>
          <w:color w:val="auto"/>
        </w:rPr>
      </w:pPr>
      <w:r>
        <w:rPr>
          <w:rFonts w:ascii="Arial" w:cs="Arial" w:eastAsia="Arial" w:hAnsi="Arial"/>
          <w:sz w:val="36"/>
          <w:szCs w:val="36"/>
          <w:color w:val="002E6D"/>
          <w:vertAlign w:val="superscript"/>
        </w:rPr>
        <w:t>Proposal</w:t>
      </w:r>
      <w:r>
        <w:rPr>
          <w:sz w:val="20"/>
          <w:szCs w:val="20"/>
          <w:color w:val="auto"/>
        </w:rPr>
        <w:tab/>
      </w:r>
      <w:r>
        <w:rPr>
          <w:rFonts w:ascii="Arial" w:cs="Arial" w:eastAsia="Arial" w:hAnsi="Arial"/>
          <w:sz w:val="20"/>
          <w:szCs w:val="20"/>
          <w:color w:val="002E60"/>
        </w:rPr>
        <w:t>Stockholder Proposal to Issue a Report on Human Rights Due Diligence</w:t>
      </w:r>
    </w:p>
    <w:p>
      <w:pPr>
        <w:ind w:left="1140" w:hanging="689"/>
        <w:spacing w:after="0" w:line="183" w:lineRule="auto"/>
        <w:tabs>
          <w:tab w:leader="none" w:pos="1140" w:val="left"/>
        </w:tabs>
        <w:numPr>
          <w:ilvl w:val="0"/>
          <w:numId w:val="13"/>
        </w:numPr>
        <w:rPr>
          <w:rFonts w:ascii="Arial" w:cs="Arial" w:eastAsia="Arial" w:hAnsi="Arial"/>
          <w:sz w:val="42"/>
          <w:szCs w:val="42"/>
          <w:color w:val="002E6D"/>
          <w:vertAlign w:val="superscript"/>
        </w:rPr>
      </w:pPr>
      <w:r>
        <w:rPr>
          <w:rFonts w:ascii="Arial" w:cs="Arial" w:eastAsia="Arial" w:hAnsi="Arial"/>
          <w:sz w:val="16"/>
          <w:szCs w:val="16"/>
          <w:color w:val="002E6D"/>
        </w:rPr>
        <w:t>The Board recommends a vote AGAINST proposal 5.</w:t>
      </w:r>
    </w:p>
    <w:p>
      <w:pPr>
        <w:spacing w:after="0" w:line="120" w:lineRule="exact"/>
        <w:rPr>
          <w:sz w:val="20"/>
          <w:szCs w:val="20"/>
          <w:color w:val="auto"/>
        </w:rPr>
      </w:pPr>
    </w:p>
    <w:p>
      <w:pPr>
        <w:ind w:left="9260"/>
        <w:spacing w:after="0"/>
        <w:rPr>
          <w:sz w:val="20"/>
          <w:szCs w:val="20"/>
          <w:color w:val="auto"/>
        </w:rPr>
      </w:pPr>
      <w:r>
        <w:rPr>
          <w:rFonts w:ascii="Arial" w:cs="Arial" w:eastAsia="Arial" w:hAnsi="Arial"/>
          <w:sz w:val="16"/>
          <w:szCs w:val="16"/>
          <w:color w:val="002E6D"/>
        </w:rPr>
        <w:t>See pages 83-84 for</w:t>
      </w:r>
    </w:p>
    <w:p>
      <w:pPr>
        <w:ind w:left="9260"/>
        <w:spacing w:after="0"/>
        <w:rPr>
          <w:sz w:val="20"/>
          <w:szCs w:val="20"/>
          <w:color w:val="auto"/>
        </w:rPr>
      </w:pPr>
      <w:r>
        <w:rPr>
          <w:rFonts w:ascii="Arial" w:cs="Arial" w:eastAsia="Arial" w:hAnsi="Arial"/>
          <w:sz w:val="16"/>
          <w:szCs w:val="16"/>
          <w:color w:val="002E6D"/>
        </w:rPr>
        <w:t>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456565</wp:posOffset>
            </wp:positionV>
            <wp:extent cx="1688465" cy="2040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88465" cy="2040255"/>
                    </a:xfrm>
                    <a:prstGeom prst="rect">
                      <a:avLst/>
                    </a:prstGeom>
                    <a:noFill/>
                  </pic:spPr>
                </pic:pic>
              </a:graphicData>
            </a:graphic>
          </wp:anchor>
        </w:drawing>
      </w:r>
    </w:p>
    <w:p>
      <w:pPr>
        <w:sectPr>
          <w:pgSz w:w="11900" w:h="16838" w:orient="portrait"/>
          <w:cols w:equalWidth="0" w:num="1">
            <w:col w:w="11100"/>
          </w:cols>
          <w:pgMar w:left="320" w:top="1340" w:right="479" w:bottom="7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5"/>
          <w:szCs w:val="25"/>
          <w:color w:val="475C90"/>
        </w:rPr>
        <w:t>Stockholder Outreach</w:t>
      </w:r>
    </w:p>
    <w:p>
      <w:pPr>
        <w:spacing w:after="0" w:line="177" w:lineRule="exact"/>
        <w:rPr>
          <w:sz w:val="20"/>
          <w:szCs w:val="20"/>
          <w:color w:val="auto"/>
        </w:rPr>
      </w:pPr>
    </w:p>
    <w:p>
      <w:pPr>
        <w:ind w:left="20" w:right="40"/>
        <w:spacing w:after="0" w:line="266" w:lineRule="auto"/>
        <w:rPr>
          <w:sz w:val="20"/>
          <w:szCs w:val="20"/>
          <w:color w:val="auto"/>
        </w:rPr>
      </w:pPr>
      <w:r>
        <w:rPr>
          <w:rFonts w:ascii="Arial" w:cs="Arial" w:eastAsia="Arial" w:hAnsi="Arial"/>
          <w:sz w:val="17"/>
          <w:szCs w:val="17"/>
          <w:color w:val="auto"/>
        </w:rPr>
        <w:t>Lockheed Martin engages with a broad range of stockholders, including index funds, unions and public pension funds, actively-managed funds and socially-responsible investment funds, and proxy advisory firms. During 2020, we extended invitations to some of our largest investors, representing approximately 40 percent of our outstanding shares, and other significant stakeholders and invited them to engage on various topics including our 2020 leadership changes, board and workforce diversity, human capital management, executive compensation, and sustainability matters, including climate change. We engaged by telephone conference or written correspondence over 40 times with these investors and other stakeholders, including stockholders representing approximately 26 percent of our outstanding shares. Investors welcomed our year-round global outreach and expressed appreciation for our ongoing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488950</wp:posOffset>
            </wp:positionV>
            <wp:extent cx="96901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80"/>
        <w:spacing w:after="0"/>
        <w:rPr>
          <w:sz w:val="20"/>
          <w:szCs w:val="20"/>
          <w:color w:val="auto"/>
        </w:rPr>
      </w:pPr>
      <w:r>
        <w:rPr>
          <w:rFonts w:ascii="Arial" w:cs="Arial" w:eastAsia="Arial" w:hAnsi="Arial"/>
          <w:sz w:val="21"/>
          <w:szCs w:val="21"/>
          <w:b w:val="1"/>
          <w:bCs w:val="1"/>
          <w:color w:val="002E6D"/>
        </w:rPr>
        <w:t>40+</w:t>
      </w:r>
    </w:p>
    <w:p>
      <w:pPr>
        <w:spacing w:after="0" w:line="10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Engagements</w:t>
      </w:r>
    </w:p>
    <w:p>
      <w:pPr>
        <w:spacing w:after="0" w:line="181" w:lineRule="exact"/>
        <w:rPr>
          <w:sz w:val="20"/>
          <w:szCs w:val="20"/>
          <w:color w:val="auto"/>
        </w:rPr>
      </w:pPr>
    </w:p>
    <w:p>
      <w:pPr>
        <w:jc w:val="center"/>
        <w:ind w:right="280"/>
        <w:spacing w:after="0"/>
        <w:rPr>
          <w:sz w:val="20"/>
          <w:szCs w:val="20"/>
          <w:color w:val="auto"/>
        </w:rPr>
      </w:pPr>
      <w:r>
        <w:rPr>
          <w:rFonts w:ascii="Arial" w:cs="Arial" w:eastAsia="Arial" w:hAnsi="Arial"/>
          <w:sz w:val="21"/>
          <w:szCs w:val="21"/>
          <w:b w:val="1"/>
          <w:bCs w:val="1"/>
          <w:color w:val="012E6C"/>
        </w:rPr>
        <w:t>30+</w:t>
      </w:r>
    </w:p>
    <w:p>
      <w:pPr>
        <w:spacing w:after="0" w:line="10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Stockholders</w:t>
      </w:r>
    </w:p>
    <w:p>
      <w:pPr>
        <w:spacing w:after="0" w:line="181" w:lineRule="exact"/>
        <w:rPr>
          <w:sz w:val="20"/>
          <w:szCs w:val="20"/>
          <w:color w:val="auto"/>
        </w:rPr>
      </w:pPr>
    </w:p>
    <w:p>
      <w:pPr>
        <w:jc w:val="center"/>
        <w:ind w:right="280"/>
        <w:spacing w:after="0"/>
        <w:rPr>
          <w:sz w:val="20"/>
          <w:szCs w:val="20"/>
          <w:color w:val="auto"/>
        </w:rPr>
      </w:pPr>
      <w:r>
        <w:rPr>
          <w:rFonts w:ascii="Arial" w:cs="Arial" w:eastAsia="Arial" w:hAnsi="Arial"/>
          <w:sz w:val="21"/>
          <w:szCs w:val="21"/>
          <w:b w:val="1"/>
          <w:bCs w:val="1"/>
          <w:color w:val="012E6C"/>
        </w:rPr>
        <w:t>26%</w:t>
      </w:r>
    </w:p>
    <w:p>
      <w:pPr>
        <w:spacing w:after="0" w:line="100"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Outstanding Stock (as of</w:t>
      </w:r>
    </w:p>
    <w:p>
      <w:pPr>
        <w:jc w:val="center"/>
        <w:ind w:right="280"/>
        <w:spacing w:after="0"/>
        <w:rPr>
          <w:sz w:val="20"/>
          <w:szCs w:val="20"/>
          <w:color w:val="auto"/>
        </w:rPr>
      </w:pPr>
      <w:r>
        <w:rPr>
          <w:rFonts w:ascii="Arial" w:cs="Arial" w:eastAsia="Arial" w:hAnsi="Arial"/>
          <w:sz w:val="16"/>
          <w:szCs w:val="16"/>
          <w:color w:val="auto"/>
        </w:rPr>
        <w:t>December 31, 2020)</w:t>
      </w:r>
    </w:p>
    <w:p>
      <w:pPr>
        <w:spacing w:after="0" w:line="391" w:lineRule="exact"/>
        <w:rPr>
          <w:sz w:val="20"/>
          <w:szCs w:val="20"/>
          <w:color w:val="auto"/>
        </w:rPr>
      </w:pPr>
    </w:p>
    <w:p>
      <w:pPr>
        <w:sectPr>
          <w:pgSz w:w="11900" w:h="16838" w:orient="portrait"/>
          <w:cols w:equalWidth="0" w:num="2">
            <w:col w:w="8320" w:space="720"/>
            <w:col w:w="2060"/>
          </w:cols>
          <w:pgMar w:left="320" w:top="1340" w:right="479" w:bottom="7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6</w:t>
      </w:r>
    </w:p>
    <w:p>
      <w:pPr>
        <w:sectPr>
          <w:pgSz w:w="11900" w:h="16838" w:orient="portrait"/>
          <w:cols w:equalWidth="0" w:num="1">
            <w:col w:w="11100"/>
          </w:cols>
          <w:pgMar w:left="320" w:top="1340" w:right="479" w:bottom="7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5"/>
          <w:szCs w:val="15"/>
          <w:color w:val="003478"/>
        </w:rPr>
        <w:t>Proxy Statement Summary</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Corporate Governance Highlights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475C90"/>
        </w:rPr>
        <w:t>Board Composition, Committees, Skills and Qualifications</w:t>
      </w:r>
    </w:p>
    <w:p>
      <w:pPr>
        <w:spacing w:after="0" w:line="266" w:lineRule="exact"/>
        <w:rPr>
          <w:sz w:val="20"/>
          <w:szCs w:val="20"/>
          <w:color w:val="auto"/>
        </w:rPr>
      </w:pPr>
    </w:p>
    <w:p>
      <w:pPr>
        <w:ind w:left="20" w:right="360"/>
        <w:spacing w:after="0" w:line="253" w:lineRule="auto"/>
        <w:rPr>
          <w:sz w:val="20"/>
          <w:szCs w:val="20"/>
          <w:color w:val="auto"/>
        </w:rPr>
      </w:pPr>
      <w:r>
        <w:rPr>
          <w:rFonts w:ascii="Arial" w:cs="Arial" w:eastAsia="Arial" w:hAnsi="Arial"/>
          <w:sz w:val="16"/>
          <w:szCs w:val="16"/>
          <w:color w:val="auto"/>
        </w:rPr>
        <w:t>The Board carefully reviews its composition to ensure it has the right mix of people with diverse perspectives, business and professional experiences as well as professional integrity, sound judgment and collegiality. The Board seeks to identify candidates with knowledge or experience that will expand or complement its existing expertise to ensure the Board is aligned to the Corporation's future strategic challenges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23495</wp:posOffset>
            </wp:positionV>
            <wp:extent cx="2417445" cy="6111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17445" cy="6111875"/>
                    </a:xfrm>
                    <a:prstGeom prst="rect">
                      <a:avLst/>
                    </a:prstGeom>
                    <a:noFill/>
                  </pic:spPr>
                </pic:pic>
              </a:graphicData>
            </a:graphic>
          </wp:anchor>
        </w:drawing>
      </w:r>
    </w:p>
    <w:p>
      <w:pPr>
        <w:spacing w:after="0" w:line="38" w:lineRule="exact"/>
        <w:rPr>
          <w:sz w:val="20"/>
          <w:szCs w:val="20"/>
          <w:color w:val="auto"/>
        </w:rPr>
      </w:pPr>
    </w:p>
    <w:tbl>
      <w:tblPr>
        <w:tblLayout w:type="fixed"/>
        <w:tblInd w:w="880" w:type="dxa"/>
        <w:tblCellMar>
          <w:top w:w="0" w:type="dxa"/>
          <w:left w:w="0" w:type="dxa"/>
          <w:bottom w:w="0" w:type="dxa"/>
          <w:right w:w="0" w:type="dxa"/>
        </w:tblCellMar>
      </w:tblPr>
      <w:tr>
        <w:trPr>
          <w:trHeight w:val="152"/>
        </w:trPr>
        <w:tc>
          <w:tcPr>
            <w:tcW w:w="460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color w:val="002F6C"/>
              </w:rPr>
              <w:t>Lockheed Martin Committees</w:t>
            </w:r>
          </w:p>
        </w:tc>
        <w:tc>
          <w:tcPr>
            <w:tcW w:w="0" w:type="dxa"/>
            <w:vAlign w:val="bottom"/>
          </w:tcPr>
          <w:p>
            <w:pPr>
              <w:spacing w:after="0"/>
              <w:rPr>
                <w:sz w:val="1"/>
                <w:szCs w:val="1"/>
                <w:color w:val="auto"/>
              </w:rPr>
            </w:pPr>
          </w:p>
        </w:tc>
      </w:tr>
      <w:tr>
        <w:trPr>
          <w:trHeight w:val="185"/>
        </w:trPr>
        <w:tc>
          <w:tcPr>
            <w:tcW w:w="4600" w:type="dxa"/>
            <w:vAlign w:val="bottom"/>
            <w:vMerge w:val="restart"/>
          </w:tcPr>
          <w:p>
            <w:pPr>
              <w:spacing w:after="0"/>
              <w:rPr>
                <w:sz w:val="20"/>
                <w:szCs w:val="20"/>
                <w:color w:val="auto"/>
              </w:rPr>
            </w:pPr>
            <w:r>
              <w:rPr>
                <w:rFonts w:ascii="Arial" w:cs="Arial" w:eastAsia="Arial" w:hAnsi="Arial"/>
                <w:sz w:val="13"/>
                <w:szCs w:val="13"/>
                <w:color w:val="002F6C"/>
              </w:rPr>
              <w:t>Name, Age, Independence, Position and Other Public Boards</w:t>
            </w:r>
          </w:p>
        </w:tc>
        <w:tc>
          <w:tcPr>
            <w:tcW w:w="400" w:type="dxa"/>
            <w:vAlign w:val="bottom"/>
            <w:tcBorders>
              <w:bottom w:val="single" w:sz="8" w:color="002F6C"/>
            </w:tcBorders>
          </w:tcPr>
          <w:p>
            <w:pPr>
              <w:spacing w:after="0"/>
              <w:rPr>
                <w:sz w:val="16"/>
                <w:szCs w:val="16"/>
                <w:color w:val="auto"/>
              </w:rPr>
            </w:pPr>
          </w:p>
        </w:tc>
        <w:tc>
          <w:tcPr>
            <w:tcW w:w="1380" w:type="dxa"/>
            <w:vAlign w:val="bottom"/>
            <w:tcBorders>
              <w:bottom w:val="single" w:sz="8" w:color="002F6C"/>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002F6C"/>
              </w:rPr>
              <w:t>A</w:t>
            </w:r>
          </w:p>
        </w:tc>
        <w:tc>
          <w:tcPr>
            <w:tcW w:w="1380" w:type="dxa"/>
            <w:vAlign w:val="bottom"/>
          </w:tcPr>
          <w:p>
            <w:pPr>
              <w:ind w:left="140"/>
              <w:spacing w:after="0"/>
              <w:rPr>
                <w:sz w:val="20"/>
                <w:szCs w:val="20"/>
                <w:color w:val="auto"/>
              </w:rPr>
            </w:pPr>
            <w:r>
              <w:rPr>
                <w:rFonts w:ascii="Arial" w:cs="Arial" w:eastAsia="Arial" w:hAnsi="Arial"/>
                <w:sz w:val="13"/>
                <w:szCs w:val="13"/>
                <w:color w:val="002F6C"/>
              </w:rPr>
              <w:t>CBS   MDC   NCG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603115" cy="5709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03115" cy="5709285"/>
                    </a:xfrm>
                    <a:prstGeom prst="rect">
                      <a:avLst/>
                    </a:prstGeom>
                    <a:noFill/>
                  </pic:spPr>
                </pic:pic>
              </a:graphicData>
            </a:graphic>
          </wp:anchor>
        </w:drawing>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20" w:type="dxa"/>
            <w:vAlign w:val="bottom"/>
          </w:tcPr>
          <w:p>
            <w:pPr>
              <w:spacing w:after="0"/>
              <w:rPr>
                <w:sz w:val="15"/>
                <w:szCs w:val="15"/>
                <w:color w:val="auto"/>
              </w:rPr>
            </w:pPr>
          </w:p>
        </w:tc>
        <w:tc>
          <w:tcPr>
            <w:tcW w:w="5060" w:type="dxa"/>
            <w:vAlign w:val="bottom"/>
          </w:tcPr>
          <w:p>
            <w:pPr>
              <w:ind w:left="440"/>
              <w:spacing w:after="0"/>
              <w:rPr>
                <w:sz w:val="20"/>
                <w:szCs w:val="20"/>
                <w:color w:val="auto"/>
              </w:rPr>
            </w:pPr>
            <w:r>
              <w:rPr>
                <w:rFonts w:ascii="Arial" w:cs="Arial" w:eastAsia="Arial" w:hAnsi="Arial"/>
                <w:sz w:val="14"/>
                <w:szCs w:val="14"/>
                <w:b w:val="1"/>
                <w:bCs w:val="1"/>
                <w:color w:val="002F6C"/>
              </w:rPr>
              <w:t xml:space="preserve">Daniel F. Akerson, </w:t>
            </w:r>
            <w:r>
              <w:rPr>
                <w:rFonts w:ascii="Arial" w:cs="Arial" w:eastAsia="Arial" w:hAnsi="Arial"/>
                <w:sz w:val="14"/>
                <w:szCs w:val="14"/>
                <w:color w:val="002F6C"/>
              </w:rPr>
              <w:t>72,</w:t>
            </w:r>
            <w:r>
              <w:rPr>
                <w:rFonts w:ascii="Arial" w:cs="Arial" w:eastAsia="Arial" w:hAnsi="Arial"/>
                <w:sz w:val="14"/>
                <w:szCs w:val="14"/>
                <w:b w:val="1"/>
                <w:bCs w:val="1"/>
                <w:color w:val="002F6C"/>
              </w:rPr>
              <w:t xml:space="preserve"> </w:t>
            </w:r>
            <w:r>
              <w:rPr>
                <w:rFonts w:ascii="Arial" w:cs="Arial" w:eastAsia="Arial" w:hAnsi="Arial"/>
                <w:sz w:val="14"/>
                <w:szCs w:val="14"/>
                <w:b w:val="1"/>
                <w:bCs w:val="1"/>
                <w:color w:val="646363"/>
              </w:rPr>
              <w:t>Independent Lead Director</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Retired Chairman &amp; CEO, General Motors Company</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4"/>
        </w:trPr>
        <w:tc>
          <w:tcPr>
            <w:tcW w:w="420" w:type="dxa"/>
            <w:vAlign w:val="bottom"/>
          </w:tcPr>
          <w:p>
            <w:pPr>
              <w:spacing w:after="0"/>
              <w:rPr>
                <w:sz w:val="24"/>
                <w:szCs w:val="24"/>
                <w:color w:val="auto"/>
              </w:rPr>
            </w:pPr>
          </w:p>
        </w:tc>
        <w:tc>
          <w:tcPr>
            <w:tcW w:w="5060" w:type="dxa"/>
            <w:vAlign w:val="bottom"/>
          </w:tcPr>
          <w:p>
            <w:pPr>
              <w:ind w:left="440"/>
              <w:spacing w:after="0"/>
              <w:rPr>
                <w:sz w:val="20"/>
                <w:szCs w:val="20"/>
                <w:color w:val="auto"/>
              </w:rPr>
            </w:pPr>
            <w:r>
              <w:rPr>
                <w:rFonts w:ascii="Arial" w:cs="Arial" w:eastAsia="Arial" w:hAnsi="Arial"/>
                <w:sz w:val="14"/>
                <w:szCs w:val="14"/>
                <w:b w:val="1"/>
                <w:bCs w:val="1"/>
                <w:color w:val="002F6C"/>
              </w:rPr>
              <w:t xml:space="preserve">David B. Burritt, </w:t>
            </w:r>
            <w:r>
              <w:rPr>
                <w:rFonts w:ascii="Arial" w:cs="Arial" w:eastAsia="Arial" w:hAnsi="Arial"/>
                <w:sz w:val="14"/>
                <w:szCs w:val="14"/>
                <w:color w:val="002F6C"/>
              </w:rPr>
              <w:t>65,</w:t>
            </w:r>
            <w:r>
              <w:rPr>
                <w:rFonts w:ascii="Arial" w:cs="Arial" w:eastAsia="Arial" w:hAnsi="Arial"/>
                <w:sz w:val="14"/>
                <w:szCs w:val="14"/>
                <w:b w:val="1"/>
                <w:bCs w:val="1"/>
                <w:color w:val="002F6C"/>
              </w:rPr>
              <w:t xml:space="preserve"> </w:t>
            </w:r>
            <w:r>
              <w:rPr>
                <w:rFonts w:ascii="Arial" w:cs="Arial" w:eastAsia="Arial" w:hAnsi="Arial"/>
                <w:sz w:val="14"/>
                <w:szCs w:val="14"/>
                <w:b w:val="1"/>
                <w:bCs w:val="1"/>
                <w:color w:val="646363"/>
              </w:rPr>
              <w:t>Independent</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060" w:type="dxa"/>
            <w:vAlign w:val="bottom"/>
          </w:tcPr>
          <w:p>
            <w:pPr>
              <w:ind w:left="440"/>
              <w:spacing w:after="0" w:line="148" w:lineRule="exact"/>
              <w:rPr>
                <w:sz w:val="20"/>
                <w:szCs w:val="20"/>
                <w:color w:val="auto"/>
              </w:rPr>
            </w:pPr>
            <w:r>
              <w:rPr>
                <w:rFonts w:ascii="Arial" w:cs="Arial" w:eastAsia="Arial" w:hAnsi="Arial"/>
                <w:sz w:val="14"/>
                <w:szCs w:val="14"/>
                <w:color w:val="auto"/>
              </w:rPr>
              <w:t>President &amp; CEO, United States Steel Corporation (U.S. Steel)</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Director at U.S. Steel</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2"/>
        </w:trPr>
        <w:tc>
          <w:tcPr>
            <w:tcW w:w="420" w:type="dxa"/>
            <w:vAlign w:val="bottom"/>
          </w:tcPr>
          <w:p>
            <w:pPr>
              <w:spacing w:after="0"/>
              <w:rPr>
                <w:sz w:val="24"/>
                <w:szCs w:val="24"/>
                <w:color w:val="auto"/>
              </w:rPr>
            </w:pPr>
          </w:p>
        </w:tc>
        <w:tc>
          <w:tcPr>
            <w:tcW w:w="5060" w:type="dxa"/>
            <w:vAlign w:val="bottom"/>
          </w:tcPr>
          <w:p>
            <w:pPr>
              <w:ind w:left="440"/>
              <w:spacing w:after="0"/>
              <w:rPr>
                <w:sz w:val="20"/>
                <w:szCs w:val="20"/>
                <w:color w:val="auto"/>
              </w:rPr>
            </w:pPr>
            <w:r>
              <w:rPr>
                <w:rFonts w:ascii="Arial" w:cs="Arial" w:eastAsia="Arial" w:hAnsi="Arial"/>
                <w:sz w:val="14"/>
                <w:szCs w:val="14"/>
                <w:b w:val="1"/>
                <w:bCs w:val="1"/>
                <w:color w:val="002F6C"/>
              </w:rPr>
              <w:t xml:space="preserve">Bruce A. Carlson, </w:t>
            </w:r>
            <w:r>
              <w:rPr>
                <w:rFonts w:ascii="Arial" w:cs="Arial" w:eastAsia="Arial" w:hAnsi="Arial"/>
                <w:sz w:val="14"/>
                <w:szCs w:val="14"/>
                <w:color w:val="002F6C"/>
              </w:rPr>
              <w:t>71,</w:t>
            </w:r>
            <w:r>
              <w:rPr>
                <w:rFonts w:ascii="Arial" w:cs="Arial" w:eastAsia="Arial" w:hAnsi="Arial"/>
                <w:sz w:val="14"/>
                <w:szCs w:val="14"/>
                <w:b w:val="1"/>
                <w:bCs w:val="1"/>
                <w:color w:val="002F6C"/>
              </w:rPr>
              <w:t xml:space="preserve"> </w:t>
            </w:r>
            <w:r>
              <w:rPr>
                <w:rFonts w:ascii="Arial" w:cs="Arial" w:eastAsia="Arial" w:hAnsi="Arial"/>
                <w:sz w:val="14"/>
                <w:szCs w:val="14"/>
                <w:b w:val="1"/>
                <w:bCs w:val="1"/>
                <w:color w:val="646363"/>
              </w:rPr>
              <w:t>Independent</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060" w:type="dxa"/>
            <w:vAlign w:val="bottom"/>
          </w:tcPr>
          <w:p>
            <w:pPr>
              <w:ind w:left="440"/>
              <w:spacing w:after="0" w:line="148" w:lineRule="exact"/>
              <w:rPr>
                <w:sz w:val="20"/>
                <w:szCs w:val="20"/>
                <w:color w:val="auto"/>
              </w:rPr>
            </w:pPr>
            <w:r>
              <w:rPr>
                <w:rFonts w:ascii="Arial" w:cs="Arial" w:eastAsia="Arial" w:hAnsi="Arial"/>
                <w:sz w:val="14"/>
                <w:szCs w:val="14"/>
                <w:color w:val="auto"/>
              </w:rPr>
              <w:t>Retired United States Air Force General</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Director at Benchmark Electronics Inc. (Audit)</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2"/>
        </w:trPr>
        <w:tc>
          <w:tcPr>
            <w:tcW w:w="420" w:type="dxa"/>
            <w:vAlign w:val="bottom"/>
          </w:tcPr>
          <w:p>
            <w:pPr>
              <w:spacing w:after="0"/>
              <w:rPr>
                <w:sz w:val="24"/>
                <w:szCs w:val="24"/>
                <w:color w:val="auto"/>
              </w:rPr>
            </w:pPr>
          </w:p>
        </w:tc>
        <w:tc>
          <w:tcPr>
            <w:tcW w:w="5060" w:type="dxa"/>
            <w:vAlign w:val="bottom"/>
          </w:tcPr>
          <w:p>
            <w:pPr>
              <w:ind w:left="440"/>
              <w:spacing w:after="0"/>
              <w:rPr>
                <w:sz w:val="20"/>
                <w:szCs w:val="20"/>
                <w:color w:val="auto"/>
              </w:rPr>
            </w:pPr>
            <w:r>
              <w:rPr>
                <w:rFonts w:ascii="Arial" w:cs="Arial" w:eastAsia="Arial" w:hAnsi="Arial"/>
                <w:sz w:val="14"/>
                <w:szCs w:val="14"/>
                <w:b w:val="1"/>
                <w:bCs w:val="1"/>
                <w:color w:val="002F6C"/>
              </w:rPr>
              <w:t xml:space="preserve">Joseph F. Dunford, Jr., </w:t>
            </w:r>
            <w:r>
              <w:rPr>
                <w:rFonts w:ascii="Arial" w:cs="Arial" w:eastAsia="Arial" w:hAnsi="Arial"/>
                <w:sz w:val="14"/>
                <w:szCs w:val="14"/>
                <w:color w:val="002F6C"/>
              </w:rPr>
              <w:t>65,</w:t>
            </w:r>
            <w:r>
              <w:rPr>
                <w:rFonts w:ascii="Arial" w:cs="Arial" w:eastAsia="Arial" w:hAnsi="Arial"/>
                <w:sz w:val="14"/>
                <w:szCs w:val="14"/>
                <w:b w:val="1"/>
                <w:bCs w:val="1"/>
                <w:color w:val="002F6C"/>
              </w:rPr>
              <w:t xml:space="preserve"> </w:t>
            </w:r>
            <w:r>
              <w:rPr>
                <w:rFonts w:ascii="Arial" w:cs="Arial" w:eastAsia="Arial" w:hAnsi="Arial"/>
                <w:sz w:val="14"/>
                <w:szCs w:val="14"/>
                <w:b w:val="1"/>
                <w:bCs w:val="1"/>
                <w:color w:val="646363"/>
              </w:rPr>
              <w:t>Independent</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Retired United States Marine Corps General;</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Former Chairman of the Joint Chiefs of Staff</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2"/>
        </w:trPr>
        <w:tc>
          <w:tcPr>
            <w:tcW w:w="420" w:type="dxa"/>
            <w:vAlign w:val="bottom"/>
          </w:tcPr>
          <w:p>
            <w:pPr>
              <w:spacing w:after="0"/>
              <w:rPr>
                <w:sz w:val="24"/>
                <w:szCs w:val="24"/>
                <w:color w:val="auto"/>
              </w:rPr>
            </w:pPr>
          </w:p>
        </w:tc>
        <w:tc>
          <w:tcPr>
            <w:tcW w:w="5060" w:type="dxa"/>
            <w:vAlign w:val="bottom"/>
          </w:tcPr>
          <w:p>
            <w:pPr>
              <w:ind w:left="440"/>
              <w:spacing w:after="0"/>
              <w:rPr>
                <w:sz w:val="20"/>
                <w:szCs w:val="20"/>
                <w:color w:val="auto"/>
              </w:rPr>
            </w:pPr>
            <w:r>
              <w:rPr>
                <w:rFonts w:ascii="Arial" w:cs="Arial" w:eastAsia="Arial" w:hAnsi="Arial"/>
                <w:sz w:val="14"/>
                <w:szCs w:val="14"/>
                <w:b w:val="1"/>
                <w:bCs w:val="1"/>
                <w:color w:val="002F6C"/>
              </w:rPr>
              <w:t xml:space="preserve">James O. Ellis, Jr., </w:t>
            </w:r>
            <w:r>
              <w:rPr>
                <w:rFonts w:ascii="Arial" w:cs="Arial" w:eastAsia="Arial" w:hAnsi="Arial"/>
                <w:sz w:val="14"/>
                <w:szCs w:val="14"/>
                <w:color w:val="002F6C"/>
              </w:rPr>
              <w:t>73,</w:t>
            </w:r>
            <w:r>
              <w:rPr>
                <w:rFonts w:ascii="Arial" w:cs="Arial" w:eastAsia="Arial" w:hAnsi="Arial"/>
                <w:sz w:val="14"/>
                <w:szCs w:val="14"/>
                <w:b w:val="1"/>
                <w:bCs w:val="1"/>
                <w:color w:val="002F6C"/>
              </w:rPr>
              <w:t xml:space="preserve"> </w:t>
            </w:r>
            <w:r>
              <w:rPr>
                <w:rFonts w:ascii="Arial" w:cs="Arial" w:eastAsia="Arial" w:hAnsi="Arial"/>
                <w:sz w:val="14"/>
                <w:szCs w:val="14"/>
                <w:b w:val="1"/>
                <w:bCs w:val="1"/>
                <w:color w:val="646363"/>
              </w:rPr>
              <w:t>Independent</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060" w:type="dxa"/>
            <w:vAlign w:val="bottom"/>
          </w:tcPr>
          <w:p>
            <w:pPr>
              <w:ind w:left="440"/>
              <w:spacing w:after="0" w:line="148" w:lineRule="exact"/>
              <w:rPr>
                <w:sz w:val="20"/>
                <w:szCs w:val="20"/>
                <w:color w:val="auto"/>
              </w:rPr>
            </w:pPr>
            <w:r>
              <w:rPr>
                <w:rFonts w:ascii="Arial" w:cs="Arial" w:eastAsia="Arial" w:hAnsi="Arial"/>
                <w:sz w:val="14"/>
                <w:szCs w:val="14"/>
                <w:color w:val="auto"/>
              </w:rPr>
              <w:t>Retired President &amp; CEO, Institute of Nuclear Power Operations</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Director at Dominion Energy, Inc. (Finance &amp; Risk Oversight; Audit)</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2"/>
        </w:trPr>
        <w:tc>
          <w:tcPr>
            <w:tcW w:w="420" w:type="dxa"/>
            <w:vAlign w:val="bottom"/>
          </w:tcPr>
          <w:p>
            <w:pPr>
              <w:spacing w:after="0"/>
              <w:rPr>
                <w:sz w:val="24"/>
                <w:szCs w:val="24"/>
                <w:color w:val="auto"/>
              </w:rPr>
            </w:pPr>
          </w:p>
        </w:tc>
        <w:tc>
          <w:tcPr>
            <w:tcW w:w="5060" w:type="dxa"/>
            <w:vAlign w:val="bottom"/>
          </w:tcPr>
          <w:p>
            <w:pPr>
              <w:ind w:left="440"/>
              <w:spacing w:after="0"/>
              <w:rPr>
                <w:sz w:val="20"/>
                <w:szCs w:val="20"/>
                <w:color w:val="auto"/>
              </w:rPr>
            </w:pPr>
            <w:r>
              <w:rPr>
                <w:rFonts w:ascii="Arial" w:cs="Arial" w:eastAsia="Arial" w:hAnsi="Arial"/>
                <w:sz w:val="14"/>
                <w:szCs w:val="14"/>
                <w:b w:val="1"/>
                <w:bCs w:val="1"/>
                <w:color w:val="002F6C"/>
              </w:rPr>
              <w:t xml:space="preserve">Thomas J. Falk, </w:t>
            </w:r>
            <w:r>
              <w:rPr>
                <w:rFonts w:ascii="Arial" w:cs="Arial" w:eastAsia="Arial" w:hAnsi="Arial"/>
                <w:sz w:val="14"/>
                <w:szCs w:val="14"/>
                <w:color w:val="002F6C"/>
              </w:rPr>
              <w:t>62,</w:t>
            </w:r>
            <w:r>
              <w:rPr>
                <w:rFonts w:ascii="Arial" w:cs="Arial" w:eastAsia="Arial" w:hAnsi="Arial"/>
                <w:sz w:val="14"/>
                <w:szCs w:val="14"/>
                <w:b w:val="1"/>
                <w:bCs w:val="1"/>
                <w:color w:val="002F6C"/>
              </w:rPr>
              <w:t xml:space="preserve"> </w:t>
            </w:r>
            <w:r>
              <w:rPr>
                <w:rFonts w:ascii="Arial" w:cs="Arial" w:eastAsia="Arial" w:hAnsi="Arial"/>
                <w:sz w:val="14"/>
                <w:szCs w:val="14"/>
                <w:b w:val="1"/>
                <w:bCs w:val="1"/>
                <w:color w:val="646363"/>
              </w:rPr>
              <w:t>Independent</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Retired Chairman &amp; CEO, Kimberly-Clark Corporation</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4"/>
        </w:trPr>
        <w:tc>
          <w:tcPr>
            <w:tcW w:w="420" w:type="dxa"/>
            <w:vAlign w:val="bottom"/>
          </w:tcPr>
          <w:p>
            <w:pPr>
              <w:spacing w:after="0"/>
              <w:rPr>
                <w:sz w:val="24"/>
                <w:szCs w:val="24"/>
                <w:color w:val="auto"/>
              </w:rPr>
            </w:pPr>
          </w:p>
        </w:tc>
        <w:tc>
          <w:tcPr>
            <w:tcW w:w="5060" w:type="dxa"/>
            <w:vAlign w:val="bottom"/>
          </w:tcPr>
          <w:p>
            <w:pPr>
              <w:ind w:left="440"/>
              <w:spacing w:after="0"/>
              <w:rPr>
                <w:sz w:val="20"/>
                <w:szCs w:val="20"/>
                <w:color w:val="auto"/>
              </w:rPr>
            </w:pPr>
            <w:r>
              <w:rPr>
                <w:rFonts w:ascii="Arial" w:cs="Arial" w:eastAsia="Arial" w:hAnsi="Arial"/>
                <w:sz w:val="14"/>
                <w:szCs w:val="14"/>
                <w:b w:val="1"/>
                <w:bCs w:val="1"/>
                <w:color w:val="002F6C"/>
              </w:rPr>
              <w:t xml:space="preserve">Ilene S. Gordon, </w:t>
            </w:r>
            <w:r>
              <w:rPr>
                <w:rFonts w:ascii="Arial" w:cs="Arial" w:eastAsia="Arial" w:hAnsi="Arial"/>
                <w:sz w:val="14"/>
                <w:szCs w:val="14"/>
                <w:color w:val="002F6C"/>
              </w:rPr>
              <w:t>67,</w:t>
            </w:r>
            <w:r>
              <w:rPr>
                <w:rFonts w:ascii="Arial" w:cs="Arial" w:eastAsia="Arial" w:hAnsi="Arial"/>
                <w:sz w:val="14"/>
                <w:szCs w:val="14"/>
                <w:b w:val="1"/>
                <w:bCs w:val="1"/>
                <w:color w:val="002F6C"/>
              </w:rPr>
              <w:t xml:space="preserve"> </w:t>
            </w:r>
            <w:r>
              <w:rPr>
                <w:rFonts w:ascii="Arial" w:cs="Arial" w:eastAsia="Arial" w:hAnsi="Arial"/>
                <w:sz w:val="14"/>
                <w:szCs w:val="14"/>
                <w:b w:val="1"/>
                <w:bCs w:val="1"/>
                <w:color w:val="646363"/>
              </w:rPr>
              <w:t>Independent</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060" w:type="dxa"/>
            <w:vAlign w:val="bottom"/>
          </w:tcPr>
          <w:p>
            <w:pPr>
              <w:ind w:left="440"/>
              <w:spacing w:after="0" w:line="148" w:lineRule="exact"/>
              <w:rPr>
                <w:sz w:val="20"/>
                <w:szCs w:val="20"/>
                <w:color w:val="auto"/>
              </w:rPr>
            </w:pPr>
            <w:r>
              <w:rPr>
                <w:rFonts w:ascii="Arial" w:cs="Arial" w:eastAsia="Arial" w:hAnsi="Arial"/>
                <w:sz w:val="14"/>
                <w:szCs w:val="14"/>
                <w:color w:val="auto"/>
              </w:rPr>
              <w:t>Retired Chairman &amp; CEO, Ingredion Incorporated</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Director at International Paper Company (Presiding Director;</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060" w:type="dxa"/>
            <w:vAlign w:val="bottom"/>
          </w:tcPr>
          <w:p>
            <w:pPr>
              <w:ind w:left="440"/>
              <w:spacing w:after="0"/>
              <w:rPr>
                <w:sz w:val="20"/>
                <w:szCs w:val="20"/>
                <w:color w:val="auto"/>
              </w:rPr>
            </w:pPr>
            <w:r>
              <w:rPr>
                <w:rFonts w:ascii="Arial" w:cs="Arial" w:eastAsia="Arial" w:hAnsi="Arial"/>
                <w:sz w:val="14"/>
                <w:szCs w:val="14"/>
                <w:i w:val="1"/>
                <w:iCs w:val="1"/>
                <w:color w:val="auto"/>
              </w:rPr>
              <w:t>Governance Chair; Management Development &amp; Compensation);</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5060" w:type="dxa"/>
            <w:vAlign w:val="bottom"/>
          </w:tcPr>
          <w:p>
            <w:pPr>
              <w:ind w:left="440"/>
              <w:spacing w:after="0"/>
              <w:rPr>
                <w:sz w:val="20"/>
                <w:szCs w:val="20"/>
                <w:color w:val="auto"/>
              </w:rPr>
            </w:pPr>
            <w:r>
              <w:rPr>
                <w:rFonts w:ascii="Arial" w:cs="Arial" w:eastAsia="Arial" w:hAnsi="Arial"/>
                <w:sz w:val="14"/>
                <w:szCs w:val="14"/>
                <w:i w:val="1"/>
                <w:iCs w:val="1"/>
                <w:color w:val="auto"/>
              </w:rPr>
              <w:t>International Flavors &amp; Fragrances, Inc. (Compensation)</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20" w:type="dxa"/>
            <w:vAlign w:val="bottom"/>
          </w:tcPr>
          <w:p>
            <w:pPr>
              <w:spacing w:after="0"/>
              <w:rPr>
                <w:sz w:val="21"/>
                <w:szCs w:val="21"/>
                <w:color w:val="auto"/>
              </w:rPr>
            </w:pPr>
          </w:p>
        </w:tc>
        <w:tc>
          <w:tcPr>
            <w:tcW w:w="5060" w:type="dxa"/>
            <w:vAlign w:val="bottom"/>
          </w:tcPr>
          <w:p>
            <w:pPr>
              <w:ind w:left="440"/>
              <w:spacing w:after="0"/>
              <w:rPr>
                <w:sz w:val="20"/>
                <w:szCs w:val="20"/>
                <w:color w:val="auto"/>
              </w:rPr>
            </w:pPr>
            <w:r>
              <w:rPr>
                <w:rFonts w:ascii="Arial" w:cs="Arial" w:eastAsia="Arial" w:hAnsi="Arial"/>
                <w:sz w:val="14"/>
                <w:szCs w:val="14"/>
                <w:b w:val="1"/>
                <w:bCs w:val="1"/>
                <w:color w:val="002F6C"/>
              </w:rPr>
              <w:t xml:space="preserve">Vicki A. Hollub, </w:t>
            </w:r>
            <w:r>
              <w:rPr>
                <w:rFonts w:ascii="Arial" w:cs="Arial" w:eastAsia="Arial" w:hAnsi="Arial"/>
                <w:sz w:val="14"/>
                <w:szCs w:val="14"/>
                <w:color w:val="002F6C"/>
              </w:rPr>
              <w:t>61,</w:t>
            </w:r>
            <w:r>
              <w:rPr>
                <w:rFonts w:ascii="Arial" w:cs="Arial" w:eastAsia="Arial" w:hAnsi="Arial"/>
                <w:sz w:val="14"/>
                <w:szCs w:val="14"/>
                <w:b w:val="1"/>
                <w:bCs w:val="1"/>
                <w:color w:val="002F6C"/>
              </w:rPr>
              <w:t xml:space="preserve"> </w:t>
            </w:r>
            <w:r>
              <w:rPr>
                <w:rFonts w:ascii="Arial" w:cs="Arial" w:eastAsia="Arial" w:hAnsi="Arial"/>
                <w:sz w:val="14"/>
                <w:szCs w:val="14"/>
                <w:b w:val="1"/>
                <w:bCs w:val="1"/>
                <w:color w:val="646363"/>
              </w:rPr>
              <w:t>Independent</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060" w:type="dxa"/>
            <w:vAlign w:val="bottom"/>
          </w:tcPr>
          <w:p>
            <w:pPr>
              <w:ind w:left="440"/>
              <w:spacing w:after="0" w:line="148" w:lineRule="exact"/>
              <w:rPr>
                <w:sz w:val="20"/>
                <w:szCs w:val="20"/>
                <w:color w:val="auto"/>
              </w:rPr>
            </w:pPr>
            <w:r>
              <w:rPr>
                <w:rFonts w:ascii="Arial" w:cs="Arial" w:eastAsia="Arial" w:hAnsi="Arial"/>
                <w:sz w:val="14"/>
                <w:szCs w:val="14"/>
                <w:color w:val="auto"/>
              </w:rPr>
              <w:t>President &amp; CEO, Occidental Petroleum Corporation</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Director at Occidental Petroleum Corporation</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2"/>
        </w:trPr>
        <w:tc>
          <w:tcPr>
            <w:tcW w:w="420" w:type="dxa"/>
            <w:vAlign w:val="bottom"/>
          </w:tcPr>
          <w:p>
            <w:pPr>
              <w:spacing w:after="0"/>
              <w:rPr>
                <w:sz w:val="24"/>
                <w:szCs w:val="24"/>
                <w:color w:val="auto"/>
              </w:rPr>
            </w:pPr>
          </w:p>
        </w:tc>
        <w:tc>
          <w:tcPr>
            <w:tcW w:w="5060" w:type="dxa"/>
            <w:vAlign w:val="bottom"/>
          </w:tcPr>
          <w:p>
            <w:pPr>
              <w:ind w:left="440"/>
              <w:spacing w:after="0"/>
              <w:rPr>
                <w:sz w:val="20"/>
                <w:szCs w:val="20"/>
                <w:color w:val="auto"/>
              </w:rPr>
            </w:pPr>
            <w:r>
              <w:rPr>
                <w:rFonts w:ascii="Arial" w:cs="Arial" w:eastAsia="Arial" w:hAnsi="Arial"/>
                <w:sz w:val="14"/>
                <w:szCs w:val="14"/>
                <w:b w:val="1"/>
                <w:bCs w:val="1"/>
                <w:color w:val="002F6C"/>
              </w:rPr>
              <w:t xml:space="preserve">Jeh C. Johnson, </w:t>
            </w:r>
            <w:r>
              <w:rPr>
                <w:rFonts w:ascii="Arial" w:cs="Arial" w:eastAsia="Arial" w:hAnsi="Arial"/>
                <w:sz w:val="14"/>
                <w:szCs w:val="14"/>
                <w:color w:val="002F6C"/>
              </w:rPr>
              <w:t>63,</w:t>
            </w:r>
            <w:r>
              <w:rPr>
                <w:rFonts w:ascii="Arial" w:cs="Arial" w:eastAsia="Arial" w:hAnsi="Arial"/>
                <w:sz w:val="14"/>
                <w:szCs w:val="14"/>
                <w:b w:val="1"/>
                <w:bCs w:val="1"/>
                <w:color w:val="002F6C"/>
              </w:rPr>
              <w:t xml:space="preserve"> </w:t>
            </w:r>
            <w:r>
              <w:rPr>
                <w:rFonts w:ascii="Arial" w:cs="Arial" w:eastAsia="Arial" w:hAnsi="Arial"/>
                <w:sz w:val="14"/>
                <w:szCs w:val="14"/>
                <w:b w:val="1"/>
                <w:bCs w:val="1"/>
                <w:color w:val="646363"/>
              </w:rPr>
              <w:t>Independent</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Partner at Paul, Weiss, Rifkind, Wharton &amp; Garrison LLP; Former</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060" w:type="dxa"/>
            <w:vAlign w:val="bottom"/>
          </w:tcPr>
          <w:p>
            <w:pPr>
              <w:ind w:left="440"/>
              <w:spacing w:after="0" w:line="148" w:lineRule="exact"/>
              <w:rPr>
                <w:sz w:val="20"/>
                <w:szCs w:val="20"/>
                <w:color w:val="auto"/>
              </w:rPr>
            </w:pPr>
            <w:r>
              <w:rPr>
                <w:rFonts w:ascii="Arial" w:cs="Arial" w:eastAsia="Arial" w:hAnsi="Arial"/>
                <w:sz w:val="14"/>
                <w:szCs w:val="14"/>
                <w:color w:val="auto"/>
              </w:rPr>
              <w:t>Secretary of Homeland Security</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Director at U.S. Steel (Audit; Corporate Governance &amp; Sustainability)</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420" w:type="dxa"/>
            <w:vAlign w:val="bottom"/>
          </w:tcPr>
          <w:p>
            <w:pPr>
              <w:spacing w:after="0"/>
              <w:rPr>
                <w:sz w:val="24"/>
                <w:szCs w:val="24"/>
                <w:color w:val="auto"/>
              </w:rPr>
            </w:pPr>
          </w:p>
        </w:tc>
        <w:tc>
          <w:tcPr>
            <w:tcW w:w="5060" w:type="dxa"/>
            <w:vAlign w:val="bottom"/>
          </w:tcPr>
          <w:p>
            <w:pPr>
              <w:ind w:left="440"/>
              <w:spacing w:after="0"/>
              <w:rPr>
                <w:sz w:val="20"/>
                <w:szCs w:val="20"/>
                <w:color w:val="auto"/>
              </w:rPr>
            </w:pPr>
            <w:r>
              <w:rPr>
                <w:rFonts w:ascii="Arial" w:cs="Arial" w:eastAsia="Arial" w:hAnsi="Arial"/>
                <w:sz w:val="14"/>
                <w:szCs w:val="14"/>
                <w:b w:val="1"/>
                <w:bCs w:val="1"/>
                <w:color w:val="002F6C"/>
              </w:rPr>
              <w:t xml:space="preserve">Debra L. Reed-Klages, </w:t>
            </w:r>
            <w:r>
              <w:rPr>
                <w:rFonts w:ascii="Arial" w:cs="Arial" w:eastAsia="Arial" w:hAnsi="Arial"/>
                <w:sz w:val="14"/>
                <w:szCs w:val="14"/>
                <w:color w:val="002F6C"/>
              </w:rPr>
              <w:t>64,</w:t>
            </w:r>
            <w:r>
              <w:rPr>
                <w:rFonts w:ascii="Arial" w:cs="Arial" w:eastAsia="Arial" w:hAnsi="Arial"/>
                <w:sz w:val="14"/>
                <w:szCs w:val="14"/>
                <w:b w:val="1"/>
                <w:bCs w:val="1"/>
                <w:color w:val="002F6C"/>
              </w:rPr>
              <w:t xml:space="preserve"> </w:t>
            </w:r>
            <w:r>
              <w:rPr>
                <w:rFonts w:ascii="Arial" w:cs="Arial" w:eastAsia="Arial" w:hAnsi="Arial"/>
                <w:sz w:val="14"/>
                <w:szCs w:val="14"/>
                <w:b w:val="1"/>
                <w:bCs w:val="1"/>
                <w:color w:val="646363"/>
              </w:rPr>
              <w:t>Independent</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060" w:type="dxa"/>
            <w:vAlign w:val="bottom"/>
          </w:tcPr>
          <w:p>
            <w:pPr>
              <w:ind w:left="440"/>
              <w:spacing w:after="0" w:line="148" w:lineRule="exact"/>
              <w:rPr>
                <w:sz w:val="20"/>
                <w:szCs w:val="20"/>
                <w:color w:val="auto"/>
              </w:rPr>
            </w:pPr>
            <w:r>
              <w:rPr>
                <w:rFonts w:ascii="Arial" w:cs="Arial" w:eastAsia="Arial" w:hAnsi="Arial"/>
                <w:sz w:val="14"/>
                <w:szCs w:val="14"/>
                <w:color w:val="auto"/>
              </w:rPr>
              <w:t>Retired Chairman, President &amp; CEO, Sempra Energy</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Director at Chevron Corporation (Audit); Caterpillar Inc.</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5060" w:type="dxa"/>
            <w:vAlign w:val="bottom"/>
          </w:tcPr>
          <w:p>
            <w:pPr>
              <w:ind w:left="440"/>
              <w:spacing w:after="0"/>
              <w:rPr>
                <w:sz w:val="20"/>
                <w:szCs w:val="20"/>
                <w:color w:val="auto"/>
              </w:rPr>
            </w:pPr>
            <w:r>
              <w:rPr>
                <w:rFonts w:ascii="Arial" w:cs="Arial" w:eastAsia="Arial" w:hAnsi="Arial"/>
                <w:sz w:val="14"/>
                <w:szCs w:val="14"/>
                <w:i w:val="1"/>
                <w:iCs w:val="1"/>
                <w:color w:val="auto"/>
              </w:rPr>
              <w:t>(Compensation &amp; Human Resources)</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20" w:type="dxa"/>
            <w:vAlign w:val="bottom"/>
          </w:tcPr>
          <w:p>
            <w:pPr>
              <w:spacing w:after="0"/>
              <w:rPr>
                <w:sz w:val="24"/>
                <w:szCs w:val="24"/>
                <w:color w:val="auto"/>
              </w:rPr>
            </w:pPr>
          </w:p>
        </w:tc>
        <w:tc>
          <w:tcPr>
            <w:tcW w:w="5060" w:type="dxa"/>
            <w:vAlign w:val="bottom"/>
          </w:tcPr>
          <w:p>
            <w:pPr>
              <w:ind w:left="440"/>
              <w:spacing w:after="0"/>
              <w:rPr>
                <w:sz w:val="20"/>
                <w:szCs w:val="20"/>
                <w:color w:val="auto"/>
              </w:rPr>
            </w:pPr>
            <w:r>
              <w:rPr>
                <w:rFonts w:ascii="Arial" w:cs="Arial" w:eastAsia="Arial" w:hAnsi="Arial"/>
                <w:sz w:val="14"/>
                <w:szCs w:val="14"/>
                <w:b w:val="1"/>
                <w:bCs w:val="1"/>
                <w:color w:val="002F6C"/>
              </w:rPr>
              <w:t xml:space="preserve">James D. Taiclet, </w:t>
            </w:r>
            <w:r>
              <w:rPr>
                <w:rFonts w:ascii="Arial" w:cs="Arial" w:eastAsia="Arial" w:hAnsi="Arial"/>
                <w:sz w:val="14"/>
                <w:szCs w:val="14"/>
                <w:color w:val="002F6C"/>
              </w:rPr>
              <w:t>60</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5060" w:type="dxa"/>
            <w:vAlign w:val="bottom"/>
          </w:tcPr>
          <w:p>
            <w:pPr>
              <w:ind w:left="440"/>
              <w:spacing w:after="0"/>
              <w:rPr>
                <w:sz w:val="20"/>
                <w:szCs w:val="20"/>
                <w:color w:val="auto"/>
              </w:rPr>
            </w:pPr>
            <w:r>
              <w:rPr>
                <w:rFonts w:ascii="Arial" w:cs="Arial" w:eastAsia="Arial" w:hAnsi="Arial"/>
                <w:sz w:val="14"/>
                <w:szCs w:val="14"/>
                <w:color w:val="auto"/>
              </w:rPr>
              <w:t>Chairman, President &amp; CEO, Lockheed Martin Corporation</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2"/>
        </w:trPr>
        <w:tc>
          <w:tcPr>
            <w:tcW w:w="420" w:type="dxa"/>
            <w:vAlign w:val="bottom"/>
          </w:tcPr>
          <w:p>
            <w:pPr>
              <w:spacing w:after="0"/>
              <w:rPr>
                <w:sz w:val="20"/>
                <w:szCs w:val="20"/>
                <w:color w:val="auto"/>
              </w:rPr>
            </w:pPr>
            <w:r>
              <w:rPr>
                <w:rFonts w:ascii="Arial" w:cs="Arial" w:eastAsia="Arial" w:hAnsi="Arial"/>
                <w:sz w:val="14"/>
                <w:szCs w:val="14"/>
                <w:color w:val="002F6C"/>
              </w:rPr>
              <w:t>A</w:t>
            </w:r>
          </w:p>
        </w:tc>
        <w:tc>
          <w:tcPr>
            <w:tcW w:w="5060" w:type="dxa"/>
            <w:vAlign w:val="bottom"/>
          </w:tcPr>
          <w:p>
            <w:pPr>
              <w:ind w:left="80"/>
              <w:spacing w:after="0"/>
              <w:rPr>
                <w:sz w:val="20"/>
                <w:szCs w:val="20"/>
                <w:color w:val="auto"/>
              </w:rPr>
            </w:pPr>
            <w:r>
              <w:rPr>
                <w:rFonts w:ascii="Arial" w:cs="Arial" w:eastAsia="Arial" w:hAnsi="Arial"/>
                <w:sz w:val="14"/>
                <w:szCs w:val="14"/>
                <w:color w:val="auto"/>
              </w:rPr>
              <w:t>Audit</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20"/>
                <w:szCs w:val="20"/>
                <w:color w:val="auto"/>
              </w:rPr>
            </w:pPr>
            <w:r>
              <w:rPr>
                <w:rFonts w:ascii="Arial" w:cs="Arial" w:eastAsia="Arial" w:hAnsi="Arial"/>
                <w:sz w:val="14"/>
                <w:szCs w:val="14"/>
                <w:color w:val="002F6C"/>
              </w:rPr>
              <w:t>CBS</w:t>
            </w:r>
          </w:p>
        </w:tc>
        <w:tc>
          <w:tcPr>
            <w:tcW w:w="5060" w:type="dxa"/>
            <w:vAlign w:val="bottom"/>
          </w:tcPr>
          <w:p>
            <w:pPr>
              <w:ind w:left="80"/>
              <w:spacing w:after="0"/>
              <w:rPr>
                <w:sz w:val="20"/>
                <w:szCs w:val="20"/>
                <w:color w:val="auto"/>
              </w:rPr>
            </w:pPr>
            <w:r>
              <w:rPr>
                <w:rFonts w:ascii="Arial" w:cs="Arial" w:eastAsia="Arial" w:hAnsi="Arial"/>
                <w:sz w:val="14"/>
                <w:szCs w:val="14"/>
                <w:color w:val="auto"/>
              </w:rPr>
              <w:t>Classified Business and Security</w:t>
            </w:r>
          </w:p>
        </w:tc>
        <w:tc>
          <w:tcPr>
            <w:tcW w:w="880" w:type="dxa"/>
            <w:vAlign w:val="bottom"/>
            <w:vMerge w:val="restart"/>
          </w:tcPr>
          <w:p>
            <w:pPr>
              <w:ind w:left="140"/>
              <w:spacing w:after="0"/>
              <w:rPr>
                <w:sz w:val="20"/>
                <w:szCs w:val="20"/>
                <w:color w:val="auto"/>
              </w:rPr>
            </w:pPr>
            <w:r>
              <w:rPr>
                <w:rFonts w:ascii="Arial" w:cs="Arial" w:eastAsia="Arial" w:hAnsi="Arial"/>
                <w:sz w:val="13"/>
                <w:szCs w:val="13"/>
                <w:color w:val="002F6C"/>
              </w:rPr>
              <w:t>Member</w:t>
            </w:r>
          </w:p>
        </w:tc>
        <w:tc>
          <w:tcPr>
            <w:tcW w:w="580" w:type="dxa"/>
            <w:vAlign w:val="bottom"/>
            <w:vMerge w:val="restart"/>
          </w:tcPr>
          <w:p>
            <w:pPr>
              <w:ind w:left="280"/>
              <w:spacing w:after="0"/>
              <w:rPr>
                <w:sz w:val="20"/>
                <w:szCs w:val="20"/>
                <w:color w:val="auto"/>
              </w:rPr>
            </w:pPr>
            <w:r>
              <w:rPr>
                <w:rFonts w:ascii="Arial" w:cs="Arial" w:eastAsia="Arial" w:hAnsi="Arial"/>
                <w:sz w:val="13"/>
                <w:szCs w:val="13"/>
                <w:color w:val="002F6C"/>
                <w:w w:val="89"/>
              </w:rPr>
              <w:t>Chair</w:t>
            </w:r>
          </w:p>
        </w:tc>
        <w:tc>
          <w:tcPr>
            <w:tcW w:w="0" w:type="dxa"/>
            <w:vAlign w:val="bottom"/>
          </w:tcPr>
          <w:p>
            <w:pPr>
              <w:spacing w:after="0"/>
              <w:rPr>
                <w:sz w:val="1"/>
                <w:szCs w:val="1"/>
                <w:color w:val="auto"/>
              </w:rPr>
            </w:pPr>
          </w:p>
        </w:tc>
      </w:tr>
      <w:tr>
        <w:trPr>
          <w:trHeight w:val="60"/>
        </w:trPr>
        <w:tc>
          <w:tcPr>
            <w:tcW w:w="420" w:type="dxa"/>
            <w:vAlign w:val="bottom"/>
            <w:vMerge w:val="restart"/>
          </w:tcPr>
          <w:p>
            <w:pPr>
              <w:spacing w:after="0"/>
              <w:rPr>
                <w:sz w:val="20"/>
                <w:szCs w:val="20"/>
                <w:color w:val="auto"/>
              </w:rPr>
            </w:pPr>
            <w:r>
              <w:rPr>
                <w:rFonts w:ascii="Arial" w:cs="Arial" w:eastAsia="Arial" w:hAnsi="Arial"/>
                <w:sz w:val="14"/>
                <w:szCs w:val="14"/>
                <w:color w:val="002F6C"/>
              </w:rPr>
              <w:t>MDC</w:t>
            </w:r>
          </w:p>
        </w:tc>
        <w:tc>
          <w:tcPr>
            <w:tcW w:w="5060" w:type="dxa"/>
            <w:vAlign w:val="bottom"/>
            <w:vMerge w:val="restart"/>
          </w:tcPr>
          <w:p>
            <w:pPr>
              <w:ind w:left="80"/>
              <w:spacing w:after="0"/>
              <w:rPr>
                <w:sz w:val="20"/>
                <w:szCs w:val="20"/>
                <w:color w:val="auto"/>
              </w:rPr>
            </w:pPr>
            <w:r>
              <w:rPr>
                <w:rFonts w:ascii="Arial" w:cs="Arial" w:eastAsia="Arial" w:hAnsi="Arial"/>
                <w:sz w:val="14"/>
                <w:szCs w:val="14"/>
                <w:color w:val="auto"/>
              </w:rPr>
              <w:t>Management Development and Compensation</w:t>
            </w:r>
          </w:p>
        </w:tc>
        <w:tc>
          <w:tcPr>
            <w:tcW w:w="8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20" w:type="dxa"/>
            <w:vAlign w:val="bottom"/>
            <w:vMerge w:val="continue"/>
          </w:tcPr>
          <w:p>
            <w:pPr>
              <w:spacing w:after="0"/>
              <w:rPr>
                <w:sz w:val="8"/>
                <w:szCs w:val="8"/>
                <w:color w:val="auto"/>
              </w:rPr>
            </w:pPr>
          </w:p>
        </w:tc>
        <w:tc>
          <w:tcPr>
            <w:tcW w:w="50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20"/>
                <w:szCs w:val="20"/>
                <w:color w:val="auto"/>
              </w:rPr>
            </w:pPr>
            <w:r>
              <w:rPr>
                <w:rFonts w:ascii="Arial" w:cs="Arial" w:eastAsia="Arial" w:hAnsi="Arial"/>
                <w:sz w:val="14"/>
                <w:szCs w:val="14"/>
                <w:color w:val="002F6C"/>
              </w:rPr>
              <w:t>NCG</w:t>
            </w:r>
          </w:p>
        </w:tc>
        <w:tc>
          <w:tcPr>
            <w:tcW w:w="5060" w:type="dxa"/>
            <w:vAlign w:val="bottom"/>
          </w:tcPr>
          <w:p>
            <w:pPr>
              <w:ind w:left="80"/>
              <w:spacing w:after="0"/>
              <w:rPr>
                <w:sz w:val="20"/>
                <w:szCs w:val="20"/>
                <w:color w:val="auto"/>
              </w:rPr>
            </w:pPr>
            <w:r>
              <w:rPr>
                <w:rFonts w:ascii="Arial" w:cs="Arial" w:eastAsia="Arial" w:hAnsi="Arial"/>
                <w:sz w:val="14"/>
                <w:szCs w:val="14"/>
                <w:color w:val="auto"/>
              </w:rPr>
              <w:t>Nominating and Corporate Governance</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-686435</wp:posOffset>
            </wp:positionV>
            <wp:extent cx="46031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0311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-274955</wp:posOffset>
            </wp:positionV>
            <wp:extent cx="60325" cy="60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-283210</wp:posOffset>
            </wp:positionV>
            <wp:extent cx="60325" cy="76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7683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8600" w:val="left"/>
          <w:tab w:leader="none" w:pos="111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7</w:t>
      </w:r>
    </w:p>
    <w:p>
      <w:pPr>
        <w:sectPr>
          <w:pgSz w:w="11900" w:h="16838" w:orient="portrait"/>
          <w:cols w:equalWidth="0" w:num="1">
            <w:col w:w="11240"/>
          </w:cols>
          <w:pgMar w:left="320" w:top="60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5"/>
          <w:szCs w:val="15"/>
          <w:color w:val="003478"/>
        </w:rPr>
        <w:t>Proxy Statement Summary</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Our Alignment with Governance Standards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In 2018, Lockheed Martin became a signatory to the </w:t>
      </w:r>
      <w:r>
        <w:rPr>
          <w:rFonts w:ascii="Arial" w:cs="Arial" w:eastAsia="Arial" w:hAnsi="Arial"/>
          <w:sz w:val="17"/>
          <w:szCs w:val="17"/>
          <w:b w:val="1"/>
          <w:bCs w:val="1"/>
          <w:color w:val="auto"/>
        </w:rPr>
        <w:t>Commonsense Principles 2.0</w:t>
      </w:r>
      <w:r>
        <w:rPr>
          <w:rFonts w:ascii="Arial" w:cs="Arial" w:eastAsia="Arial" w:hAnsi="Arial"/>
          <w:sz w:val="17"/>
          <w:szCs w:val="17"/>
          <w:color w:val="auto"/>
        </w:rPr>
        <w:t xml:space="preserve">, a series of corporate governance principles for public companies, their boards and their institutional stockholders, which are intended to provide a basic framework for sound, long-term oriented governance. These Principles recognize that not every principle will be applied in the same fashion (or at all) by every company or board. In addition, our corporate governance practices comply with the </w:t>
      </w:r>
      <w:r>
        <w:rPr>
          <w:rFonts w:ascii="Arial" w:cs="Arial" w:eastAsia="Arial" w:hAnsi="Arial"/>
          <w:sz w:val="17"/>
          <w:szCs w:val="17"/>
          <w:b w:val="1"/>
          <w:bCs w:val="1"/>
          <w:color w:val="auto"/>
        </w:rPr>
        <w:t>Investor Stewardship Group (ISG) Corporate Governance Principles for U.S. Listed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Companies </w:t>
      </w:r>
      <w:r>
        <w:rPr>
          <w:rFonts w:ascii="Arial" w:cs="Arial" w:eastAsia="Arial" w:hAnsi="Arial"/>
          <w:sz w:val="17"/>
          <w:szCs w:val="17"/>
          <w:color w:val="auto"/>
        </w:rPr>
        <w:t>that went into effect in 2018. Below we identify each of the ISG's corporate governance principles and how our specific practices are</w:t>
      </w:r>
      <w:r>
        <w:rPr>
          <w:rFonts w:ascii="Arial" w:cs="Arial" w:eastAsia="Arial" w:hAnsi="Arial"/>
          <w:sz w:val="17"/>
          <w:szCs w:val="17"/>
          <w:b w:val="1"/>
          <w:bCs w:val="1"/>
          <w:color w:val="auto"/>
        </w:rPr>
        <w:t xml:space="preserve"> </w:t>
      </w:r>
      <w:r>
        <w:rPr>
          <w:rFonts w:ascii="Arial" w:cs="Arial" w:eastAsia="Arial" w:hAnsi="Arial"/>
          <w:sz w:val="17"/>
          <w:szCs w:val="17"/>
          <w:color w:val="auto"/>
        </w:rPr>
        <w:t>aligned.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82550</wp:posOffset>
            </wp:positionV>
            <wp:extent cx="8255" cy="2099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20999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82550</wp:posOffset>
            </wp:positionV>
            <wp:extent cx="8890" cy="2099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20999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8890" cy="2099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209994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82550</wp:posOffset>
            </wp:positionV>
            <wp:extent cx="8890" cy="2099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209994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131" w:lineRule="exact"/>
        <w:rPr>
          <w:sz w:val="20"/>
          <w:szCs w:val="20"/>
          <w:color w:val="auto"/>
        </w:rPr>
      </w:pPr>
    </w:p>
    <w:p>
      <w:pPr>
        <w:ind w:left="40" w:right="860"/>
        <w:spacing w:after="0" w:line="284" w:lineRule="auto"/>
        <w:rPr>
          <w:sz w:val="20"/>
          <w:szCs w:val="20"/>
          <w:color w:val="auto"/>
        </w:rPr>
      </w:pPr>
      <w:r>
        <w:rPr>
          <w:rFonts w:ascii="Arial" w:cs="Arial" w:eastAsia="Arial" w:hAnsi="Arial"/>
          <w:sz w:val="17"/>
          <w:szCs w:val="17"/>
          <w:b w:val="1"/>
          <w:bCs w:val="1"/>
          <w:color w:val="475C90"/>
        </w:rPr>
        <w:t>BOARDS ARE ACCOUNTABLE TO STOCKHOLDERS</w:t>
      </w:r>
    </w:p>
    <w:p>
      <w:pPr>
        <w:spacing w:after="0" w:line="30" w:lineRule="exact"/>
        <w:rPr>
          <w:sz w:val="20"/>
          <w:szCs w:val="20"/>
          <w:color w:val="auto"/>
        </w:rPr>
      </w:pPr>
    </w:p>
    <w:p>
      <w:pPr>
        <w:ind w:left="180" w:hanging="141"/>
        <w:spacing w:after="0"/>
        <w:tabs>
          <w:tab w:leader="none" w:pos="180" w:val="left"/>
        </w:tabs>
        <w:numPr>
          <w:ilvl w:val="0"/>
          <w:numId w:val="14"/>
        </w:numPr>
        <w:rPr>
          <w:rFonts w:ascii="Arial" w:cs="Arial" w:eastAsia="Arial" w:hAnsi="Arial"/>
          <w:sz w:val="17"/>
          <w:szCs w:val="17"/>
          <w:color w:val="002E6D"/>
        </w:rPr>
      </w:pPr>
      <w:r>
        <w:rPr>
          <w:rFonts w:ascii="Arial" w:cs="Arial" w:eastAsia="Arial" w:hAnsi="Arial"/>
          <w:sz w:val="17"/>
          <w:szCs w:val="17"/>
          <w:color w:val="auto"/>
        </w:rPr>
        <w:t>Annual election of directors</w:t>
      </w:r>
    </w:p>
    <w:p>
      <w:pPr>
        <w:spacing w:after="0" w:line="7" w:lineRule="exact"/>
        <w:rPr>
          <w:rFonts w:ascii="Arial" w:cs="Arial" w:eastAsia="Arial" w:hAnsi="Arial"/>
          <w:sz w:val="17"/>
          <w:szCs w:val="17"/>
          <w:color w:val="002E6D"/>
        </w:rPr>
      </w:pPr>
    </w:p>
    <w:p>
      <w:pPr>
        <w:ind w:left="340" w:right="460" w:hanging="301"/>
        <w:spacing w:after="0" w:line="248" w:lineRule="auto"/>
        <w:tabs>
          <w:tab w:leader="none" w:pos="184" w:val="left"/>
        </w:tabs>
        <w:numPr>
          <w:ilvl w:val="0"/>
          <w:numId w:val="14"/>
        </w:numPr>
        <w:rPr>
          <w:rFonts w:ascii="Arial" w:cs="Arial" w:eastAsia="Arial" w:hAnsi="Arial"/>
          <w:sz w:val="17"/>
          <w:szCs w:val="17"/>
          <w:color w:val="002E6D"/>
        </w:rPr>
      </w:pPr>
      <w:r>
        <w:rPr>
          <w:rFonts w:ascii="Arial" w:cs="Arial" w:eastAsia="Arial" w:hAnsi="Arial"/>
          <w:sz w:val="17"/>
          <w:szCs w:val="17"/>
          <w:color w:val="auto"/>
        </w:rPr>
        <w:t>Majority voting standard for uncontested director elections</w:t>
      </w:r>
    </w:p>
    <w:p>
      <w:pPr>
        <w:spacing w:after="0" w:line="1" w:lineRule="exact"/>
        <w:rPr>
          <w:rFonts w:ascii="Arial" w:cs="Arial" w:eastAsia="Arial" w:hAnsi="Arial"/>
          <w:sz w:val="17"/>
          <w:szCs w:val="17"/>
          <w:color w:val="002E6D"/>
        </w:rPr>
      </w:pPr>
    </w:p>
    <w:p>
      <w:pPr>
        <w:ind w:left="340" w:hanging="301"/>
        <w:spacing w:after="0" w:line="248" w:lineRule="auto"/>
        <w:tabs>
          <w:tab w:leader="none" w:pos="184" w:val="left"/>
        </w:tabs>
        <w:numPr>
          <w:ilvl w:val="0"/>
          <w:numId w:val="14"/>
        </w:numPr>
        <w:rPr>
          <w:rFonts w:ascii="Arial" w:cs="Arial" w:eastAsia="Arial" w:hAnsi="Arial"/>
          <w:sz w:val="17"/>
          <w:szCs w:val="17"/>
          <w:color w:val="002E6D"/>
        </w:rPr>
      </w:pPr>
      <w:r>
        <w:rPr>
          <w:rFonts w:ascii="Arial" w:cs="Arial" w:eastAsia="Arial" w:hAnsi="Arial"/>
          <w:sz w:val="17"/>
          <w:szCs w:val="17"/>
          <w:color w:val="auto"/>
        </w:rPr>
        <w:t>Directors not receiving majority support tender resignation to Board for consideration</w:t>
      </w:r>
    </w:p>
    <w:p>
      <w:pPr>
        <w:spacing w:after="0" w:line="1" w:lineRule="exact"/>
        <w:rPr>
          <w:rFonts w:ascii="Arial" w:cs="Arial" w:eastAsia="Arial" w:hAnsi="Arial"/>
          <w:sz w:val="17"/>
          <w:szCs w:val="17"/>
          <w:color w:val="002E6D"/>
        </w:rPr>
      </w:pPr>
    </w:p>
    <w:p>
      <w:pPr>
        <w:ind w:left="340" w:right="580" w:hanging="301"/>
        <w:spacing w:after="0" w:line="248" w:lineRule="auto"/>
        <w:tabs>
          <w:tab w:leader="none" w:pos="184" w:val="left"/>
        </w:tabs>
        <w:numPr>
          <w:ilvl w:val="0"/>
          <w:numId w:val="14"/>
        </w:numPr>
        <w:rPr>
          <w:rFonts w:ascii="Arial" w:cs="Arial" w:eastAsia="Arial" w:hAnsi="Arial"/>
          <w:sz w:val="17"/>
          <w:szCs w:val="17"/>
          <w:color w:val="002E6D"/>
        </w:rPr>
      </w:pPr>
      <w:r>
        <w:rPr>
          <w:rFonts w:ascii="Arial" w:cs="Arial" w:eastAsia="Arial" w:hAnsi="Arial"/>
          <w:sz w:val="17"/>
          <w:szCs w:val="17"/>
          <w:color w:val="auto"/>
        </w:rPr>
        <w:t>Market-standard proxy access right for stockholders</w:t>
      </w:r>
    </w:p>
    <w:p>
      <w:pPr>
        <w:spacing w:after="0" w:line="1" w:lineRule="exact"/>
        <w:rPr>
          <w:rFonts w:ascii="Arial" w:cs="Arial" w:eastAsia="Arial" w:hAnsi="Arial"/>
          <w:sz w:val="17"/>
          <w:szCs w:val="17"/>
          <w:color w:val="002E6D"/>
        </w:rPr>
      </w:pPr>
    </w:p>
    <w:p>
      <w:pPr>
        <w:ind w:left="180" w:hanging="141"/>
        <w:spacing w:after="0"/>
        <w:tabs>
          <w:tab w:leader="none" w:pos="180" w:val="left"/>
        </w:tabs>
        <w:numPr>
          <w:ilvl w:val="0"/>
          <w:numId w:val="14"/>
        </w:numPr>
        <w:rPr>
          <w:rFonts w:ascii="Arial" w:cs="Arial" w:eastAsia="Arial" w:hAnsi="Arial"/>
          <w:sz w:val="17"/>
          <w:szCs w:val="17"/>
          <w:color w:val="002E6D"/>
        </w:rPr>
      </w:pPr>
      <w:r>
        <w:rPr>
          <w:rFonts w:ascii="Arial" w:cs="Arial" w:eastAsia="Arial" w:hAnsi="Arial"/>
          <w:sz w:val="17"/>
          <w:szCs w:val="17"/>
          <w:color w:val="auto"/>
        </w:rPr>
        <w:t>No poison pill</w:t>
      </w:r>
    </w:p>
    <w:p>
      <w:pPr>
        <w:spacing w:after="0" w:line="7" w:lineRule="exact"/>
        <w:rPr>
          <w:rFonts w:ascii="Arial" w:cs="Arial" w:eastAsia="Arial" w:hAnsi="Arial"/>
          <w:sz w:val="17"/>
          <w:szCs w:val="17"/>
          <w:color w:val="002E6D"/>
        </w:rPr>
      </w:pPr>
    </w:p>
    <w:p>
      <w:pPr>
        <w:ind w:left="180" w:hanging="141"/>
        <w:spacing w:after="0"/>
        <w:tabs>
          <w:tab w:leader="none" w:pos="180" w:val="left"/>
        </w:tabs>
        <w:numPr>
          <w:ilvl w:val="0"/>
          <w:numId w:val="14"/>
        </w:numPr>
        <w:rPr>
          <w:rFonts w:ascii="Arial" w:cs="Arial" w:eastAsia="Arial" w:hAnsi="Arial"/>
          <w:sz w:val="17"/>
          <w:szCs w:val="17"/>
          <w:color w:val="002E6D"/>
        </w:rPr>
      </w:pPr>
      <w:r>
        <w:rPr>
          <w:rFonts w:ascii="Arial" w:cs="Arial" w:eastAsia="Arial" w:hAnsi="Arial"/>
          <w:sz w:val="17"/>
          <w:szCs w:val="17"/>
          <w:color w:val="auto"/>
        </w:rPr>
        <w:t>Fully disclose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8890" cy="1174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174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both"/>
        <w:ind w:right="260"/>
        <w:spacing w:after="0" w:line="266" w:lineRule="auto"/>
        <w:rPr>
          <w:sz w:val="20"/>
          <w:szCs w:val="20"/>
          <w:color w:val="auto"/>
        </w:rPr>
      </w:pPr>
      <w:r>
        <w:rPr>
          <w:rFonts w:ascii="Arial" w:cs="Arial" w:eastAsia="Arial" w:hAnsi="Arial"/>
          <w:sz w:val="17"/>
          <w:szCs w:val="17"/>
          <w:b w:val="1"/>
          <w:bCs w:val="1"/>
          <w:color w:val="475C90"/>
        </w:rPr>
        <w:t>BOARDS SHOULD ADOPT STRUCTURES AND PRACTICES THAT ENHANCE THEIR EFFECTIVENESS</w:t>
      </w:r>
    </w:p>
    <w:p>
      <w:pPr>
        <w:spacing w:after="0" w:line="86" w:lineRule="exact"/>
        <w:rPr>
          <w:sz w:val="20"/>
          <w:szCs w:val="20"/>
          <w:color w:val="auto"/>
        </w:rPr>
      </w:pPr>
    </w:p>
    <w:p>
      <w:pPr>
        <w:ind w:left="140" w:hanging="135"/>
        <w:spacing w:after="0"/>
        <w:tabs>
          <w:tab w:leader="none" w:pos="140" w:val="left"/>
        </w:tabs>
        <w:numPr>
          <w:ilvl w:val="0"/>
          <w:numId w:val="15"/>
        </w:numPr>
        <w:rPr>
          <w:rFonts w:ascii="Arial" w:cs="Arial" w:eastAsia="Arial" w:hAnsi="Arial"/>
          <w:sz w:val="17"/>
          <w:szCs w:val="17"/>
          <w:color w:val="002E6D"/>
        </w:rPr>
      </w:pPr>
      <w:r>
        <w:rPr>
          <w:rFonts w:ascii="Arial" w:cs="Arial" w:eastAsia="Arial" w:hAnsi="Arial"/>
          <w:sz w:val="17"/>
          <w:szCs w:val="17"/>
          <w:color w:val="auto"/>
        </w:rPr>
        <w:t>10 of 11 directors are independent</w:t>
      </w:r>
    </w:p>
    <w:p>
      <w:pPr>
        <w:spacing w:after="0" w:line="7" w:lineRule="exact"/>
        <w:rPr>
          <w:rFonts w:ascii="Arial" w:cs="Arial" w:eastAsia="Arial" w:hAnsi="Arial"/>
          <w:sz w:val="17"/>
          <w:szCs w:val="17"/>
          <w:color w:val="002E6D"/>
        </w:rPr>
      </w:pPr>
    </w:p>
    <w:p>
      <w:pPr>
        <w:ind w:left="140" w:hanging="135"/>
        <w:spacing w:after="0"/>
        <w:tabs>
          <w:tab w:leader="none" w:pos="140" w:val="left"/>
        </w:tabs>
        <w:numPr>
          <w:ilvl w:val="0"/>
          <w:numId w:val="15"/>
        </w:numPr>
        <w:rPr>
          <w:rFonts w:ascii="Arial" w:cs="Arial" w:eastAsia="Arial" w:hAnsi="Arial"/>
          <w:sz w:val="17"/>
          <w:szCs w:val="17"/>
          <w:color w:val="002E6D"/>
        </w:rPr>
      </w:pPr>
      <w:r>
        <w:rPr>
          <w:rFonts w:ascii="Arial" w:cs="Arial" w:eastAsia="Arial" w:hAnsi="Arial"/>
          <w:sz w:val="17"/>
          <w:szCs w:val="17"/>
          <w:color w:val="auto"/>
        </w:rPr>
        <w:t>3 of our directors are women</w:t>
      </w:r>
    </w:p>
    <w:p>
      <w:pPr>
        <w:spacing w:after="0" w:line="7" w:lineRule="exact"/>
        <w:rPr>
          <w:rFonts w:ascii="Arial" w:cs="Arial" w:eastAsia="Arial" w:hAnsi="Arial"/>
          <w:sz w:val="17"/>
          <w:szCs w:val="17"/>
          <w:color w:val="002E6D"/>
        </w:rPr>
      </w:pPr>
    </w:p>
    <w:p>
      <w:pPr>
        <w:ind w:left="140" w:hanging="135"/>
        <w:spacing w:after="0"/>
        <w:tabs>
          <w:tab w:leader="none" w:pos="140" w:val="left"/>
        </w:tabs>
        <w:numPr>
          <w:ilvl w:val="0"/>
          <w:numId w:val="15"/>
        </w:numPr>
        <w:rPr>
          <w:rFonts w:ascii="Arial" w:cs="Arial" w:eastAsia="Arial" w:hAnsi="Arial"/>
          <w:sz w:val="17"/>
          <w:szCs w:val="17"/>
          <w:color w:val="002E6D"/>
        </w:rPr>
      </w:pPr>
      <w:r>
        <w:rPr>
          <w:rFonts w:ascii="Arial" w:cs="Arial" w:eastAsia="Arial" w:hAnsi="Arial"/>
          <w:sz w:val="17"/>
          <w:szCs w:val="17"/>
          <w:color w:val="auto"/>
        </w:rPr>
        <w:t>Significant Board refreshment</w:t>
      </w:r>
    </w:p>
    <w:p>
      <w:pPr>
        <w:spacing w:after="0" w:line="7" w:lineRule="exact"/>
        <w:rPr>
          <w:rFonts w:ascii="Arial" w:cs="Arial" w:eastAsia="Arial" w:hAnsi="Arial"/>
          <w:sz w:val="17"/>
          <w:szCs w:val="17"/>
          <w:color w:val="002E6D"/>
        </w:rPr>
      </w:pPr>
    </w:p>
    <w:p>
      <w:pPr>
        <w:ind w:left="300" w:right="300" w:hanging="295"/>
        <w:spacing w:after="0" w:line="248" w:lineRule="auto"/>
        <w:tabs>
          <w:tab w:leader="none" w:pos="144" w:val="left"/>
        </w:tabs>
        <w:numPr>
          <w:ilvl w:val="0"/>
          <w:numId w:val="15"/>
        </w:numPr>
        <w:rPr>
          <w:rFonts w:ascii="Arial" w:cs="Arial" w:eastAsia="Arial" w:hAnsi="Arial"/>
          <w:sz w:val="17"/>
          <w:szCs w:val="17"/>
          <w:color w:val="002E6D"/>
        </w:rPr>
      </w:pPr>
      <w:r>
        <w:rPr>
          <w:rFonts w:ascii="Arial" w:cs="Arial" w:eastAsia="Arial" w:hAnsi="Arial"/>
          <w:sz w:val="17"/>
          <w:szCs w:val="17"/>
          <w:color w:val="auto"/>
        </w:rPr>
        <w:t>Directors reflect a diverse mix of skills and experience</w:t>
      </w:r>
    </w:p>
    <w:p>
      <w:pPr>
        <w:spacing w:after="0" w:line="1" w:lineRule="exact"/>
        <w:rPr>
          <w:rFonts w:ascii="Arial" w:cs="Arial" w:eastAsia="Arial" w:hAnsi="Arial"/>
          <w:sz w:val="17"/>
          <w:szCs w:val="17"/>
          <w:color w:val="002E6D"/>
        </w:rPr>
      </w:pPr>
    </w:p>
    <w:p>
      <w:pPr>
        <w:ind w:left="140" w:hanging="135"/>
        <w:spacing w:after="0"/>
        <w:tabs>
          <w:tab w:leader="none" w:pos="140" w:val="left"/>
        </w:tabs>
        <w:numPr>
          <w:ilvl w:val="0"/>
          <w:numId w:val="15"/>
        </w:numPr>
        <w:rPr>
          <w:rFonts w:ascii="Arial" w:cs="Arial" w:eastAsia="Arial" w:hAnsi="Arial"/>
          <w:sz w:val="17"/>
          <w:szCs w:val="17"/>
          <w:color w:val="002E6D"/>
        </w:rPr>
      </w:pPr>
      <w:r>
        <w:rPr>
          <w:rFonts w:ascii="Arial" w:cs="Arial" w:eastAsia="Arial" w:hAnsi="Arial"/>
          <w:sz w:val="17"/>
          <w:szCs w:val="17"/>
          <w:color w:val="auto"/>
        </w:rPr>
        <w:t>All Board committees are fully independent</w:t>
      </w:r>
    </w:p>
    <w:p>
      <w:pPr>
        <w:spacing w:after="0" w:line="7" w:lineRule="exact"/>
        <w:rPr>
          <w:rFonts w:ascii="Arial" w:cs="Arial" w:eastAsia="Arial" w:hAnsi="Arial"/>
          <w:sz w:val="17"/>
          <w:szCs w:val="17"/>
          <w:color w:val="002E6D"/>
        </w:rPr>
      </w:pPr>
    </w:p>
    <w:p>
      <w:pPr>
        <w:ind w:left="300" w:right="920" w:hanging="295"/>
        <w:spacing w:after="0" w:line="248" w:lineRule="auto"/>
        <w:tabs>
          <w:tab w:leader="none" w:pos="144" w:val="left"/>
        </w:tabs>
        <w:numPr>
          <w:ilvl w:val="0"/>
          <w:numId w:val="15"/>
        </w:numPr>
        <w:rPr>
          <w:rFonts w:ascii="Arial" w:cs="Arial" w:eastAsia="Arial" w:hAnsi="Arial"/>
          <w:sz w:val="17"/>
          <w:szCs w:val="17"/>
          <w:color w:val="002E6D"/>
        </w:rPr>
      </w:pPr>
      <w:r>
        <w:rPr>
          <w:rFonts w:ascii="Arial" w:cs="Arial" w:eastAsia="Arial" w:hAnsi="Arial"/>
          <w:sz w:val="17"/>
          <w:szCs w:val="17"/>
          <w:color w:val="auto"/>
        </w:rPr>
        <w:t>Annual Board and committee self-assessments</w:t>
      </w:r>
    </w:p>
    <w:p>
      <w:pPr>
        <w:spacing w:after="0" w:line="1" w:lineRule="exact"/>
        <w:rPr>
          <w:rFonts w:ascii="Arial" w:cs="Arial" w:eastAsia="Arial" w:hAnsi="Arial"/>
          <w:sz w:val="17"/>
          <w:szCs w:val="17"/>
          <w:color w:val="002E6D"/>
        </w:rPr>
      </w:pPr>
    </w:p>
    <w:p>
      <w:pPr>
        <w:ind w:left="140" w:hanging="135"/>
        <w:spacing w:after="0"/>
        <w:tabs>
          <w:tab w:leader="none" w:pos="140" w:val="left"/>
        </w:tabs>
        <w:numPr>
          <w:ilvl w:val="0"/>
          <w:numId w:val="15"/>
        </w:numPr>
        <w:rPr>
          <w:rFonts w:ascii="Arial" w:cs="Arial" w:eastAsia="Arial" w:hAnsi="Arial"/>
          <w:sz w:val="17"/>
          <w:szCs w:val="17"/>
          <w:color w:val="002E6D"/>
        </w:rPr>
      </w:pPr>
      <w:r>
        <w:rPr>
          <w:rFonts w:ascii="Arial" w:cs="Arial" w:eastAsia="Arial" w:hAnsi="Arial"/>
          <w:sz w:val="17"/>
          <w:szCs w:val="17"/>
          <w:color w:val="auto"/>
        </w:rPr>
        <w:t>Board access to officers and employees</w:t>
      </w:r>
    </w:p>
    <w:p>
      <w:pPr>
        <w:spacing w:after="0" w:line="7" w:lineRule="exact"/>
        <w:rPr>
          <w:rFonts w:ascii="Arial" w:cs="Arial" w:eastAsia="Arial" w:hAnsi="Arial"/>
          <w:sz w:val="17"/>
          <w:szCs w:val="17"/>
          <w:color w:val="002E6D"/>
        </w:rPr>
      </w:pPr>
    </w:p>
    <w:p>
      <w:pPr>
        <w:ind w:left="140" w:hanging="135"/>
        <w:spacing w:after="0"/>
        <w:tabs>
          <w:tab w:leader="none" w:pos="140" w:val="left"/>
        </w:tabs>
        <w:numPr>
          <w:ilvl w:val="0"/>
          <w:numId w:val="15"/>
        </w:numPr>
        <w:rPr>
          <w:rFonts w:ascii="Arial" w:cs="Arial" w:eastAsia="Arial" w:hAnsi="Arial"/>
          <w:sz w:val="17"/>
          <w:szCs w:val="17"/>
          <w:color w:val="002E6D"/>
        </w:rPr>
      </w:pPr>
      <w:r>
        <w:rPr>
          <w:rFonts w:ascii="Arial" w:cs="Arial" w:eastAsia="Arial" w:hAnsi="Arial"/>
          <w:sz w:val="17"/>
          <w:szCs w:val="17"/>
          <w:color w:val="auto"/>
        </w:rPr>
        <w:t>2020 Board attendance greater than 97%</w:t>
      </w:r>
    </w:p>
    <w:p>
      <w:pPr>
        <w:spacing w:after="0" w:line="7" w:lineRule="exact"/>
        <w:rPr>
          <w:rFonts w:ascii="Arial" w:cs="Arial" w:eastAsia="Arial" w:hAnsi="Arial"/>
          <w:sz w:val="17"/>
          <w:szCs w:val="17"/>
          <w:color w:val="002E6D"/>
        </w:rPr>
      </w:pPr>
    </w:p>
    <w:p>
      <w:pPr>
        <w:jc w:val="right"/>
        <w:ind w:left="300" w:hanging="295"/>
        <w:spacing w:after="0" w:line="259" w:lineRule="auto"/>
        <w:tabs>
          <w:tab w:leader="none" w:pos="144" w:val="left"/>
        </w:tabs>
        <w:numPr>
          <w:ilvl w:val="0"/>
          <w:numId w:val="15"/>
        </w:numPr>
        <w:rPr>
          <w:rFonts w:ascii="Arial" w:cs="Arial" w:eastAsia="Arial" w:hAnsi="Arial"/>
          <w:sz w:val="17"/>
          <w:szCs w:val="17"/>
          <w:color w:val="002E6D"/>
        </w:rPr>
      </w:pPr>
      <w:r>
        <w:rPr>
          <w:rFonts w:ascii="Arial" w:cs="Arial" w:eastAsia="Arial" w:hAnsi="Arial"/>
          <w:sz w:val="17"/>
          <w:szCs w:val="17"/>
          <w:color w:val="auto"/>
        </w:rPr>
        <w:t>Overboarding policy ensures Board members can devote sufficient time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44450</wp:posOffset>
            </wp:positionV>
            <wp:extent cx="7132320" cy="1208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2" w:right="320"/>
        <w:spacing w:after="0" w:line="260" w:lineRule="auto"/>
        <w:rPr>
          <w:sz w:val="20"/>
          <w:szCs w:val="20"/>
          <w:color w:val="auto"/>
        </w:rPr>
      </w:pPr>
      <w:r>
        <w:rPr>
          <w:rFonts w:ascii="Arial" w:cs="Arial" w:eastAsia="Arial" w:hAnsi="Arial"/>
          <w:sz w:val="17"/>
          <w:szCs w:val="17"/>
          <w:b w:val="1"/>
          <w:bCs w:val="1"/>
          <w:color w:val="475C90"/>
        </w:rPr>
        <w:t>BOARDS SHOULD BE RESPONSIVE TO STOCKHOLDERS AND BE PROACTIVE IN ORDER TO UNDERSTAND THEIR PERSPECTIVES</w:t>
      </w:r>
    </w:p>
    <w:p>
      <w:pPr>
        <w:spacing w:after="0" w:line="50" w:lineRule="exact"/>
        <w:rPr>
          <w:sz w:val="20"/>
          <w:szCs w:val="20"/>
          <w:color w:val="auto"/>
        </w:rPr>
      </w:pPr>
    </w:p>
    <w:p>
      <w:pPr>
        <w:ind w:left="302" w:right="540" w:hanging="302"/>
        <w:spacing w:after="0" w:line="248" w:lineRule="auto"/>
        <w:tabs>
          <w:tab w:leader="none" w:pos="146" w:val="left"/>
        </w:tabs>
        <w:numPr>
          <w:ilvl w:val="0"/>
          <w:numId w:val="16"/>
        </w:numPr>
        <w:rPr>
          <w:rFonts w:ascii="Arial" w:cs="Arial" w:eastAsia="Arial" w:hAnsi="Arial"/>
          <w:sz w:val="17"/>
          <w:szCs w:val="17"/>
          <w:color w:val="002E6D"/>
        </w:rPr>
      </w:pPr>
      <w:r>
        <w:rPr>
          <w:rFonts w:ascii="Arial" w:cs="Arial" w:eastAsia="Arial" w:hAnsi="Arial"/>
          <w:sz w:val="17"/>
          <w:szCs w:val="17"/>
          <w:color w:val="auto"/>
        </w:rPr>
        <w:t>Proactive, year-round engagement with stockholders, including participation of independent Lead Director</w:t>
      </w:r>
    </w:p>
    <w:p>
      <w:pPr>
        <w:spacing w:after="0" w:line="1" w:lineRule="exact"/>
        <w:rPr>
          <w:rFonts w:ascii="Arial" w:cs="Arial" w:eastAsia="Arial" w:hAnsi="Arial"/>
          <w:sz w:val="17"/>
          <w:szCs w:val="17"/>
          <w:color w:val="002E6D"/>
        </w:rPr>
      </w:pPr>
    </w:p>
    <w:p>
      <w:pPr>
        <w:ind w:left="302" w:right="160" w:hanging="302"/>
        <w:spacing w:after="0" w:line="250" w:lineRule="auto"/>
        <w:tabs>
          <w:tab w:leader="none" w:pos="146" w:val="left"/>
        </w:tabs>
        <w:numPr>
          <w:ilvl w:val="0"/>
          <w:numId w:val="16"/>
        </w:numPr>
        <w:rPr>
          <w:rFonts w:ascii="Arial" w:cs="Arial" w:eastAsia="Arial" w:hAnsi="Arial"/>
          <w:sz w:val="17"/>
          <w:szCs w:val="17"/>
          <w:color w:val="002E6D"/>
        </w:rPr>
      </w:pPr>
      <w:r>
        <w:rPr>
          <w:rFonts w:ascii="Arial" w:cs="Arial" w:eastAsia="Arial" w:hAnsi="Arial"/>
          <w:sz w:val="17"/>
          <w:szCs w:val="17"/>
          <w:color w:val="auto"/>
        </w:rPr>
        <w:t>Engagement topics included 2020 leadership changes, board and workforce diversity, human capital management, executive compensation, and environmental, social and governance (ESG) matters, including climate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368300</wp:posOffset>
            </wp:positionV>
            <wp:extent cx="8255" cy="1174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17411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368300</wp:posOffset>
            </wp:positionV>
            <wp:extent cx="8890" cy="1174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174115"/>
                    </a:xfrm>
                    <a:prstGeom prst="rect">
                      <a:avLst/>
                    </a:prstGeom>
                    <a:noFill/>
                  </pic:spPr>
                </pic:pic>
              </a:graphicData>
            </a:graphic>
          </wp:anchor>
        </w:drawing>
      </w:r>
    </w:p>
    <w:p>
      <w:pPr>
        <w:spacing w:after="0" w:line="655" w:lineRule="exact"/>
        <w:rPr>
          <w:sz w:val="20"/>
          <w:szCs w:val="20"/>
          <w:color w:val="auto"/>
        </w:rPr>
      </w:pPr>
    </w:p>
    <w:p>
      <w:pPr>
        <w:sectPr>
          <w:pgSz w:w="11900" w:h="16838" w:orient="portrait"/>
          <w:cols w:equalWidth="0" w:num="3">
            <w:col w:w="3680" w:space="80"/>
            <w:col w:w="3640" w:space="118"/>
            <w:col w:w="3722"/>
          </w:cols>
          <w:pgMar w:left="320" w:top="609" w:right="339" w:bottom="1440" w:gutter="0" w:footer="0" w:header="0"/>
          <w:type w:val="continuous"/>
        </w:sectPr>
      </w:pPr>
    </w:p>
    <w:p>
      <w:pPr>
        <w:spacing w:after="0" w:line="33" w:lineRule="exact"/>
        <w:rPr>
          <w:sz w:val="20"/>
          <w:szCs w:val="20"/>
          <w:color w:val="auto"/>
        </w:rPr>
      </w:pPr>
    </w:p>
    <w:p>
      <w:pPr>
        <w:ind w:left="40" w:right="620"/>
        <w:spacing w:after="0" w:line="317" w:lineRule="auto"/>
        <w:rPr>
          <w:sz w:val="20"/>
          <w:szCs w:val="20"/>
          <w:color w:val="auto"/>
        </w:rPr>
      </w:pPr>
      <w:r>
        <w:rPr>
          <w:rFonts w:ascii="Arial" w:cs="Arial" w:eastAsia="Arial" w:hAnsi="Arial"/>
          <w:sz w:val="16"/>
          <w:szCs w:val="16"/>
          <w:b w:val="1"/>
          <w:bCs w:val="1"/>
          <w:color w:val="475C90"/>
        </w:rPr>
        <w:t>BOARDS SHOULD HAVE STRONG, INDEPENDENT LEADERSHIP</w:t>
      </w:r>
    </w:p>
    <w:p>
      <w:pPr>
        <w:spacing w:after="0" w:line="6" w:lineRule="exact"/>
        <w:rPr>
          <w:sz w:val="20"/>
          <w:szCs w:val="20"/>
          <w:color w:val="auto"/>
        </w:rPr>
      </w:pPr>
    </w:p>
    <w:p>
      <w:pPr>
        <w:ind w:left="180" w:hanging="141"/>
        <w:spacing w:after="0"/>
        <w:tabs>
          <w:tab w:leader="none" w:pos="180" w:val="left"/>
        </w:tabs>
        <w:numPr>
          <w:ilvl w:val="0"/>
          <w:numId w:val="17"/>
        </w:numPr>
        <w:rPr>
          <w:rFonts w:ascii="Arial" w:cs="Arial" w:eastAsia="Arial" w:hAnsi="Arial"/>
          <w:sz w:val="17"/>
          <w:szCs w:val="17"/>
          <w:color w:val="002E6D"/>
        </w:rPr>
      </w:pPr>
      <w:r>
        <w:rPr>
          <w:rFonts w:ascii="Arial" w:cs="Arial" w:eastAsia="Arial" w:hAnsi="Arial"/>
          <w:sz w:val="17"/>
          <w:szCs w:val="17"/>
          <w:color w:val="auto"/>
        </w:rPr>
        <w:t>Empowered independent Lead Director</w:t>
      </w:r>
    </w:p>
    <w:p>
      <w:pPr>
        <w:spacing w:after="0" w:line="7" w:lineRule="exact"/>
        <w:rPr>
          <w:rFonts w:ascii="Arial" w:cs="Arial" w:eastAsia="Arial" w:hAnsi="Arial"/>
          <w:sz w:val="17"/>
          <w:szCs w:val="17"/>
          <w:color w:val="002E6D"/>
        </w:rPr>
      </w:pPr>
    </w:p>
    <w:p>
      <w:pPr>
        <w:ind w:left="180" w:hanging="141"/>
        <w:spacing w:after="0"/>
        <w:tabs>
          <w:tab w:leader="none" w:pos="180" w:val="left"/>
        </w:tabs>
        <w:numPr>
          <w:ilvl w:val="0"/>
          <w:numId w:val="17"/>
        </w:numPr>
        <w:rPr>
          <w:rFonts w:ascii="Arial" w:cs="Arial" w:eastAsia="Arial" w:hAnsi="Arial"/>
          <w:sz w:val="17"/>
          <w:szCs w:val="17"/>
          <w:color w:val="002E6D"/>
        </w:rPr>
      </w:pPr>
      <w:r>
        <w:rPr>
          <w:rFonts w:ascii="Arial" w:cs="Arial" w:eastAsia="Arial" w:hAnsi="Arial"/>
          <w:sz w:val="17"/>
          <w:szCs w:val="17"/>
          <w:color w:val="auto"/>
        </w:rPr>
        <w:t>Annual review of Board leadership structure</w:t>
      </w:r>
    </w:p>
    <w:p>
      <w:pPr>
        <w:spacing w:after="0" w:line="7" w:lineRule="exact"/>
        <w:rPr>
          <w:rFonts w:ascii="Arial" w:cs="Arial" w:eastAsia="Arial" w:hAnsi="Arial"/>
          <w:sz w:val="17"/>
          <w:szCs w:val="17"/>
          <w:color w:val="002E6D"/>
        </w:rPr>
      </w:pPr>
    </w:p>
    <w:p>
      <w:pPr>
        <w:ind w:left="180" w:hanging="141"/>
        <w:spacing w:after="0"/>
        <w:tabs>
          <w:tab w:leader="none" w:pos="180" w:val="left"/>
        </w:tabs>
        <w:numPr>
          <w:ilvl w:val="0"/>
          <w:numId w:val="17"/>
        </w:numPr>
        <w:rPr>
          <w:rFonts w:ascii="Arial" w:cs="Arial" w:eastAsia="Arial" w:hAnsi="Arial"/>
          <w:sz w:val="17"/>
          <w:szCs w:val="17"/>
          <w:color w:val="002E6D"/>
        </w:rPr>
      </w:pPr>
      <w:r>
        <w:rPr>
          <w:rFonts w:ascii="Arial" w:cs="Arial" w:eastAsia="Arial" w:hAnsi="Arial"/>
          <w:sz w:val="17"/>
          <w:szCs w:val="17"/>
          <w:color w:val="auto"/>
        </w:rPr>
        <w:t>Independent chairs of all Board committees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475C90"/>
        </w:rPr>
        <w:t>STOCKHOLDERS SHOULD BE ENTITLED TO VOTING RIGHTS IN PROPORTION TO THEIR ECONOMIC INTEREST</w:t>
      </w:r>
    </w:p>
    <w:p>
      <w:pPr>
        <w:spacing w:after="0" w:line="45" w:lineRule="exact"/>
        <w:rPr>
          <w:sz w:val="20"/>
          <w:szCs w:val="20"/>
          <w:color w:val="auto"/>
        </w:rPr>
      </w:pPr>
    </w:p>
    <w:p>
      <w:pPr>
        <w:ind w:left="140" w:hanging="135"/>
        <w:spacing w:after="0"/>
        <w:tabs>
          <w:tab w:leader="none" w:pos="140" w:val="left"/>
        </w:tabs>
        <w:numPr>
          <w:ilvl w:val="0"/>
          <w:numId w:val="18"/>
        </w:numPr>
        <w:rPr>
          <w:rFonts w:ascii="Arial" w:cs="Arial" w:eastAsia="Arial" w:hAnsi="Arial"/>
          <w:sz w:val="17"/>
          <w:szCs w:val="17"/>
          <w:color w:val="002E6D"/>
        </w:rPr>
      </w:pPr>
      <w:r>
        <w:rPr>
          <w:rFonts w:ascii="Arial" w:cs="Arial" w:eastAsia="Arial" w:hAnsi="Arial"/>
          <w:sz w:val="17"/>
          <w:szCs w:val="17"/>
          <w:color w:val="auto"/>
        </w:rPr>
        <w:t>One class of voting stock</w:t>
      </w:r>
    </w:p>
    <w:p>
      <w:pPr>
        <w:spacing w:after="0" w:line="7" w:lineRule="exact"/>
        <w:rPr>
          <w:rFonts w:ascii="Arial" w:cs="Arial" w:eastAsia="Arial" w:hAnsi="Arial"/>
          <w:sz w:val="17"/>
          <w:szCs w:val="17"/>
          <w:color w:val="002E6D"/>
        </w:rPr>
      </w:pPr>
    </w:p>
    <w:p>
      <w:pPr>
        <w:ind w:left="140" w:hanging="135"/>
        <w:spacing w:after="0"/>
        <w:tabs>
          <w:tab w:leader="none" w:pos="140" w:val="left"/>
        </w:tabs>
        <w:numPr>
          <w:ilvl w:val="0"/>
          <w:numId w:val="18"/>
        </w:numPr>
        <w:rPr>
          <w:rFonts w:ascii="Arial" w:cs="Arial" w:eastAsia="Arial" w:hAnsi="Arial"/>
          <w:sz w:val="17"/>
          <w:szCs w:val="17"/>
          <w:color w:val="002E6D"/>
        </w:rPr>
      </w:pPr>
      <w:r>
        <w:rPr>
          <w:rFonts w:ascii="Arial" w:cs="Arial" w:eastAsia="Arial" w:hAnsi="Arial"/>
          <w:sz w:val="17"/>
          <w:szCs w:val="17"/>
          <w:color w:val="auto"/>
        </w:rPr>
        <w:t>“One share, one vote” standard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2" w:right="40"/>
        <w:spacing w:after="0" w:line="260" w:lineRule="auto"/>
        <w:rPr>
          <w:sz w:val="20"/>
          <w:szCs w:val="20"/>
          <w:color w:val="auto"/>
        </w:rPr>
      </w:pPr>
      <w:r>
        <w:rPr>
          <w:rFonts w:ascii="Arial" w:cs="Arial" w:eastAsia="Arial" w:hAnsi="Arial"/>
          <w:sz w:val="17"/>
          <w:szCs w:val="17"/>
          <w:b w:val="1"/>
          <w:bCs w:val="1"/>
          <w:color w:val="475C90"/>
        </w:rPr>
        <w:t>BOARDS SHOULD DEVELOP MANAGEMENT INCENTIVE STRUCTURES THAT ARE ALIGNED WITH THE LONG-TERM STRATEGY OF THE COMPANY</w:t>
      </w:r>
    </w:p>
    <w:p>
      <w:pPr>
        <w:spacing w:after="0" w:line="50" w:lineRule="exact"/>
        <w:rPr>
          <w:sz w:val="20"/>
          <w:szCs w:val="20"/>
          <w:color w:val="auto"/>
        </w:rPr>
      </w:pPr>
    </w:p>
    <w:p>
      <w:pPr>
        <w:ind w:left="302" w:right="140" w:hanging="302"/>
        <w:spacing w:after="0" w:line="252" w:lineRule="auto"/>
        <w:tabs>
          <w:tab w:leader="none" w:pos="146" w:val="left"/>
        </w:tabs>
        <w:numPr>
          <w:ilvl w:val="0"/>
          <w:numId w:val="19"/>
        </w:numPr>
        <w:rPr>
          <w:rFonts w:ascii="Arial" w:cs="Arial" w:eastAsia="Arial" w:hAnsi="Arial"/>
          <w:sz w:val="17"/>
          <w:szCs w:val="17"/>
          <w:color w:val="002E6D"/>
        </w:rPr>
      </w:pPr>
      <w:r>
        <w:rPr>
          <w:rFonts w:ascii="Arial" w:cs="Arial" w:eastAsia="Arial" w:hAnsi="Arial"/>
          <w:sz w:val="17"/>
          <w:szCs w:val="17"/>
          <w:color w:val="auto"/>
        </w:rPr>
        <w:t>Compensation programs actively reviewed by the Board and include short- and long-term goals tied to the long-range plan and that underpin our long-term strategy</w:t>
      </w:r>
    </w:p>
    <w:p>
      <w:pPr>
        <w:spacing w:after="0" w:line="186" w:lineRule="exact"/>
        <w:rPr>
          <w:sz w:val="20"/>
          <w:szCs w:val="20"/>
          <w:color w:val="auto"/>
        </w:rPr>
      </w:pPr>
    </w:p>
    <w:p>
      <w:pPr>
        <w:sectPr>
          <w:pgSz w:w="11900" w:h="16838" w:orient="portrait"/>
          <w:cols w:equalWidth="0" w:num="3">
            <w:col w:w="3500" w:space="260"/>
            <w:col w:w="3660" w:space="98"/>
            <w:col w:w="3722"/>
          </w:cols>
          <w:pgMar w:left="320" w:top="609" w:right="339" w:bottom="1440" w:gutter="0" w:footer="0" w:header="0"/>
          <w:type w:val="continuous"/>
        </w:sectPr>
      </w:pPr>
    </w:p>
    <w:p>
      <w:pPr>
        <w:spacing w:after="0"/>
        <w:rPr>
          <w:sz w:val="20"/>
          <w:szCs w:val="20"/>
          <w:color w:val="auto"/>
        </w:rPr>
      </w:pPr>
      <w:r>
        <w:rPr>
          <w:rFonts w:ascii="Arial" w:cs="Arial" w:eastAsia="Arial" w:hAnsi="Arial"/>
          <w:sz w:val="25"/>
          <w:szCs w:val="25"/>
          <w:color w:val="475C90"/>
        </w:rPr>
        <w:t>Board Effectiveness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Our Board takes a multi-faceted approach to continually assess Board composition and evaluate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93980</wp:posOffset>
            </wp:positionV>
            <wp:extent cx="8890" cy="2117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21170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890" cy="2117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211709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type w:val="continuous"/>
        </w:sectPr>
      </w:pPr>
    </w:p>
    <w:p>
      <w:pPr>
        <w:spacing w:after="0" w:line="14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475C90"/>
        </w:rPr>
        <w:t>PRACTICES CONTRIBUTING TO BOARD EFFECTIVENESS</w:t>
      </w:r>
    </w:p>
    <w:p>
      <w:pPr>
        <w:spacing w:after="0" w:line="200" w:lineRule="exact"/>
        <w:rPr>
          <w:sz w:val="20"/>
          <w:szCs w:val="20"/>
          <w:color w:val="auto"/>
        </w:rPr>
      </w:pPr>
    </w:p>
    <w:p>
      <w:pPr>
        <w:spacing w:after="0" w:line="354" w:lineRule="exact"/>
        <w:rPr>
          <w:sz w:val="20"/>
          <w:szCs w:val="20"/>
          <w:color w:val="auto"/>
        </w:rPr>
      </w:pPr>
    </w:p>
    <w:p>
      <w:pPr>
        <w:ind w:left="240" w:hanging="133"/>
        <w:spacing w:after="0"/>
        <w:tabs>
          <w:tab w:leader="none" w:pos="240" w:val="left"/>
        </w:tabs>
        <w:numPr>
          <w:ilvl w:val="0"/>
          <w:numId w:val="20"/>
        </w:numPr>
        <w:rPr>
          <w:rFonts w:ascii="Arial" w:cs="Arial" w:eastAsia="Arial" w:hAnsi="Arial"/>
          <w:sz w:val="17"/>
          <w:szCs w:val="17"/>
          <w:color w:val="002E6D"/>
        </w:rPr>
      </w:pPr>
      <w:r>
        <w:rPr>
          <w:rFonts w:ascii="Arial" w:cs="Arial" w:eastAsia="Arial" w:hAnsi="Arial"/>
          <w:sz w:val="17"/>
          <w:szCs w:val="17"/>
          <w:color w:val="auto"/>
        </w:rPr>
        <w:t>Identification of Diverse Board Candidates</w:t>
      </w:r>
    </w:p>
    <w:p>
      <w:pPr>
        <w:spacing w:after="0" w:line="128" w:lineRule="exact"/>
        <w:rPr>
          <w:rFonts w:ascii="Arial" w:cs="Arial" w:eastAsia="Arial" w:hAnsi="Arial"/>
          <w:sz w:val="17"/>
          <w:szCs w:val="17"/>
          <w:color w:val="002E6D"/>
        </w:rPr>
      </w:pPr>
    </w:p>
    <w:p>
      <w:pPr>
        <w:ind w:left="240" w:hanging="133"/>
        <w:spacing w:after="0"/>
        <w:tabs>
          <w:tab w:leader="none" w:pos="240" w:val="left"/>
        </w:tabs>
        <w:numPr>
          <w:ilvl w:val="0"/>
          <w:numId w:val="20"/>
        </w:numPr>
        <w:rPr>
          <w:rFonts w:ascii="Arial" w:cs="Arial" w:eastAsia="Arial" w:hAnsi="Arial"/>
          <w:sz w:val="17"/>
          <w:szCs w:val="17"/>
          <w:color w:val="002E6D"/>
        </w:rPr>
      </w:pPr>
      <w:r>
        <w:rPr>
          <w:rFonts w:ascii="Arial" w:cs="Arial" w:eastAsia="Arial" w:hAnsi="Arial"/>
          <w:sz w:val="17"/>
          <w:szCs w:val="17"/>
          <w:color w:val="auto"/>
        </w:rPr>
        <w:t>Rotation of Board Committee Assignments</w:t>
      </w:r>
    </w:p>
    <w:p>
      <w:pPr>
        <w:spacing w:after="0" w:line="128" w:lineRule="exact"/>
        <w:rPr>
          <w:rFonts w:ascii="Arial" w:cs="Arial" w:eastAsia="Arial" w:hAnsi="Arial"/>
          <w:sz w:val="17"/>
          <w:szCs w:val="17"/>
          <w:color w:val="002E6D"/>
        </w:rPr>
      </w:pPr>
    </w:p>
    <w:p>
      <w:pPr>
        <w:ind w:left="240" w:hanging="133"/>
        <w:spacing w:after="0"/>
        <w:tabs>
          <w:tab w:leader="none" w:pos="240" w:val="left"/>
        </w:tabs>
        <w:numPr>
          <w:ilvl w:val="0"/>
          <w:numId w:val="20"/>
        </w:numPr>
        <w:rPr>
          <w:rFonts w:ascii="Arial" w:cs="Arial" w:eastAsia="Arial" w:hAnsi="Arial"/>
          <w:sz w:val="17"/>
          <w:szCs w:val="17"/>
          <w:color w:val="002E6D"/>
        </w:rPr>
      </w:pPr>
      <w:r>
        <w:rPr>
          <w:rFonts w:ascii="Arial" w:cs="Arial" w:eastAsia="Arial" w:hAnsi="Arial"/>
          <w:sz w:val="17"/>
          <w:szCs w:val="17"/>
          <w:color w:val="auto"/>
        </w:rPr>
        <w:t>Annual Performance Assessments</w:t>
      </w:r>
    </w:p>
    <w:p>
      <w:pPr>
        <w:spacing w:after="0" w:line="128" w:lineRule="exact"/>
        <w:rPr>
          <w:rFonts w:ascii="Arial" w:cs="Arial" w:eastAsia="Arial" w:hAnsi="Arial"/>
          <w:sz w:val="17"/>
          <w:szCs w:val="17"/>
          <w:color w:val="002E6D"/>
        </w:rPr>
      </w:pPr>
    </w:p>
    <w:p>
      <w:pPr>
        <w:ind w:left="240" w:hanging="133"/>
        <w:spacing w:after="0"/>
        <w:tabs>
          <w:tab w:leader="none" w:pos="240" w:val="left"/>
        </w:tabs>
        <w:numPr>
          <w:ilvl w:val="0"/>
          <w:numId w:val="20"/>
        </w:numPr>
        <w:rPr>
          <w:rFonts w:ascii="Arial" w:cs="Arial" w:eastAsia="Arial" w:hAnsi="Arial"/>
          <w:sz w:val="17"/>
          <w:szCs w:val="17"/>
          <w:color w:val="002E6D"/>
        </w:rPr>
      </w:pPr>
      <w:r>
        <w:rPr>
          <w:rFonts w:ascii="Arial" w:cs="Arial" w:eastAsia="Arial" w:hAnsi="Arial"/>
          <w:sz w:val="17"/>
          <w:szCs w:val="17"/>
          <w:color w:val="auto"/>
        </w:rPr>
        <w:t>Robust Onboarding and Continuing Education</w:t>
      </w:r>
    </w:p>
    <w:p>
      <w:pPr>
        <w:spacing w:after="0" w:line="128" w:lineRule="exact"/>
        <w:rPr>
          <w:rFonts w:ascii="Arial" w:cs="Arial" w:eastAsia="Arial" w:hAnsi="Arial"/>
          <w:sz w:val="17"/>
          <w:szCs w:val="17"/>
          <w:color w:val="002E6D"/>
        </w:rPr>
      </w:pPr>
    </w:p>
    <w:p>
      <w:pPr>
        <w:ind w:left="240" w:hanging="133"/>
        <w:spacing w:after="0"/>
        <w:tabs>
          <w:tab w:leader="none" w:pos="240" w:val="left"/>
        </w:tabs>
        <w:numPr>
          <w:ilvl w:val="0"/>
          <w:numId w:val="20"/>
        </w:numPr>
        <w:rPr>
          <w:rFonts w:ascii="Arial" w:cs="Arial" w:eastAsia="Arial" w:hAnsi="Arial"/>
          <w:sz w:val="17"/>
          <w:szCs w:val="17"/>
          <w:color w:val="002E6D"/>
        </w:rPr>
      </w:pPr>
      <w:r>
        <w:rPr>
          <w:rFonts w:ascii="Arial" w:cs="Arial" w:eastAsia="Arial" w:hAnsi="Arial"/>
          <w:sz w:val="17"/>
          <w:szCs w:val="17"/>
          <w:color w:val="auto"/>
        </w:rPr>
        <w:t>Tenure and Overboarding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145415</wp:posOffset>
            </wp:positionV>
            <wp:extent cx="33432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475C90"/>
        </w:rPr>
        <w:t>MEANINGFUL REFRESHMENT</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Board has added 6 new directors in the 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385445</wp:posOffset>
            </wp:positionV>
            <wp:extent cx="96901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475C90"/>
        </w:rPr>
        <w:t>SKILLS ENHANCED IN THE 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260985</wp:posOffset>
            </wp:positionV>
            <wp:extent cx="257175"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137160</wp:posOffset>
            </wp:positionV>
            <wp:extent cx="26543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430" cy="265430"/>
                    </a:xfrm>
                    <a:prstGeom prst="rect">
                      <a:avLst/>
                    </a:prstGeom>
                    <a:noFill/>
                  </pic:spPr>
                </pic:pic>
              </a:graphicData>
            </a:graphic>
          </wp:anchor>
        </w:drawing>
      </w:r>
    </w:p>
    <w:p>
      <w:pPr>
        <w:spacing w:after="0" w:line="338" w:lineRule="exact"/>
        <w:rPr>
          <w:sz w:val="20"/>
          <w:szCs w:val="20"/>
          <w:color w:val="auto"/>
        </w:rPr>
      </w:pPr>
    </w:p>
    <w:p>
      <w:pPr>
        <w:jc w:val="right"/>
        <w:ind w:right="520"/>
        <w:spacing w:after="0"/>
        <w:rPr>
          <w:sz w:val="20"/>
          <w:szCs w:val="20"/>
          <w:color w:val="auto"/>
        </w:rPr>
      </w:pPr>
      <w:r>
        <w:rPr>
          <w:rFonts w:ascii="Arial" w:cs="Arial" w:eastAsia="Arial" w:hAnsi="Arial"/>
          <w:sz w:val="17"/>
          <w:szCs w:val="17"/>
          <w:color w:val="auto"/>
        </w:rPr>
        <w:t>Environment, safety and health, and sustainability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145415</wp:posOffset>
            </wp:positionV>
            <wp:extent cx="257175"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Global organization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137160</wp:posOffset>
            </wp:positionV>
            <wp:extent cx="257175"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Innovation, information technology and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137160</wp:posOffset>
            </wp:positionV>
            <wp:extent cx="257175"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Industry and customer experience</w:t>
      </w:r>
    </w:p>
    <w:p>
      <w:pPr>
        <w:spacing w:after="0" w:line="240" w:lineRule="exact"/>
        <w:rPr>
          <w:sz w:val="20"/>
          <w:szCs w:val="20"/>
          <w:color w:val="auto"/>
        </w:rPr>
      </w:pPr>
    </w:p>
    <w:p>
      <w:pPr>
        <w:sectPr>
          <w:pgSz w:w="11900" w:h="16838" w:orient="portrait"/>
          <w:cols w:equalWidth="0" w:num="2">
            <w:col w:w="4860" w:space="700"/>
            <w:col w:w="5680"/>
          </w:cols>
          <w:pgMar w:left="320" w:top="609" w:right="3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8</w:t>
      </w:r>
    </w:p>
    <w:p>
      <w:pPr>
        <w:sectPr>
          <w:pgSz w:w="11900" w:h="16838" w:orient="portrait"/>
          <w:cols w:equalWidth="0" w:num="1">
            <w:col w:w="11240"/>
          </w:cols>
          <w:pgMar w:left="320" w:top="609"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5"/>
          <w:szCs w:val="15"/>
          <w:color w:val="003478"/>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43"/>
          <w:szCs w:val="43"/>
          <w:color w:val="003478"/>
        </w:rPr>
        <w:t>Executive Compensation Highlights</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color w:val="475C90"/>
        </w:rPr>
        <w:t>2020 CEO Transition and Pay Decisions</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March 12, 2020, the Board elected James D. Taiclet to succeed Marillyn A. Hewson as President and Chief Executive Officer (CEO) of the Corporation, effective June 15, 2020. Following the recommendation of the Management Development and Compensation Committee (Compensation Committee), the Board of Directors approved the 2020 compensation arrangements for Mr. Taiclet as President and CEO, which was comprised of an annual base salary of $1,700,000, an annual incentive target of 175% of salary for 2020 under the Lockheed Martin Corporation Amended and Restated 2006 Management Incentive Compensation Plan (MICP), to be prorated based on time in the role; and an annual long-term incentive (LTI) award opportunity for 2020 of $14.0 million, allocated 50% in Performance Stock Units (PSUs), 30% in Restricted Stock Units (RSUs) and 20% in the cash-based Long-Term Incentive Performance award (LTIP). Additionally, the Board approved a replacement award of RSUs to offset forfeited unvested incentive equity awards from his former employer. These arrangements are further detailed on pages 42 and 43.</w:t>
      </w:r>
    </w:p>
    <w:p>
      <w:pPr>
        <w:spacing w:after="0" w:line="103" w:lineRule="exact"/>
        <w:rPr>
          <w:sz w:val="20"/>
          <w:szCs w:val="20"/>
          <w:color w:val="auto"/>
        </w:rPr>
      </w:pPr>
    </w:p>
    <w:p>
      <w:pPr>
        <w:jc w:val="both"/>
        <w:ind w:right="320"/>
        <w:spacing w:after="0" w:line="270" w:lineRule="auto"/>
        <w:rPr>
          <w:sz w:val="20"/>
          <w:szCs w:val="20"/>
          <w:color w:val="auto"/>
        </w:rPr>
      </w:pPr>
      <w:r>
        <w:rPr>
          <w:rFonts w:ascii="Arial" w:cs="Arial" w:eastAsia="Arial" w:hAnsi="Arial"/>
          <w:sz w:val="17"/>
          <w:szCs w:val="17"/>
          <w:color w:val="auto"/>
        </w:rPr>
        <w:t>Mr. Taiclet has served as a member of the Board since 2018, with his tenure beginning prior to his appointment as President and CEO. Upon the commencement of his employment with the Corporation, Mr. Taiclet did not receive any additional compensation for serving as a member of the Board and his unvested equity awards under the Lockheed Martin Corporation Amended and Restated Directors Equity Plan were forfeited.</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color w:val="475C90"/>
        </w:rPr>
        <w:t>2020 Pay and Performance</w:t>
      </w:r>
    </w:p>
    <w:p>
      <w:pPr>
        <w:spacing w:after="0" w:line="110"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A substantial portion of compensation paid to our named executive officers (NEOs) is performance-based. We use the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our comparator group to set target compensation but allow for payments to exceed or fall below the target level based upon actual performance. This outcome is consistent with our pay-for-performance philosophy to set pay and targets at market levels, but pay incentive compensation to reflect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445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99" w:lineRule="exact"/>
        <w:rPr>
          <w:sz w:val="20"/>
          <w:szCs w:val="20"/>
          <w:color w:val="auto"/>
        </w:rPr>
      </w:pPr>
    </w:p>
    <w:p>
      <w:pPr>
        <w:ind w:left="100" w:right="80"/>
        <w:spacing w:after="0" w:line="270" w:lineRule="auto"/>
        <w:rPr>
          <w:sz w:val="20"/>
          <w:szCs w:val="20"/>
          <w:color w:val="auto"/>
        </w:rPr>
      </w:pPr>
      <w:r>
        <w:rPr>
          <w:rFonts w:ascii="Arial" w:cs="Arial" w:eastAsia="Arial" w:hAnsi="Arial"/>
          <w:sz w:val="17"/>
          <w:szCs w:val="17"/>
          <w:color w:val="auto"/>
        </w:rPr>
        <w:t>Based on our strong short- and long-term financial and operational performance, as manifested in record sales, segment operating profit, and earnings per share from continuing operations for the year, our 2020 annual and 2018-2020 LTI plans paid out above their respective target levels. The Board did not make any modifications to our compensation programs or positive adjustments in response to COVID-19.</w:t>
      </w:r>
    </w:p>
    <w:p>
      <w:pPr>
        <w:spacing w:after="0" w:line="123"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4920" w:type="dxa"/>
            <w:vAlign w:val="bottom"/>
            <w:tcBorders>
              <w:top w:val="single" w:sz="8" w:color="002F6C"/>
            </w:tcBorders>
          </w:tcPr>
          <w:p>
            <w:pPr>
              <w:spacing w:after="0"/>
              <w:rPr>
                <w:sz w:val="20"/>
                <w:szCs w:val="20"/>
                <w:color w:val="auto"/>
              </w:rPr>
            </w:pPr>
            <w:r>
              <w:rPr>
                <w:rFonts w:ascii="Arial" w:cs="Arial" w:eastAsia="Arial" w:hAnsi="Arial"/>
                <w:sz w:val="16"/>
                <w:szCs w:val="16"/>
                <w:color w:val="475C90"/>
              </w:rPr>
              <w:t>1-, 3- and 5-Year Total Stockholder Returns</w:t>
            </w:r>
          </w:p>
        </w:tc>
        <w:tc>
          <w:tcPr>
            <w:tcW w:w="100" w:type="dxa"/>
            <w:vAlign w:val="bottom"/>
          </w:tcPr>
          <w:p>
            <w:pPr>
              <w:spacing w:after="0"/>
              <w:rPr>
                <w:sz w:val="16"/>
                <w:szCs w:val="16"/>
                <w:color w:val="auto"/>
              </w:rPr>
            </w:pPr>
          </w:p>
        </w:tc>
        <w:tc>
          <w:tcPr>
            <w:tcW w:w="5960" w:type="dxa"/>
            <w:vAlign w:val="bottom"/>
            <w:tcBorders>
              <w:top w:val="single" w:sz="8" w:color="002E6D"/>
            </w:tcBorders>
          </w:tcPr>
          <w:p>
            <w:pPr>
              <w:ind w:left="20"/>
              <w:spacing w:after="0"/>
              <w:rPr>
                <w:sz w:val="20"/>
                <w:szCs w:val="20"/>
                <w:color w:val="auto"/>
              </w:rPr>
            </w:pPr>
            <w:r>
              <w:rPr>
                <w:rFonts w:ascii="Arial" w:cs="Arial" w:eastAsia="Arial" w:hAnsi="Arial"/>
                <w:sz w:val="14"/>
                <w:szCs w:val="14"/>
                <w:color w:val="475B90"/>
              </w:rPr>
              <w:t>2020 Annual Incentive</w:t>
            </w:r>
          </w:p>
        </w:tc>
      </w:tr>
      <w:tr>
        <w:trPr>
          <w:trHeight w:val="17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60" w:type="dxa"/>
            <w:vAlign w:val="bottom"/>
          </w:tcPr>
          <w:p>
            <w:pPr>
              <w:ind w:left="20"/>
              <w:spacing w:after="0"/>
              <w:rPr>
                <w:sz w:val="20"/>
                <w:szCs w:val="20"/>
                <w:color w:val="auto"/>
              </w:rPr>
            </w:pPr>
            <w:r>
              <w:rPr>
                <w:rFonts w:ascii="Arial" w:cs="Arial" w:eastAsia="Arial" w:hAnsi="Arial"/>
                <w:sz w:val="14"/>
                <w:szCs w:val="14"/>
                <w:color w:val="auto"/>
              </w:rPr>
              <w:t>Component Weightings and Achievements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-14605</wp:posOffset>
            </wp:positionV>
            <wp:extent cx="6969125" cy="2785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6912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Arial" w:cs="Arial" w:eastAsia="Arial" w:hAnsi="Arial"/>
          <w:sz w:val="14"/>
          <w:szCs w:val="14"/>
          <w:color w:val="475B90"/>
        </w:rPr>
        <w:t>2018-2020 Long-Term Incentive</w:t>
      </w:r>
    </w:p>
    <w:p>
      <w:pPr>
        <w:ind w:left="5300"/>
        <w:spacing w:after="0"/>
        <w:rPr>
          <w:sz w:val="20"/>
          <w:szCs w:val="20"/>
          <w:color w:val="auto"/>
        </w:rPr>
      </w:pPr>
      <w:r>
        <w:rPr>
          <w:rFonts w:ascii="Arial" w:cs="Arial" w:eastAsia="Arial" w:hAnsi="Arial"/>
          <w:sz w:val="14"/>
          <w:szCs w:val="14"/>
          <w:color w:val="auto"/>
        </w:rPr>
        <w:t>Component Weightings and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48895</wp:posOffset>
            </wp:positionV>
            <wp:extent cx="3232150" cy="10026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000000"/>
                        </a:clrFrom>
                        <a:clrTo>
                          <a:srgbClr val="000000">
                            <a:alpha val="0"/>
                          </a:srgbClr>
                        </a:clrTo>
                      </a:clrChange>
                      <a:extLst>
                        <a:ext uri="{28A0092B-C50C-407E-A947-70E740481C1C}"/>
                      </a:extLst>
                    </a:blip>
                    <a:srcRect/>
                    <a:stretch>
                      <a:fillRect/>
                    </a:stretch>
                  </pic:blipFill>
                  <pic:spPr bwMode="auto">
                    <a:xfrm>
                      <a:off x="0" y="0"/>
                      <a:ext cx="3232150" cy="100266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48895</wp:posOffset>
            </wp:positionV>
            <wp:extent cx="3232150" cy="10026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323215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right="460" w:hanging="252"/>
        <w:spacing w:after="0" w:line="258" w:lineRule="auto"/>
        <w:tabs>
          <w:tab w:leader="none" w:pos="233"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See Non-GAAP terms in Appendix A for an explanation of “Segment Operating Profit,” “Return on Invested Capital (ROIC),” and “Performance Cash” and our forward-looking statements concerning future performance or goals for future performance.</w:t>
      </w:r>
    </w:p>
    <w:p>
      <w:pPr>
        <w:sectPr>
          <w:pgSz w:w="11900" w:h="16838" w:orient="portrait"/>
          <w:cols w:equalWidth="0" w:num="1">
            <w:col w:w="11240"/>
          </w:cols>
          <w:pgMar w:left="320" w:top="609"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8600" w:val="left"/>
          <w:tab w:leader="none" w:pos="111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9</w:t>
      </w:r>
    </w:p>
    <w:p>
      <w:pPr>
        <w:sectPr>
          <w:pgSz w:w="11900" w:h="16838" w:orient="portrait"/>
          <w:cols w:equalWidth="0" w:num="1">
            <w:col w:w="11240"/>
          </w:cols>
          <w:pgMar w:left="320" w:top="60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5"/>
          <w:szCs w:val="15"/>
          <w:color w:val="003478"/>
        </w:rPr>
        <w:t>Proxy Statement Summary</w:t>
      </w:r>
    </w:p>
    <w:p>
      <w:pPr>
        <w:spacing w:after="0" w:line="200" w:lineRule="exact"/>
        <w:rPr>
          <w:sz w:val="20"/>
          <w:szCs w:val="20"/>
          <w:color w:val="auto"/>
        </w:rPr>
      </w:pPr>
    </w:p>
    <w:p>
      <w:pPr>
        <w:spacing w:after="0" w:line="383" w:lineRule="exact"/>
        <w:rPr>
          <w:sz w:val="20"/>
          <w:szCs w:val="20"/>
          <w:color w:val="auto"/>
        </w:rPr>
      </w:pPr>
    </w:p>
    <w:p>
      <w:pPr>
        <w:ind w:left="300"/>
        <w:spacing w:after="0"/>
        <w:rPr>
          <w:sz w:val="20"/>
          <w:szCs w:val="20"/>
          <w:color w:val="auto"/>
        </w:rPr>
      </w:pPr>
      <w:r>
        <w:rPr>
          <w:rFonts w:ascii="Arial" w:cs="Arial" w:eastAsia="Arial" w:hAnsi="Arial"/>
          <w:sz w:val="29"/>
          <w:szCs w:val="29"/>
          <w:color w:val="002E6D"/>
        </w:rPr>
        <w:t>Enterprise Risk and Sustainability</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25"/>
          <w:szCs w:val="25"/>
          <w:color w:val="475C90"/>
        </w:rPr>
        <w:t>Sustainability Governance Structure</w:t>
      </w:r>
    </w:p>
    <w:p>
      <w:pPr>
        <w:spacing w:after="0" w:line="245" w:lineRule="exact"/>
        <w:rPr>
          <w:sz w:val="20"/>
          <w:szCs w:val="20"/>
          <w:color w:val="auto"/>
        </w:rPr>
      </w:pPr>
    </w:p>
    <w:p>
      <w:pPr>
        <w:ind w:left="300" w:right="140"/>
        <w:spacing w:after="0" w:line="218" w:lineRule="auto"/>
        <w:rPr>
          <w:sz w:val="20"/>
          <w:szCs w:val="20"/>
          <w:color w:val="auto"/>
        </w:rPr>
      </w:pPr>
      <w:r>
        <w:rPr>
          <w:rFonts w:ascii="Arial" w:cs="Arial" w:eastAsia="Arial" w:hAnsi="Arial"/>
          <w:sz w:val="17"/>
          <w:szCs w:val="17"/>
          <w:color w:val="auto"/>
        </w:rPr>
        <w:t>We take an integrated approach to managing corporate culture, ethics and business integrity, governance, and sustainability issues through a risk management lens. Oversight of ESG matters follows our formal sustainability governance structure. This structure includes our Nominating and Corporate Governance Committee (Governance Committee), the executive leadership team and a working group of key functional leaders who partner to implement sustainability policies and processes across our operations. The Governance Committee is chartered by the Board of Directors to lead its oversight responsibilities relating to the Corporation’s ethical conduct, human rights, environmental stewardship, corporate culture, philanthropy, workforce diversity, health and safety.</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25"/>
          <w:szCs w:val="25"/>
          <w:color w:val="475C90"/>
        </w:rPr>
        <w:t>Relevant Issues and Strategic Priorities</w:t>
      </w:r>
    </w:p>
    <w:p>
      <w:pPr>
        <w:ind w:left="300"/>
        <w:spacing w:after="0" w:line="234" w:lineRule="auto"/>
        <w:rPr>
          <w:sz w:val="20"/>
          <w:szCs w:val="20"/>
          <w:color w:val="auto"/>
        </w:rPr>
      </w:pPr>
      <w:r>
        <w:rPr>
          <w:rFonts w:ascii="Arial" w:cs="Arial" w:eastAsia="Arial" w:hAnsi="Arial"/>
          <w:sz w:val="17"/>
          <w:szCs w:val="17"/>
          <w:color w:val="auto"/>
        </w:rPr>
        <w:t>Through 2020, we have focused on five core sustainability issues and</w:t>
      </w:r>
    </w:p>
    <w:p>
      <w:pPr>
        <w:ind w:left="300"/>
        <w:spacing w:after="0" w:line="215" w:lineRule="auto"/>
        <w:rPr>
          <w:sz w:val="20"/>
          <w:szCs w:val="20"/>
          <w:color w:val="auto"/>
        </w:rPr>
      </w:pPr>
      <w:r>
        <w:rPr>
          <w:rFonts w:ascii="Arial" w:cs="Arial" w:eastAsia="Arial" w:hAnsi="Arial"/>
          <w:sz w:val="17"/>
          <w:szCs w:val="17"/>
          <w:color w:val="auto"/>
        </w:rPr>
        <w:t>objectives, which are set forth below. These five core issues include</w:t>
      </w:r>
    </w:p>
    <w:p>
      <w:pPr>
        <w:ind w:left="300"/>
        <w:spacing w:after="0" w:line="216" w:lineRule="auto"/>
        <w:rPr>
          <w:sz w:val="20"/>
          <w:szCs w:val="20"/>
          <w:color w:val="auto"/>
        </w:rPr>
      </w:pPr>
      <w:r>
        <w:rPr>
          <w:rFonts w:ascii="Arial" w:cs="Arial" w:eastAsia="Arial" w:hAnsi="Arial"/>
          <w:sz w:val="17"/>
          <w:szCs w:val="17"/>
          <w:color w:val="auto"/>
        </w:rPr>
        <w:t>ESG topics that represent stakeholder priorities and drivers of long-term</w:t>
      </w:r>
    </w:p>
    <w:p>
      <w:pPr>
        <w:ind w:left="300"/>
        <w:spacing w:after="0" w:line="215" w:lineRule="auto"/>
        <w:rPr>
          <w:sz w:val="20"/>
          <w:szCs w:val="20"/>
          <w:color w:val="auto"/>
        </w:rPr>
      </w:pPr>
      <w:r>
        <w:rPr>
          <w:rFonts w:ascii="Arial" w:cs="Arial" w:eastAsia="Arial" w:hAnsi="Arial"/>
          <w:sz w:val="17"/>
          <w:szCs w:val="17"/>
          <w:color w:val="auto"/>
        </w:rPr>
        <w:t>value creation. The independent directors who serve on the Governance</w:t>
      </w:r>
    </w:p>
    <w:p>
      <w:pPr>
        <w:ind w:left="300"/>
        <w:spacing w:after="0" w:line="216" w:lineRule="auto"/>
        <w:rPr>
          <w:sz w:val="20"/>
          <w:szCs w:val="20"/>
          <w:color w:val="auto"/>
        </w:rPr>
      </w:pPr>
      <w:r>
        <w:rPr>
          <w:rFonts w:ascii="Arial" w:cs="Arial" w:eastAsia="Arial" w:hAnsi="Arial"/>
          <w:sz w:val="17"/>
          <w:szCs w:val="17"/>
          <w:color w:val="auto"/>
        </w:rPr>
        <w:t>Committee review performance against the Sustainability Management</w:t>
      </w:r>
    </w:p>
    <w:p>
      <w:pPr>
        <w:ind w:left="300"/>
        <w:spacing w:after="0" w:line="215" w:lineRule="auto"/>
        <w:rPr>
          <w:sz w:val="20"/>
          <w:szCs w:val="20"/>
          <w:color w:val="auto"/>
        </w:rPr>
      </w:pPr>
      <w:r>
        <w:rPr>
          <w:rFonts w:ascii="Arial" w:cs="Arial" w:eastAsia="Arial" w:hAnsi="Arial"/>
          <w:sz w:val="17"/>
          <w:szCs w:val="17"/>
          <w:color w:val="auto"/>
        </w:rPr>
        <w:t>Plan, a set of targets that correspond to objectives associated with our</w:t>
      </w:r>
    </w:p>
    <w:p>
      <w:pPr>
        <w:ind w:left="300"/>
        <w:spacing w:after="0" w:line="216" w:lineRule="auto"/>
        <w:rPr>
          <w:sz w:val="20"/>
          <w:szCs w:val="20"/>
          <w:color w:val="auto"/>
        </w:rPr>
      </w:pPr>
      <w:r>
        <w:rPr>
          <w:rFonts w:ascii="Arial" w:cs="Arial" w:eastAsia="Arial" w:hAnsi="Arial"/>
          <w:sz w:val="17"/>
          <w:szCs w:val="17"/>
          <w:color w:val="auto"/>
        </w:rPr>
        <w:t>five core sustainability issues. The Governance Committee also</w:t>
      </w:r>
    </w:p>
    <w:p>
      <w:pPr>
        <w:ind w:left="300"/>
        <w:spacing w:after="0" w:line="215" w:lineRule="auto"/>
        <w:rPr>
          <w:sz w:val="20"/>
          <w:szCs w:val="20"/>
          <w:color w:val="auto"/>
        </w:rPr>
      </w:pPr>
      <w:r>
        <w:rPr>
          <w:rFonts w:ascii="Arial" w:cs="Arial" w:eastAsia="Arial" w:hAnsi="Arial"/>
          <w:sz w:val="17"/>
          <w:szCs w:val="17"/>
          <w:color w:val="auto"/>
        </w:rPr>
        <w:t>approves the Corporation’s Code of Conduct</w:t>
      </w:r>
    </w:p>
    <w:p>
      <w:pPr>
        <w:ind w:left="300"/>
        <w:spacing w:after="0" w:line="21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www.lockheedmartin.com/en-us/who-we-are/ethics/code-of-ethics.html</w:t>
      </w:r>
      <w:r>
        <w:rPr>
          <w:rFonts w:ascii="Arial" w:cs="Arial" w:eastAsia="Arial" w:hAnsi="Arial"/>
          <w:sz w:val="17"/>
          <w:szCs w:val="17"/>
          <w:color w:val="auto"/>
        </w:rPr>
        <w:t>)</w:t>
      </w:r>
    </w:p>
    <w:p>
      <w:pPr>
        <w:ind w:left="300"/>
        <w:spacing w:after="0"/>
        <w:rPr>
          <w:sz w:val="20"/>
          <w:szCs w:val="20"/>
          <w:color w:val="auto"/>
        </w:rPr>
      </w:pPr>
      <w:r>
        <w:rPr>
          <w:rFonts w:ascii="Arial" w:cs="Arial" w:eastAsia="Arial" w:hAnsi="Arial"/>
          <w:sz w:val="17"/>
          <w:szCs w:val="17"/>
          <w:color w:val="auto"/>
        </w:rPr>
        <w:t>and annual Sustainability Report (</w:t>
      </w:r>
      <w:r>
        <w:rPr>
          <w:rFonts w:ascii="Arial" w:cs="Arial" w:eastAsia="Arial" w:hAnsi="Arial"/>
          <w:sz w:val="17"/>
          <w:szCs w:val="17"/>
          <w:i w:val="1"/>
          <w:iCs w:val="1"/>
          <w:color w:val="auto"/>
        </w:rPr>
        <w:t>sustainability.lockheedmartin.com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497205</wp:posOffset>
            </wp:positionV>
            <wp:extent cx="2914650" cy="2828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1465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line="219" w:lineRule="auto"/>
        <w:rPr>
          <w:sz w:val="20"/>
          <w:szCs w:val="20"/>
          <w:color w:val="auto"/>
        </w:rPr>
      </w:pPr>
      <w:r>
        <w:rPr>
          <w:rFonts w:ascii="Arial" w:cs="Arial" w:eastAsia="Arial" w:hAnsi="Arial"/>
          <w:sz w:val="17"/>
          <w:szCs w:val="17"/>
          <w:color w:val="auto"/>
        </w:rPr>
        <w:t>In 2019-2020, we underwent a core issues assessment and surveyed our stakeholders to inform our next generation of sustainability priorities. This updated core issue model, previewed on page 34, focuses our efforts in the areas that provide the greatest value to our stakeholders and our business. Our 2020 Sustainability Report will include the revised goals and key performance indicators (KPIs) that reflect the stakeholder feedback we have received, internal and external trends, and the continued evolution of our business to create value well into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383540</wp:posOffset>
            </wp:positionV>
            <wp:extent cx="96901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475C90"/>
        </w:rPr>
        <w:t>Sustainability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-318770</wp:posOffset>
            </wp:positionV>
            <wp:extent cx="3308985" cy="9340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8985" cy="934085"/>
                    </a:xfrm>
                    <a:prstGeom prst="rect">
                      <a:avLst/>
                    </a:prstGeom>
                    <a:noFill/>
                  </pic:spPr>
                </pic:pic>
              </a:graphicData>
            </a:graphic>
          </wp:anchor>
        </w:drawing>
      </w:r>
    </w:p>
    <w:p>
      <w:pPr>
        <w:spacing w:after="0" w:line="132" w:lineRule="exact"/>
        <w:rPr>
          <w:sz w:val="20"/>
          <w:szCs w:val="20"/>
          <w:color w:val="auto"/>
        </w:rPr>
      </w:pPr>
    </w:p>
    <w:p>
      <w:pPr>
        <w:jc w:val="center"/>
        <w:ind w:left="-119"/>
        <w:spacing w:after="0" w:line="270" w:lineRule="auto"/>
        <w:rPr>
          <w:sz w:val="20"/>
          <w:szCs w:val="20"/>
          <w:color w:val="auto"/>
        </w:rPr>
      </w:pPr>
      <w:r>
        <w:rPr>
          <w:rFonts w:ascii="Arial" w:cs="Arial" w:eastAsia="Arial" w:hAnsi="Arial"/>
          <w:sz w:val="17"/>
          <w:szCs w:val="17"/>
          <w:color w:val="auto"/>
        </w:rPr>
        <w:t>Our sustainability mission is to foster innovation, integrity and security to protect the environment, strengthen communities and propel responsible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133350</wp:posOffset>
            </wp:positionV>
            <wp:extent cx="3317240" cy="62833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17240" cy="628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475C90"/>
        </w:rPr>
        <w:t>Our Sustainability Governance Structure</w:t>
      </w:r>
    </w:p>
    <w:p>
      <w:pPr>
        <w:sectPr>
          <w:pgSz w:w="11900" w:h="16838" w:orient="portrait"/>
          <w:cols w:equalWidth="0" w:num="2">
            <w:col w:w="5780" w:space="400"/>
            <w:col w:w="4740"/>
          </w:cols>
          <w:pgMar w:left="320" w:top="609" w:right="659" w:bottom="1440" w:gutter="0" w:footer="0" w:header="0"/>
        </w:sectPr>
      </w:pPr>
    </w:p>
    <w:bookmarkStart w:id="14" w:name="page15"/>
    <w:bookmarkEnd w:id="14"/>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4744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r>
    </w:p>
    <w:p>
      <w:pPr>
        <w:ind w:left="480"/>
        <w:spacing w:after="0"/>
        <w:rPr>
          <w:sz w:val="20"/>
          <w:szCs w:val="20"/>
          <w:color w:val="auto"/>
        </w:rPr>
      </w:pPr>
      <w:r>
        <w:rPr>
          <w:rFonts w:ascii="Arial" w:cs="Arial" w:eastAsia="Arial" w:hAnsi="Arial"/>
          <w:sz w:val="39"/>
          <w:szCs w:val="39"/>
          <w:color w:val="002E6D"/>
          <w:vertAlign w:val="superscript"/>
        </w:rPr>
        <w:t>Proposal</w:t>
      </w:r>
      <w:r>
        <w:rPr>
          <w:rFonts w:ascii="Arial" w:cs="Arial" w:eastAsia="Arial" w:hAnsi="Arial"/>
          <w:sz w:val="57"/>
          <w:szCs w:val="57"/>
          <w:color w:val="002E6D"/>
          <w:vertAlign w:val="subscript"/>
        </w:rPr>
        <w:t>1</w:t>
      </w:r>
      <w:r>
        <w:rPr>
          <w:rFonts w:ascii="Arial" w:cs="Arial" w:eastAsia="Arial" w:hAnsi="Arial"/>
          <w:sz w:val="29"/>
          <w:szCs w:val="29"/>
          <w:color w:val="002E6D"/>
        </w:rPr>
        <w:t xml:space="preserve"> Election of Directors</w:t>
      </w:r>
    </w:p>
    <w:p>
      <w:pPr>
        <w:spacing w:after="0" w:line="233" w:lineRule="exact"/>
        <w:rPr>
          <w:sz w:val="20"/>
          <w:szCs w:val="20"/>
          <w:color w:val="auto"/>
        </w:rPr>
      </w:pPr>
    </w:p>
    <w:p>
      <w:pPr>
        <w:ind w:left="1700" w:hanging="243"/>
        <w:spacing w:after="0"/>
        <w:tabs>
          <w:tab w:leader="none" w:pos="1700" w:val="left"/>
        </w:tabs>
        <w:numPr>
          <w:ilvl w:val="0"/>
          <w:numId w:val="22"/>
        </w:numPr>
        <w:rPr>
          <w:rFonts w:ascii="Arial" w:cs="Arial" w:eastAsia="Arial" w:hAnsi="Arial"/>
          <w:sz w:val="17"/>
          <w:szCs w:val="17"/>
          <w:color w:val="002E6D"/>
        </w:rPr>
      </w:pPr>
      <w:r>
        <w:rPr>
          <w:rFonts w:ascii="Arial" w:cs="Arial" w:eastAsia="Arial" w:hAnsi="Arial"/>
          <w:sz w:val="17"/>
          <w:szCs w:val="17"/>
          <w:color w:val="002E6D"/>
        </w:rPr>
        <w:t>Diverse slate of directors with broad leadership and customer experience.</w:t>
      </w:r>
    </w:p>
    <w:p>
      <w:pPr>
        <w:spacing w:after="0" w:line="74" w:lineRule="exact"/>
        <w:rPr>
          <w:rFonts w:ascii="Arial" w:cs="Arial" w:eastAsia="Arial" w:hAnsi="Arial"/>
          <w:sz w:val="17"/>
          <w:szCs w:val="17"/>
          <w:color w:val="002E6D"/>
        </w:rPr>
      </w:pPr>
    </w:p>
    <w:p>
      <w:pPr>
        <w:ind w:left="1700" w:hanging="243"/>
        <w:spacing w:after="0"/>
        <w:tabs>
          <w:tab w:leader="none" w:pos="1700" w:val="left"/>
        </w:tabs>
        <w:numPr>
          <w:ilvl w:val="0"/>
          <w:numId w:val="22"/>
        </w:numPr>
        <w:rPr>
          <w:rFonts w:ascii="Arial" w:cs="Arial" w:eastAsia="Arial" w:hAnsi="Arial"/>
          <w:sz w:val="17"/>
          <w:szCs w:val="17"/>
          <w:color w:val="002E6D"/>
        </w:rPr>
      </w:pPr>
      <w:r>
        <w:rPr>
          <w:rFonts w:ascii="Arial" w:cs="Arial" w:eastAsia="Arial" w:hAnsi="Arial"/>
          <w:sz w:val="17"/>
          <w:szCs w:val="17"/>
          <w:color w:val="002E6D"/>
        </w:rPr>
        <w:t>Ten of our eleven director-nominees are independent.</w:t>
      </w:r>
    </w:p>
    <w:p>
      <w:pPr>
        <w:spacing w:after="0" w:line="74" w:lineRule="exact"/>
        <w:rPr>
          <w:rFonts w:ascii="Arial" w:cs="Arial" w:eastAsia="Arial" w:hAnsi="Arial"/>
          <w:sz w:val="17"/>
          <w:szCs w:val="17"/>
          <w:color w:val="002E6D"/>
        </w:rPr>
      </w:pPr>
    </w:p>
    <w:p>
      <w:pPr>
        <w:ind w:left="1700" w:hanging="243"/>
        <w:spacing w:after="0"/>
        <w:tabs>
          <w:tab w:leader="none" w:pos="1700" w:val="left"/>
        </w:tabs>
        <w:numPr>
          <w:ilvl w:val="0"/>
          <w:numId w:val="22"/>
        </w:numPr>
        <w:rPr>
          <w:rFonts w:ascii="Arial" w:cs="Arial" w:eastAsia="Arial" w:hAnsi="Arial"/>
          <w:sz w:val="17"/>
          <w:szCs w:val="17"/>
          <w:color w:val="002E6D"/>
        </w:rPr>
      </w:pPr>
      <w:r>
        <w:rPr>
          <w:rFonts w:ascii="Arial" w:cs="Arial" w:eastAsia="Arial" w:hAnsi="Arial"/>
          <w:sz w:val="17"/>
          <w:szCs w:val="17"/>
          <w:color w:val="002E6D"/>
        </w:rPr>
        <w:t>Average director tenure is six years with six new directors in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002E6D"/>
        </w:rPr>
        <w:t>The Board unanimously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002E6D"/>
        </w:rPr>
        <w:t>recommends a vote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002E6D"/>
        </w:rPr>
        <w:t>each of the director-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002E6D"/>
        </w:rPr>
        <w:t>nominees.</w:t>
      </w:r>
    </w:p>
    <w:p>
      <w:pPr>
        <w:spacing w:after="0" w:line="200" w:lineRule="exact"/>
        <w:rPr>
          <w:sz w:val="20"/>
          <w:szCs w:val="20"/>
          <w:color w:val="auto"/>
        </w:rPr>
      </w:pPr>
    </w:p>
    <w:p>
      <w:pPr>
        <w:sectPr>
          <w:pgSz w:w="11900" w:h="16838" w:orient="portrait"/>
          <w:cols w:equalWidth="0" w:num="2">
            <w:col w:w="8120" w:space="720"/>
            <w:col w:w="2380"/>
          </w:cols>
          <w:pgMar w:left="320" w:top="1440" w:right="35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color w:val="002E6D"/>
        </w:rPr>
        <w:t>Board Composition, Qualifications and Diversity</w:t>
      </w:r>
    </w:p>
    <w:p>
      <w:pPr>
        <w:spacing w:after="0" w:line="12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have no agreements obligating the Corporation to nominate a particular candidate as a director, and none of our directors represents a special interest or a particular stockholder or group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405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pacing w:after="0" w:line="232" w:lineRule="exact"/>
        <w:rPr>
          <w:sz w:val="20"/>
          <w:szCs w:val="20"/>
          <w:color w:val="auto"/>
        </w:rPr>
      </w:pPr>
    </w:p>
    <w:p>
      <w:pPr>
        <w:ind w:left="100" w:right="80"/>
        <w:spacing w:after="0" w:line="266" w:lineRule="auto"/>
        <w:rPr>
          <w:sz w:val="20"/>
          <w:szCs w:val="20"/>
          <w:color w:val="auto"/>
        </w:rPr>
      </w:pPr>
      <w:r>
        <w:rPr>
          <w:rFonts w:ascii="Arial" w:cs="Arial" w:eastAsia="Arial" w:hAnsi="Arial"/>
          <w:sz w:val="17"/>
          <w:szCs w:val="17"/>
          <w:color w:val="auto"/>
        </w:rPr>
        <w:t>At Lockheed Martin, we recognize diversity and inclusion as a business imperative and strategic asset to our investors. We believe that our business accomplishments are a result of the efforts of our employees around the world, and that a diverse employee population will result in a better understanding of our customers’ needs. Our success with a diverse workforce also informs our views about the value of a board of directors that has persons of diverse skills, experiences and backgrounds. To this end, the Board seeks to identify candidates with areas of knowledge or experience that will expand or complement the Board’s existing expertise in overseeing a technologically advanced global security and aerospace company. While the Corporation does not have a formal policy on Board diversity, our Governance Guidelines place a great emphasis on diversity, and our Governance Committee actively considers diversity in recruitment and nominations of director candidates. The current composition of our Board reflects those efforts and the importance of diversity to our Board. Diversity in skills and backgrounds ensures that the widest range of options and viewpoints are expressed in the boardroom.</w:t>
      </w: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color w:val="002E6D"/>
        </w:rPr>
        <w:t>Board Attendance</w:t>
      </w:r>
    </w:p>
    <w:p>
      <w:pPr>
        <w:spacing w:after="0" w:line="123"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In 2020, the Board met a total of 11 times. All directors on the Board during 2020 attended more than 75 percent of the total Board and committee meetings to which they were assigned and overall attendance was greater than 97 percent. Board members are encouraged to attend the annual meeting of stockholders and all incumbent directors attended the 2020 virtual annual meeting.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11</w:t>
      </w:r>
    </w:p>
    <w:p>
      <w:pPr>
        <w:sectPr>
          <w:pgSz w:w="11900" w:h="16838" w:orient="portrait"/>
          <w:cols w:equalWidth="0" w:num="1">
            <w:col w:w="11220"/>
          </w:cols>
          <w:pgMar w:left="320" w:top="1440"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9"/>
          <w:szCs w:val="29"/>
          <w:color w:val="002E6D"/>
        </w:rPr>
        <w:t>Summary of Director-Nominees’ Core Competencies</w:t>
      </w:r>
    </w:p>
    <w:p>
      <w:pPr>
        <w:ind w:right="120"/>
        <w:spacing w:after="0" w:line="222" w:lineRule="auto"/>
        <w:rPr>
          <w:sz w:val="20"/>
          <w:szCs w:val="20"/>
          <w:color w:val="auto"/>
        </w:rPr>
      </w:pPr>
      <w:r>
        <w:rPr>
          <w:rFonts w:ascii="Arial" w:cs="Arial" w:eastAsia="Arial" w:hAnsi="Arial"/>
          <w:sz w:val="17"/>
          <w:szCs w:val="17"/>
          <w:color w:val="auto"/>
        </w:rPr>
        <w:t>We consider current Board skills, background, experience, tenure and anticipated retirements to identify gaps that may need to be filled through the Board refreshment process. The following chart summarizes the core competencies that the Board considers valuable to effective governance and successful oversight of our corporate strategy, and illustrates how the current Board members individually and collectively represent these key competencies. The lack of an indicator for a particular item does not mean that the director does not possess that qualification, skill or experience, rather, the indicator represents that the item is a core competency that the director brings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12700</wp:posOffset>
            </wp:positionV>
            <wp:extent cx="3000375" cy="342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00375" cy="342900"/>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0"/>
          <w:szCs w:val="20"/>
          <w:color w:val="002E6D"/>
        </w:rPr>
        <w:t>SKILLS AND EXPERIENCE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5920" w:type="dxa"/>
            <w:vAlign w:val="bottom"/>
            <w:tcBorders>
              <w:top w:val="single" w:sz="8" w:color="002E6D"/>
            </w:tcBorders>
          </w:tcPr>
          <w:p>
            <w:pPr>
              <w:ind w:left="680"/>
              <w:spacing w:after="0"/>
              <w:rPr>
                <w:sz w:val="20"/>
                <w:szCs w:val="20"/>
                <w:color w:val="auto"/>
              </w:rPr>
            </w:pPr>
            <w:r>
              <w:rPr>
                <w:rFonts w:ascii="Arial" w:cs="Arial" w:eastAsia="Arial" w:hAnsi="Arial"/>
                <w:sz w:val="17"/>
                <w:szCs w:val="17"/>
                <w:b w:val="1"/>
                <w:bCs w:val="1"/>
                <w:color w:val="002E6D"/>
              </w:rPr>
              <w:t>CEO LEADERSHIP EXPERIENCE</w:t>
            </w:r>
          </w:p>
        </w:tc>
        <w:tc>
          <w:tcPr>
            <w:tcW w:w="480" w:type="dxa"/>
            <w:vAlign w:val="bottom"/>
            <w:tcBorders>
              <w:top w:val="single" w:sz="8" w:color="002169"/>
            </w:tcBorders>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tcBorders>
              <w:top w:val="single" w:sz="8" w:color="002169"/>
            </w:tcBorders>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Borders>
              <w:top w:val="single" w:sz="8" w:color="002169"/>
            </w:tcBorders>
            <w:shd w:val="clear" w:color="auto" w:fill="E5E7EF"/>
          </w:tcPr>
          <w:p>
            <w:pPr>
              <w:spacing w:after="0"/>
              <w:rPr>
                <w:sz w:val="24"/>
                <w:szCs w:val="24"/>
                <w:color w:val="auto"/>
              </w:rPr>
            </w:pPr>
          </w:p>
        </w:tc>
        <w:tc>
          <w:tcPr>
            <w:tcW w:w="480" w:type="dxa"/>
            <w:vAlign w:val="bottom"/>
            <w:tcBorders>
              <w:top w:val="single" w:sz="8" w:color="002169"/>
            </w:tcBorders>
          </w:tcPr>
          <w:p>
            <w:pPr>
              <w:spacing w:after="0"/>
              <w:rPr>
                <w:sz w:val="24"/>
                <w:szCs w:val="24"/>
                <w:color w:val="auto"/>
              </w:rPr>
            </w:pPr>
          </w:p>
        </w:tc>
        <w:tc>
          <w:tcPr>
            <w:tcW w:w="460" w:type="dxa"/>
            <w:vAlign w:val="bottom"/>
            <w:tcBorders>
              <w:top w:val="single" w:sz="8" w:color="002169"/>
            </w:tcBorders>
            <w:shd w:val="clear" w:color="auto" w:fill="E5E7EF"/>
          </w:tcPr>
          <w:p>
            <w:pPr>
              <w:spacing w:after="0"/>
              <w:rPr>
                <w:sz w:val="24"/>
                <w:szCs w:val="24"/>
                <w:color w:val="auto"/>
              </w:rPr>
            </w:pPr>
          </w:p>
        </w:tc>
        <w:tc>
          <w:tcPr>
            <w:tcW w:w="480" w:type="dxa"/>
            <w:vAlign w:val="bottom"/>
            <w:tcBorders>
              <w:top w:val="single" w:sz="8" w:color="002169"/>
            </w:tcBorders>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tcBorders>
              <w:top w:val="single" w:sz="8" w:color="002169"/>
            </w:tcBorders>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00" w:type="dxa"/>
            <w:vAlign w:val="bottom"/>
            <w:tcBorders>
              <w:top w:val="single" w:sz="8" w:color="002169"/>
            </w:tcBorders>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Borders>
              <w:top w:val="single" w:sz="8" w:color="002169"/>
            </w:tcBorders>
            <w:shd w:val="clear" w:color="auto" w:fill="E5E7EF"/>
          </w:tcPr>
          <w:p>
            <w:pPr>
              <w:spacing w:after="0"/>
              <w:rPr>
                <w:sz w:val="24"/>
                <w:szCs w:val="24"/>
                <w:color w:val="auto"/>
              </w:rPr>
            </w:pPr>
          </w:p>
        </w:tc>
        <w:tc>
          <w:tcPr>
            <w:tcW w:w="560" w:type="dxa"/>
            <w:vAlign w:val="bottom"/>
            <w:tcBorders>
              <w:top w:val="single" w:sz="8" w:color="002169"/>
            </w:tcBorders>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Borders>
              <w:top w:val="single" w:sz="8" w:color="002169"/>
            </w:tcBorders>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0" w:type="dxa"/>
            <w:vAlign w:val="bottom"/>
          </w:tcPr>
          <w:p>
            <w:pPr>
              <w:spacing w:after="0"/>
              <w:rPr>
                <w:sz w:val="1"/>
                <w:szCs w:val="1"/>
                <w:color w:val="auto"/>
              </w:rPr>
            </w:pPr>
          </w:p>
        </w:tc>
      </w:tr>
      <w:tr>
        <w:trPr>
          <w:trHeight w:val="176"/>
        </w:trPr>
        <w:tc>
          <w:tcPr>
            <w:tcW w:w="5920" w:type="dxa"/>
            <w:vAlign w:val="bottom"/>
          </w:tcPr>
          <w:p>
            <w:pPr>
              <w:ind w:left="680"/>
              <w:spacing w:after="0" w:line="176" w:lineRule="exact"/>
              <w:rPr>
                <w:sz w:val="20"/>
                <w:szCs w:val="20"/>
                <w:color w:val="auto"/>
              </w:rPr>
            </w:pPr>
            <w:r>
              <w:rPr>
                <w:rFonts w:ascii="Arial" w:cs="Arial" w:eastAsia="Arial" w:hAnsi="Arial"/>
                <w:sz w:val="17"/>
                <w:szCs w:val="17"/>
                <w:color w:val="auto"/>
              </w:rPr>
              <w:t>CEO public company leadership that contributes to the</w:t>
            </w:r>
          </w:p>
        </w:tc>
        <w:tc>
          <w:tcPr>
            <w:tcW w:w="480" w:type="dxa"/>
            <w:vAlign w:val="bottom"/>
            <w:vMerge w:val="continue"/>
            <w:shd w:val="clear" w:color="auto" w:fill="E5E7EF"/>
          </w:tcPr>
          <w:p>
            <w:pPr>
              <w:spacing w:after="0"/>
              <w:rPr>
                <w:sz w:val="15"/>
                <w:szCs w:val="15"/>
                <w:color w:val="auto"/>
              </w:rPr>
            </w:pPr>
          </w:p>
        </w:tc>
        <w:tc>
          <w:tcPr>
            <w:tcW w:w="460" w:type="dxa"/>
            <w:vAlign w:val="bottom"/>
            <w:vMerge w:val="continue"/>
          </w:tcPr>
          <w:p>
            <w:pPr>
              <w:spacing w:after="0"/>
              <w:rPr>
                <w:sz w:val="15"/>
                <w:szCs w:val="15"/>
                <w:color w:val="auto"/>
              </w:rPr>
            </w:pPr>
          </w:p>
        </w:tc>
        <w:tc>
          <w:tcPr>
            <w:tcW w:w="480" w:type="dxa"/>
            <w:vAlign w:val="bottom"/>
            <w:shd w:val="clear" w:color="auto" w:fill="E5E7EF"/>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shd w:val="clear" w:color="auto" w:fill="E5E7EF"/>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vMerge w:val="continue"/>
            <w:shd w:val="clear" w:color="auto" w:fill="E5E7EF"/>
          </w:tcPr>
          <w:p>
            <w:pPr>
              <w:spacing w:after="0"/>
              <w:rPr>
                <w:sz w:val="15"/>
                <w:szCs w:val="15"/>
                <w:color w:val="auto"/>
              </w:rPr>
            </w:pPr>
          </w:p>
        </w:tc>
        <w:tc>
          <w:tcPr>
            <w:tcW w:w="500" w:type="dxa"/>
            <w:vAlign w:val="bottom"/>
            <w:vMerge w:val="continue"/>
          </w:tcPr>
          <w:p>
            <w:pPr>
              <w:spacing w:after="0"/>
              <w:rPr>
                <w:sz w:val="15"/>
                <w:szCs w:val="15"/>
                <w:color w:val="auto"/>
              </w:rPr>
            </w:pPr>
          </w:p>
        </w:tc>
        <w:tc>
          <w:tcPr>
            <w:tcW w:w="480" w:type="dxa"/>
            <w:vAlign w:val="bottom"/>
            <w:shd w:val="clear" w:color="auto" w:fill="E5E7EF"/>
          </w:tcPr>
          <w:p>
            <w:pPr>
              <w:spacing w:after="0"/>
              <w:rPr>
                <w:sz w:val="15"/>
                <w:szCs w:val="15"/>
                <w:color w:val="auto"/>
              </w:rPr>
            </w:pPr>
          </w:p>
        </w:tc>
        <w:tc>
          <w:tcPr>
            <w:tcW w:w="560" w:type="dxa"/>
            <w:vAlign w:val="bottom"/>
            <w:vMerge w:val="continue"/>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20" w:type="dxa"/>
            <w:vAlign w:val="bottom"/>
          </w:tcPr>
          <w:p>
            <w:pPr>
              <w:ind w:left="680"/>
              <w:spacing w:after="0"/>
              <w:rPr>
                <w:sz w:val="20"/>
                <w:szCs w:val="20"/>
                <w:color w:val="auto"/>
              </w:rPr>
            </w:pPr>
            <w:r>
              <w:rPr>
                <w:rFonts w:ascii="Arial" w:cs="Arial" w:eastAsia="Arial" w:hAnsi="Arial"/>
                <w:sz w:val="17"/>
                <w:szCs w:val="17"/>
                <w:color w:val="auto"/>
              </w:rPr>
              <w:t>understanding and oversight of large complex organizations</w:t>
            </w:r>
          </w:p>
        </w:tc>
        <w:tc>
          <w:tcPr>
            <w:tcW w:w="480" w:type="dxa"/>
            <w:vAlign w:val="bottom"/>
            <w:shd w:val="clear" w:color="auto" w:fill="E5E7EF"/>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59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shd w:val="clear" w:color="auto" w:fill="E5E7EF"/>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shd w:val="clear" w:color="auto" w:fill="E5E7EF"/>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shd w:val="clear" w:color="auto" w:fill="E5E7EF"/>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shd w:val="clear" w:color="auto" w:fill="E5E7EF"/>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shd w:val="clear" w:color="auto" w:fill="E5E7EF"/>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5920" w:type="dxa"/>
            <w:vAlign w:val="bottom"/>
          </w:tcPr>
          <w:p>
            <w:pPr>
              <w:ind w:left="680"/>
              <w:spacing w:after="0"/>
              <w:rPr>
                <w:sz w:val="20"/>
                <w:szCs w:val="20"/>
                <w:color w:val="auto"/>
              </w:rPr>
            </w:pPr>
            <w:r>
              <w:rPr>
                <w:rFonts w:ascii="Arial" w:cs="Arial" w:eastAsia="Arial" w:hAnsi="Arial"/>
                <w:sz w:val="17"/>
                <w:szCs w:val="17"/>
                <w:b w:val="1"/>
                <w:bCs w:val="1"/>
                <w:color w:val="002E6D"/>
              </w:rPr>
              <w:t>ENVIRONMENTAL, SAFETY &amp; SUSTAINABILITY</w:t>
            </w:r>
          </w:p>
        </w:tc>
        <w:tc>
          <w:tcPr>
            <w:tcW w:w="480" w:type="dxa"/>
            <w:vAlign w:val="bottom"/>
            <w:shd w:val="clear" w:color="auto" w:fill="E5E7EF"/>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shd w:val="clear" w:color="auto" w:fill="E5E7EF"/>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shd w:val="clear" w:color="auto" w:fill="E5E7EF"/>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shd w:val="clear" w:color="auto" w:fill="E5E7EF"/>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shd w:val="clear" w:color="auto" w:fill="E5E7EF"/>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shd w:val="clear" w:color="auto" w:fill="E5E7E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680"/>
              <w:spacing w:after="0"/>
              <w:rPr>
                <w:sz w:val="20"/>
                <w:szCs w:val="20"/>
                <w:color w:val="auto"/>
              </w:rPr>
            </w:pPr>
            <w:r>
              <w:rPr>
                <w:rFonts w:ascii="Arial" w:cs="Arial" w:eastAsia="Arial" w:hAnsi="Arial"/>
                <w:sz w:val="17"/>
                <w:szCs w:val="17"/>
                <w:color w:val="auto"/>
              </w:rPr>
              <w:t>Strengthens the Board's oversight and assures that strategic</w:t>
            </w:r>
          </w:p>
        </w:tc>
        <w:tc>
          <w:tcPr>
            <w:tcW w:w="480" w:type="dxa"/>
            <w:vAlign w:val="bottom"/>
            <w:shd w:val="clear" w:color="auto" w:fill="E5E7EF"/>
          </w:tcPr>
          <w:p>
            <w:pPr>
              <w:spacing w:after="0"/>
              <w:rPr>
                <w:sz w:val="17"/>
                <w:szCs w:val="17"/>
                <w:color w:val="auto"/>
              </w:rPr>
            </w:pPr>
          </w:p>
        </w:tc>
        <w:tc>
          <w:tcPr>
            <w:tcW w:w="4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0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shd w:val="clear" w:color="auto" w:fill="E5E7EF"/>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920" w:type="dxa"/>
            <w:vAlign w:val="bottom"/>
            <w:vMerge w:val="restart"/>
          </w:tcPr>
          <w:p>
            <w:pPr>
              <w:ind w:left="680"/>
              <w:spacing w:after="0"/>
              <w:rPr>
                <w:sz w:val="20"/>
                <w:szCs w:val="20"/>
                <w:color w:val="auto"/>
              </w:rPr>
            </w:pPr>
            <w:r>
              <w:rPr>
                <w:rFonts w:ascii="Arial" w:cs="Arial" w:eastAsia="Arial" w:hAnsi="Arial"/>
                <w:sz w:val="17"/>
                <w:szCs w:val="17"/>
                <w:color w:val="auto"/>
              </w:rPr>
              <w:t>business imperatives and long-term value creation are achieved in</w:t>
            </w:r>
          </w:p>
        </w:tc>
        <w:tc>
          <w:tcPr>
            <w:tcW w:w="480" w:type="dxa"/>
            <w:vAlign w:val="bottom"/>
            <w:shd w:val="clear" w:color="auto" w:fill="E5E7EF"/>
          </w:tcPr>
          <w:p>
            <w:pPr>
              <w:spacing w:after="0"/>
              <w:rPr>
                <w:sz w:val="13"/>
                <w:szCs w:val="13"/>
                <w:color w:val="auto"/>
              </w:rPr>
            </w:pPr>
          </w:p>
        </w:tc>
        <w:tc>
          <w:tcPr>
            <w:tcW w:w="460" w:type="dxa"/>
            <w:vAlign w:val="bottom"/>
            <w:vMerge w:val="continue"/>
          </w:tcPr>
          <w:p>
            <w:pPr>
              <w:spacing w:after="0"/>
              <w:rPr>
                <w:sz w:val="13"/>
                <w:szCs w:val="13"/>
                <w:color w:val="auto"/>
              </w:rPr>
            </w:pPr>
          </w:p>
        </w:tc>
        <w:tc>
          <w:tcPr>
            <w:tcW w:w="480" w:type="dxa"/>
            <w:vAlign w:val="bottom"/>
            <w:shd w:val="clear" w:color="auto" w:fill="E5E7EF"/>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shd w:val="clear" w:color="auto" w:fill="E5E7EF"/>
          </w:tcPr>
          <w:p>
            <w:pPr>
              <w:spacing w:after="0"/>
              <w:rPr>
                <w:sz w:val="13"/>
                <w:szCs w:val="13"/>
                <w:color w:val="auto"/>
              </w:rPr>
            </w:pPr>
          </w:p>
        </w:tc>
        <w:tc>
          <w:tcPr>
            <w:tcW w:w="480" w:type="dxa"/>
            <w:vAlign w:val="bottom"/>
            <w:vMerge w:val="continue"/>
          </w:tcPr>
          <w:p>
            <w:pPr>
              <w:spacing w:after="0"/>
              <w:rPr>
                <w:sz w:val="13"/>
                <w:szCs w:val="13"/>
                <w:color w:val="auto"/>
              </w:rPr>
            </w:pPr>
          </w:p>
        </w:tc>
        <w:tc>
          <w:tcPr>
            <w:tcW w:w="460" w:type="dxa"/>
            <w:vAlign w:val="bottom"/>
            <w:vMerge w:val="continue"/>
            <w:shd w:val="clear" w:color="auto" w:fill="E5E7EF"/>
          </w:tcPr>
          <w:p>
            <w:pPr>
              <w:spacing w:after="0"/>
              <w:rPr>
                <w:sz w:val="13"/>
                <w:szCs w:val="13"/>
                <w:color w:val="auto"/>
              </w:rPr>
            </w:pPr>
          </w:p>
        </w:tc>
        <w:tc>
          <w:tcPr>
            <w:tcW w:w="500" w:type="dxa"/>
            <w:vAlign w:val="bottom"/>
            <w:vMerge w:val="continue"/>
          </w:tcPr>
          <w:p>
            <w:pPr>
              <w:spacing w:after="0"/>
              <w:rPr>
                <w:sz w:val="13"/>
                <w:szCs w:val="13"/>
                <w:color w:val="auto"/>
              </w:rPr>
            </w:pPr>
          </w:p>
        </w:tc>
        <w:tc>
          <w:tcPr>
            <w:tcW w:w="480" w:type="dxa"/>
            <w:vAlign w:val="bottom"/>
            <w:shd w:val="clear" w:color="auto" w:fill="E5E7EF"/>
          </w:tcPr>
          <w:p>
            <w:pPr>
              <w:spacing w:after="0"/>
              <w:rPr>
                <w:sz w:val="13"/>
                <w:szCs w:val="13"/>
                <w:color w:val="auto"/>
              </w:rPr>
            </w:pPr>
          </w:p>
        </w:tc>
        <w:tc>
          <w:tcPr>
            <w:tcW w:w="560" w:type="dxa"/>
            <w:vAlign w:val="bottom"/>
            <w:vMerge w:val="continue"/>
          </w:tcPr>
          <w:p>
            <w:pPr>
              <w:spacing w:after="0"/>
              <w:rPr>
                <w:sz w:val="13"/>
                <w:szCs w:val="13"/>
                <w:color w:val="auto"/>
              </w:rPr>
            </w:pPr>
          </w:p>
        </w:tc>
        <w:tc>
          <w:tcPr>
            <w:tcW w:w="480" w:type="dxa"/>
            <w:vAlign w:val="bottom"/>
            <w:shd w:val="clear" w:color="auto" w:fill="E5E7EF"/>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5920" w:type="dxa"/>
            <w:vAlign w:val="bottom"/>
            <w:vMerge w:val="continue"/>
          </w:tcPr>
          <w:p>
            <w:pPr>
              <w:spacing w:after="0"/>
              <w:rPr>
                <w:sz w:val="4"/>
                <w:szCs w:val="4"/>
                <w:color w:val="auto"/>
              </w:rPr>
            </w:pPr>
          </w:p>
        </w:tc>
        <w:tc>
          <w:tcPr>
            <w:tcW w:w="480" w:type="dxa"/>
            <w:vAlign w:val="bottom"/>
            <w:shd w:val="clear" w:color="auto" w:fill="E5E7EF"/>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shd w:val="clear" w:color="auto" w:fill="E5E7EF"/>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shd w:val="clear" w:color="auto" w:fill="E5E7EF"/>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shd w:val="clear" w:color="auto" w:fill="E5E7EF"/>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shd w:val="clear" w:color="auto" w:fill="E5E7EF"/>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shd w:val="clear" w:color="auto" w:fill="E5E7E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680"/>
              <w:spacing w:after="0"/>
              <w:rPr>
                <w:sz w:val="20"/>
                <w:szCs w:val="20"/>
                <w:color w:val="auto"/>
              </w:rPr>
            </w:pPr>
            <w:r>
              <w:rPr>
                <w:rFonts w:ascii="Arial" w:cs="Arial" w:eastAsia="Arial" w:hAnsi="Arial"/>
                <w:sz w:val="17"/>
                <w:szCs w:val="17"/>
                <w:color w:val="auto"/>
              </w:rPr>
              <w:t>accordance with our environmental, safety and sustainability</w:t>
            </w:r>
          </w:p>
        </w:tc>
        <w:tc>
          <w:tcPr>
            <w:tcW w:w="480" w:type="dxa"/>
            <w:vAlign w:val="bottom"/>
            <w:shd w:val="clear" w:color="auto" w:fill="E5E7EF"/>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20" w:type="dxa"/>
            <w:vAlign w:val="bottom"/>
          </w:tcPr>
          <w:p>
            <w:pPr>
              <w:ind w:left="680"/>
              <w:spacing w:after="0"/>
              <w:rPr>
                <w:sz w:val="20"/>
                <w:szCs w:val="20"/>
                <w:color w:val="auto"/>
              </w:rPr>
            </w:pPr>
            <w:r>
              <w:rPr>
                <w:rFonts w:ascii="Arial" w:cs="Arial" w:eastAsia="Arial" w:hAnsi="Arial"/>
                <w:sz w:val="17"/>
                <w:szCs w:val="17"/>
                <w:color w:val="auto"/>
              </w:rPr>
              <w:t>initiatives</w:t>
            </w:r>
          </w:p>
        </w:tc>
        <w:tc>
          <w:tcPr>
            <w:tcW w:w="480" w:type="dxa"/>
            <w:vAlign w:val="bottom"/>
            <w:shd w:val="clear" w:color="auto" w:fill="E5E7EF"/>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59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shd w:val="clear" w:color="auto" w:fill="E5E7EF"/>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shd w:val="clear" w:color="auto" w:fill="E5E7EF"/>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5920" w:type="dxa"/>
            <w:vAlign w:val="bottom"/>
          </w:tcPr>
          <w:p>
            <w:pPr>
              <w:ind w:left="680"/>
              <w:spacing w:after="0"/>
              <w:rPr>
                <w:sz w:val="20"/>
                <w:szCs w:val="20"/>
                <w:color w:val="auto"/>
              </w:rPr>
            </w:pPr>
            <w:r>
              <w:rPr>
                <w:rFonts w:ascii="Arial" w:cs="Arial" w:eastAsia="Arial" w:hAnsi="Arial"/>
                <w:sz w:val="17"/>
                <w:szCs w:val="17"/>
                <w:b w:val="1"/>
                <w:bCs w:val="1"/>
                <w:color w:val="002E6D"/>
              </w:rPr>
              <w:t>HUMAN CAPITAL MANAGEMENT</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0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0" w:type="dxa"/>
            <w:vAlign w:val="bottom"/>
          </w:tcPr>
          <w:p>
            <w:pPr>
              <w:spacing w:after="0"/>
              <w:rPr>
                <w:sz w:val="1"/>
                <w:szCs w:val="1"/>
                <w:color w:val="auto"/>
              </w:rPr>
            </w:pPr>
          </w:p>
        </w:tc>
      </w:tr>
      <w:tr>
        <w:trPr>
          <w:trHeight w:val="176"/>
        </w:trPr>
        <w:tc>
          <w:tcPr>
            <w:tcW w:w="5920" w:type="dxa"/>
            <w:vAlign w:val="bottom"/>
          </w:tcPr>
          <w:p>
            <w:pPr>
              <w:ind w:left="680"/>
              <w:spacing w:after="0" w:line="176" w:lineRule="exact"/>
              <w:rPr>
                <w:sz w:val="20"/>
                <w:szCs w:val="20"/>
                <w:color w:val="auto"/>
              </w:rPr>
            </w:pPr>
            <w:r>
              <w:rPr>
                <w:rFonts w:ascii="Arial" w:cs="Arial" w:eastAsia="Arial" w:hAnsi="Arial"/>
                <w:sz w:val="17"/>
                <w:szCs w:val="17"/>
                <w:color w:val="auto"/>
              </w:rPr>
              <w:t>Contributes to our ability to attract, motivate and retain a highly</w:t>
            </w:r>
          </w:p>
        </w:tc>
        <w:tc>
          <w:tcPr>
            <w:tcW w:w="480" w:type="dxa"/>
            <w:vAlign w:val="bottom"/>
            <w:vMerge w:val="continue"/>
            <w:shd w:val="clear" w:color="auto" w:fill="E5E7EF"/>
          </w:tcPr>
          <w:p>
            <w:pPr>
              <w:spacing w:after="0"/>
              <w:rPr>
                <w:sz w:val="15"/>
                <w:szCs w:val="15"/>
                <w:color w:val="auto"/>
              </w:rPr>
            </w:pPr>
          </w:p>
        </w:tc>
        <w:tc>
          <w:tcPr>
            <w:tcW w:w="460" w:type="dxa"/>
            <w:vAlign w:val="bottom"/>
            <w:vMerge w:val="continue"/>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vMerge w:val="continue"/>
            <w:shd w:val="clear" w:color="auto" w:fill="E5E7EF"/>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vMerge w:val="continue"/>
            <w:shd w:val="clear" w:color="auto" w:fill="E5E7EF"/>
          </w:tcPr>
          <w:p>
            <w:pPr>
              <w:spacing w:after="0"/>
              <w:rPr>
                <w:sz w:val="15"/>
                <w:szCs w:val="15"/>
                <w:color w:val="auto"/>
              </w:rPr>
            </w:pPr>
          </w:p>
        </w:tc>
        <w:tc>
          <w:tcPr>
            <w:tcW w:w="500" w:type="dxa"/>
            <w:vAlign w:val="bottom"/>
            <w:vMerge w:val="continue"/>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560" w:type="dxa"/>
            <w:vAlign w:val="bottom"/>
            <w:vMerge w:val="continue"/>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20" w:type="dxa"/>
            <w:vAlign w:val="bottom"/>
          </w:tcPr>
          <w:p>
            <w:pPr>
              <w:ind w:left="680"/>
              <w:spacing w:after="0"/>
              <w:rPr>
                <w:sz w:val="20"/>
                <w:szCs w:val="20"/>
                <w:color w:val="auto"/>
              </w:rPr>
            </w:pPr>
            <w:r>
              <w:rPr>
                <w:rFonts w:ascii="Arial" w:cs="Arial" w:eastAsia="Arial" w:hAnsi="Arial"/>
                <w:sz w:val="17"/>
                <w:szCs w:val="17"/>
                <w:color w:val="auto"/>
              </w:rPr>
              <w:t>qualified workforce, including executives</w:t>
            </w:r>
          </w:p>
        </w:tc>
        <w:tc>
          <w:tcPr>
            <w:tcW w:w="480" w:type="dxa"/>
            <w:vAlign w:val="bottom"/>
            <w:shd w:val="clear" w:color="auto" w:fill="E5E7EF"/>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59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shd w:val="clear" w:color="auto" w:fill="E5E7EF"/>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shd w:val="clear" w:color="auto" w:fill="E5E7EF"/>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shd w:val="clear" w:color="auto" w:fill="E5E7EF"/>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shd w:val="clear" w:color="auto" w:fill="E5E7EF"/>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shd w:val="clear" w:color="auto" w:fill="E5E7EF"/>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392"/>
        </w:trPr>
        <w:tc>
          <w:tcPr>
            <w:tcW w:w="5920" w:type="dxa"/>
            <w:vAlign w:val="bottom"/>
          </w:tcPr>
          <w:p>
            <w:pPr>
              <w:ind w:left="680"/>
              <w:spacing w:after="0"/>
              <w:rPr>
                <w:sz w:val="20"/>
                <w:szCs w:val="20"/>
                <w:color w:val="auto"/>
              </w:rPr>
            </w:pPr>
            <w:r>
              <w:rPr>
                <w:rFonts w:ascii="Arial" w:cs="Arial" w:eastAsia="Arial" w:hAnsi="Arial"/>
                <w:sz w:val="17"/>
                <w:szCs w:val="17"/>
                <w:b w:val="1"/>
                <w:bCs w:val="1"/>
                <w:color w:val="002E6D"/>
              </w:rPr>
              <w:t>FINANCIAL EXPERT</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shd w:val="clear" w:color="auto" w:fill="E5E7EF"/>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shd w:val="clear" w:color="auto" w:fill="E5E7EF"/>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0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shd w:val="clear" w:color="auto" w:fill="E5E7EF"/>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shd w:val="clear" w:color="auto" w:fill="E5E7E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680"/>
              <w:spacing w:after="0"/>
              <w:rPr>
                <w:sz w:val="20"/>
                <w:szCs w:val="20"/>
                <w:color w:val="auto"/>
              </w:rPr>
            </w:pPr>
            <w:r>
              <w:rPr>
                <w:rFonts w:ascii="Arial" w:cs="Arial" w:eastAsia="Arial" w:hAnsi="Arial"/>
                <w:sz w:val="17"/>
                <w:szCs w:val="17"/>
                <w:color w:val="auto"/>
              </w:rPr>
              <w:t>Meets the Securities and Exchange Commission's (SEC) criteria as</w:t>
            </w:r>
          </w:p>
        </w:tc>
        <w:tc>
          <w:tcPr>
            <w:tcW w:w="480" w:type="dxa"/>
            <w:vAlign w:val="bottom"/>
            <w:vMerge w:val="continue"/>
            <w:shd w:val="clear" w:color="auto" w:fill="E5E7EF"/>
          </w:tcPr>
          <w:p>
            <w:pPr>
              <w:spacing w:after="0"/>
              <w:rPr>
                <w:sz w:val="17"/>
                <w:szCs w:val="17"/>
                <w:color w:val="auto"/>
              </w:rPr>
            </w:pPr>
          </w:p>
        </w:tc>
        <w:tc>
          <w:tcPr>
            <w:tcW w:w="460" w:type="dxa"/>
            <w:vAlign w:val="bottom"/>
            <w:vMerge w:val="continue"/>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vMerge w:val="continue"/>
          </w:tcPr>
          <w:p>
            <w:pPr>
              <w:spacing w:after="0"/>
              <w:rPr>
                <w:sz w:val="17"/>
                <w:szCs w:val="17"/>
                <w:color w:val="auto"/>
              </w:rPr>
            </w:pPr>
          </w:p>
        </w:tc>
        <w:tc>
          <w:tcPr>
            <w:tcW w:w="460" w:type="dxa"/>
            <w:vAlign w:val="bottom"/>
            <w:vMerge w:val="continue"/>
            <w:shd w:val="clear" w:color="auto" w:fill="E5E7EF"/>
          </w:tcPr>
          <w:p>
            <w:pPr>
              <w:spacing w:after="0"/>
              <w:rPr>
                <w:sz w:val="17"/>
                <w:szCs w:val="17"/>
                <w:color w:val="auto"/>
              </w:rPr>
            </w:pPr>
          </w:p>
        </w:tc>
        <w:tc>
          <w:tcPr>
            <w:tcW w:w="500" w:type="dxa"/>
            <w:vAlign w:val="bottom"/>
            <w:vMerge w:val="continue"/>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vMerge w:val="continue"/>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20" w:type="dxa"/>
            <w:vAlign w:val="bottom"/>
          </w:tcPr>
          <w:p>
            <w:pPr>
              <w:ind w:left="680"/>
              <w:spacing w:after="0"/>
              <w:rPr>
                <w:sz w:val="20"/>
                <w:szCs w:val="20"/>
                <w:color w:val="auto"/>
              </w:rPr>
            </w:pPr>
            <w:r>
              <w:rPr>
                <w:rFonts w:ascii="Arial" w:cs="Arial" w:eastAsia="Arial" w:hAnsi="Arial"/>
                <w:sz w:val="17"/>
                <w:szCs w:val="17"/>
                <w:color w:val="auto"/>
              </w:rPr>
              <w:t>an independent “audit committee financial expert”</w:t>
            </w:r>
          </w:p>
        </w:tc>
        <w:tc>
          <w:tcPr>
            <w:tcW w:w="480" w:type="dxa"/>
            <w:vAlign w:val="bottom"/>
            <w:shd w:val="clear" w:color="auto" w:fill="E5E7EF"/>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59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shd w:val="clear" w:color="auto" w:fill="E5E7EF"/>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shd w:val="clear" w:color="auto" w:fill="E5E7EF"/>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shd w:val="clear" w:color="auto" w:fill="E5E7EF"/>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shd w:val="clear" w:color="auto" w:fill="E5E7EF"/>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shd w:val="clear" w:color="auto" w:fill="E5E7EF"/>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shd w:val="clear" w:color="auto" w:fill="E5E7EF"/>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5920" w:type="dxa"/>
            <w:vAlign w:val="bottom"/>
          </w:tcPr>
          <w:p>
            <w:pPr>
              <w:ind w:left="680"/>
              <w:spacing w:after="0"/>
              <w:rPr>
                <w:sz w:val="20"/>
                <w:szCs w:val="20"/>
                <w:color w:val="auto"/>
              </w:rPr>
            </w:pPr>
            <w:r>
              <w:rPr>
                <w:rFonts w:ascii="Arial" w:cs="Arial" w:eastAsia="Arial" w:hAnsi="Arial"/>
                <w:sz w:val="17"/>
                <w:szCs w:val="17"/>
                <w:b w:val="1"/>
                <w:bCs w:val="1"/>
                <w:color w:val="002E6D"/>
              </w:rPr>
              <w:t>MANUFACTURING</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Pr>
          <w:p>
            <w:pPr>
              <w:spacing w:after="0"/>
              <w:rPr>
                <w:sz w:val="24"/>
                <w:szCs w:val="24"/>
                <w:color w:val="auto"/>
              </w:rPr>
            </w:pPr>
          </w:p>
        </w:tc>
        <w:tc>
          <w:tcPr>
            <w:tcW w:w="460" w:type="dxa"/>
            <w:vAlign w:val="bottom"/>
            <w:shd w:val="clear" w:color="auto" w:fill="E5E7EF"/>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0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shd w:val="clear" w:color="auto" w:fill="E5E7EF"/>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0" w:type="dxa"/>
            <w:vAlign w:val="bottom"/>
          </w:tcPr>
          <w:p>
            <w:pPr>
              <w:spacing w:after="0"/>
              <w:rPr>
                <w:sz w:val="1"/>
                <w:szCs w:val="1"/>
                <w:color w:val="auto"/>
              </w:rPr>
            </w:pPr>
          </w:p>
        </w:tc>
      </w:tr>
      <w:tr>
        <w:trPr>
          <w:trHeight w:val="175"/>
        </w:trPr>
        <w:tc>
          <w:tcPr>
            <w:tcW w:w="5920" w:type="dxa"/>
            <w:vAlign w:val="bottom"/>
          </w:tcPr>
          <w:p>
            <w:pPr>
              <w:ind w:left="680"/>
              <w:spacing w:after="0" w:line="176" w:lineRule="exact"/>
              <w:rPr>
                <w:sz w:val="20"/>
                <w:szCs w:val="20"/>
                <w:color w:val="auto"/>
              </w:rPr>
            </w:pPr>
            <w:r>
              <w:rPr>
                <w:rFonts w:ascii="Arial" w:cs="Arial" w:eastAsia="Arial" w:hAnsi="Arial"/>
                <w:sz w:val="17"/>
                <w:szCs w:val="17"/>
                <w:color w:val="auto"/>
              </w:rPr>
              <w:t>Contributes to the understanding of the challenges of complex</w:t>
            </w:r>
          </w:p>
        </w:tc>
        <w:tc>
          <w:tcPr>
            <w:tcW w:w="480" w:type="dxa"/>
            <w:vAlign w:val="bottom"/>
            <w:vMerge w:val="continue"/>
            <w:shd w:val="clear" w:color="auto" w:fill="E5E7EF"/>
          </w:tcPr>
          <w:p>
            <w:pPr>
              <w:spacing w:after="0"/>
              <w:rPr>
                <w:sz w:val="15"/>
                <w:szCs w:val="15"/>
                <w:color w:val="auto"/>
              </w:rPr>
            </w:pPr>
          </w:p>
        </w:tc>
        <w:tc>
          <w:tcPr>
            <w:tcW w:w="460" w:type="dxa"/>
            <w:vAlign w:val="bottom"/>
            <w:vMerge w:val="continue"/>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shd w:val="clear" w:color="auto" w:fill="E5E7EF"/>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vMerge w:val="continue"/>
            <w:shd w:val="clear" w:color="auto" w:fill="E5E7EF"/>
          </w:tcPr>
          <w:p>
            <w:pPr>
              <w:spacing w:after="0"/>
              <w:rPr>
                <w:sz w:val="15"/>
                <w:szCs w:val="15"/>
                <w:color w:val="auto"/>
              </w:rPr>
            </w:pPr>
          </w:p>
        </w:tc>
        <w:tc>
          <w:tcPr>
            <w:tcW w:w="500" w:type="dxa"/>
            <w:vAlign w:val="bottom"/>
            <w:vMerge w:val="continue"/>
          </w:tcPr>
          <w:p>
            <w:pPr>
              <w:spacing w:after="0"/>
              <w:rPr>
                <w:sz w:val="15"/>
                <w:szCs w:val="15"/>
                <w:color w:val="auto"/>
              </w:rPr>
            </w:pPr>
          </w:p>
        </w:tc>
        <w:tc>
          <w:tcPr>
            <w:tcW w:w="480" w:type="dxa"/>
            <w:vAlign w:val="bottom"/>
            <w:shd w:val="clear" w:color="auto" w:fill="E5E7EF"/>
          </w:tcPr>
          <w:p>
            <w:pPr>
              <w:spacing w:after="0"/>
              <w:rPr>
                <w:sz w:val="15"/>
                <w:szCs w:val="15"/>
                <w:color w:val="auto"/>
              </w:rPr>
            </w:pPr>
          </w:p>
        </w:tc>
        <w:tc>
          <w:tcPr>
            <w:tcW w:w="560" w:type="dxa"/>
            <w:vAlign w:val="bottom"/>
            <w:vMerge w:val="continue"/>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20" w:type="dxa"/>
            <w:vAlign w:val="bottom"/>
          </w:tcPr>
          <w:p>
            <w:pPr>
              <w:ind w:left="680"/>
              <w:spacing w:after="0"/>
              <w:rPr>
                <w:sz w:val="20"/>
                <w:szCs w:val="20"/>
                <w:color w:val="auto"/>
              </w:rPr>
            </w:pPr>
            <w:r>
              <w:rPr>
                <w:rFonts w:ascii="Arial" w:cs="Arial" w:eastAsia="Arial" w:hAnsi="Arial"/>
                <w:sz w:val="17"/>
                <w:szCs w:val="17"/>
                <w:color w:val="auto"/>
              </w:rPr>
              <w:t>manufacturing</w:t>
            </w:r>
          </w:p>
        </w:tc>
        <w:tc>
          <w:tcPr>
            <w:tcW w:w="480" w:type="dxa"/>
            <w:vAlign w:val="bottom"/>
            <w:shd w:val="clear" w:color="auto" w:fill="E5E7EF"/>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9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shd w:val="clear" w:color="auto" w:fill="E5E7EF"/>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shd w:val="clear" w:color="auto" w:fill="E5E7EF"/>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shd w:val="clear" w:color="auto" w:fill="E5E7EF"/>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shd w:val="clear" w:color="auto" w:fill="E5E7EF"/>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shd w:val="clear" w:color="auto" w:fill="E5E7EF"/>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406"/>
        </w:trPr>
        <w:tc>
          <w:tcPr>
            <w:tcW w:w="5920" w:type="dxa"/>
            <w:vAlign w:val="bottom"/>
          </w:tcPr>
          <w:p>
            <w:pPr>
              <w:ind w:left="680"/>
              <w:spacing w:after="0"/>
              <w:rPr>
                <w:sz w:val="20"/>
                <w:szCs w:val="20"/>
                <w:color w:val="auto"/>
              </w:rPr>
            </w:pPr>
            <w:r>
              <w:rPr>
                <w:rFonts w:ascii="Arial" w:cs="Arial" w:eastAsia="Arial" w:hAnsi="Arial"/>
                <w:sz w:val="17"/>
                <w:szCs w:val="17"/>
                <w:b w:val="1"/>
                <w:bCs w:val="1"/>
                <w:color w:val="002E6D"/>
              </w:rPr>
              <w:t>SENIOR GOVERNMENT / MILITARY EXPERIENCE</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tcPr>
          <w:p>
            <w:pPr>
              <w:spacing w:after="0"/>
              <w:rPr>
                <w:sz w:val="24"/>
                <w:szCs w:val="24"/>
                <w:color w:val="auto"/>
              </w:rPr>
            </w:pP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Pr>
          <w:p>
            <w:pPr>
              <w:spacing w:after="0"/>
              <w:rPr>
                <w:sz w:val="24"/>
                <w:szCs w:val="24"/>
                <w:color w:val="auto"/>
              </w:rPr>
            </w:pPr>
          </w:p>
        </w:tc>
        <w:tc>
          <w:tcPr>
            <w:tcW w:w="460" w:type="dxa"/>
            <w:vAlign w:val="bottom"/>
            <w:shd w:val="clear" w:color="auto" w:fill="E5E7EF"/>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60" w:type="dxa"/>
            <w:vAlign w:val="bottom"/>
          </w:tcPr>
          <w:p>
            <w:pPr>
              <w:spacing w:after="0"/>
              <w:rPr>
                <w:sz w:val="24"/>
                <w:szCs w:val="24"/>
                <w:color w:val="auto"/>
              </w:rPr>
            </w:pP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0" w:type="dxa"/>
            <w:vAlign w:val="bottom"/>
          </w:tcPr>
          <w:p>
            <w:pPr>
              <w:spacing w:after="0"/>
              <w:rPr>
                <w:sz w:val="1"/>
                <w:szCs w:val="1"/>
                <w:color w:val="auto"/>
              </w:rPr>
            </w:pPr>
          </w:p>
        </w:tc>
      </w:tr>
      <w:tr>
        <w:trPr>
          <w:trHeight w:val="175"/>
        </w:trPr>
        <w:tc>
          <w:tcPr>
            <w:tcW w:w="5920" w:type="dxa"/>
            <w:vAlign w:val="bottom"/>
          </w:tcPr>
          <w:p>
            <w:pPr>
              <w:ind w:left="680"/>
              <w:spacing w:after="0" w:line="176" w:lineRule="exact"/>
              <w:rPr>
                <w:sz w:val="20"/>
                <w:szCs w:val="20"/>
                <w:color w:val="auto"/>
              </w:rPr>
            </w:pPr>
            <w:r>
              <w:rPr>
                <w:rFonts w:ascii="Arial" w:cs="Arial" w:eastAsia="Arial" w:hAnsi="Arial"/>
                <w:sz w:val="17"/>
                <w:szCs w:val="17"/>
                <w:color w:val="auto"/>
              </w:rPr>
              <w:t>Contributes to an understanding of our customers and the ability to</w:t>
            </w:r>
          </w:p>
        </w:tc>
        <w:tc>
          <w:tcPr>
            <w:tcW w:w="480" w:type="dxa"/>
            <w:vAlign w:val="bottom"/>
            <w:vMerge w:val="continue"/>
            <w:shd w:val="clear" w:color="auto" w:fill="E5E7EF"/>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vMerge w:val="continue"/>
            <w:shd w:val="clear" w:color="auto" w:fill="E5E7EF"/>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shd w:val="clear" w:color="auto" w:fill="E5E7EF"/>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20" w:type="dxa"/>
            <w:vAlign w:val="bottom"/>
          </w:tcPr>
          <w:p>
            <w:pPr>
              <w:ind w:left="680"/>
              <w:spacing w:after="0"/>
              <w:rPr>
                <w:sz w:val="20"/>
                <w:szCs w:val="20"/>
                <w:color w:val="auto"/>
              </w:rPr>
            </w:pPr>
            <w:r>
              <w:rPr>
                <w:rFonts w:ascii="Arial" w:cs="Arial" w:eastAsia="Arial" w:hAnsi="Arial"/>
                <w:sz w:val="17"/>
                <w:szCs w:val="17"/>
                <w:color w:val="auto"/>
              </w:rPr>
              <w:t>understand policy issues</w:t>
            </w:r>
          </w:p>
        </w:tc>
        <w:tc>
          <w:tcPr>
            <w:tcW w:w="480" w:type="dxa"/>
            <w:vAlign w:val="bottom"/>
            <w:shd w:val="clear" w:color="auto" w:fill="E5E7EF"/>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9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shd w:val="clear" w:color="auto" w:fill="E5E7EF"/>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shd w:val="clear" w:color="auto" w:fill="E5E7EF"/>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shd w:val="clear" w:color="auto" w:fill="E5E7EF"/>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shd w:val="clear" w:color="auto" w:fill="E5E7EF"/>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shd w:val="clear" w:color="auto" w:fill="E5E7EF"/>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shd w:val="clear" w:color="auto" w:fill="E5E7EF"/>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5920" w:type="dxa"/>
            <w:vAlign w:val="bottom"/>
          </w:tcPr>
          <w:p>
            <w:pPr>
              <w:ind w:left="680"/>
              <w:spacing w:after="0"/>
              <w:rPr>
                <w:sz w:val="20"/>
                <w:szCs w:val="20"/>
                <w:color w:val="auto"/>
              </w:rPr>
            </w:pPr>
            <w:r>
              <w:rPr>
                <w:rFonts w:ascii="Arial" w:cs="Arial" w:eastAsia="Arial" w:hAnsi="Arial"/>
                <w:sz w:val="17"/>
                <w:szCs w:val="17"/>
                <w:b w:val="1"/>
                <w:bCs w:val="1"/>
                <w:color w:val="002E6D"/>
              </w:rPr>
              <w:t>GLOBAL EXPERIENCE</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0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0" w:type="dxa"/>
            <w:vAlign w:val="bottom"/>
          </w:tcPr>
          <w:p>
            <w:pPr>
              <w:spacing w:after="0"/>
              <w:rPr>
                <w:sz w:val="1"/>
                <w:szCs w:val="1"/>
                <w:color w:val="auto"/>
              </w:rPr>
            </w:pPr>
          </w:p>
        </w:tc>
      </w:tr>
      <w:tr>
        <w:trPr>
          <w:trHeight w:val="175"/>
        </w:trPr>
        <w:tc>
          <w:tcPr>
            <w:tcW w:w="5920" w:type="dxa"/>
            <w:vAlign w:val="bottom"/>
          </w:tcPr>
          <w:p>
            <w:pPr>
              <w:ind w:left="680"/>
              <w:spacing w:after="0" w:line="176" w:lineRule="exact"/>
              <w:rPr>
                <w:sz w:val="20"/>
                <w:szCs w:val="20"/>
                <w:color w:val="auto"/>
              </w:rPr>
            </w:pPr>
            <w:r>
              <w:rPr>
                <w:rFonts w:ascii="Arial" w:cs="Arial" w:eastAsia="Arial" w:hAnsi="Arial"/>
                <w:sz w:val="17"/>
                <w:szCs w:val="17"/>
                <w:color w:val="auto"/>
              </w:rPr>
              <w:t>Contributes to the understanding of operations and business strategy</w:t>
            </w:r>
          </w:p>
        </w:tc>
        <w:tc>
          <w:tcPr>
            <w:tcW w:w="480" w:type="dxa"/>
            <w:vAlign w:val="bottom"/>
            <w:vMerge w:val="continue"/>
            <w:shd w:val="clear" w:color="auto" w:fill="E5E7EF"/>
          </w:tcPr>
          <w:p>
            <w:pPr>
              <w:spacing w:after="0"/>
              <w:rPr>
                <w:sz w:val="15"/>
                <w:szCs w:val="15"/>
                <w:color w:val="auto"/>
              </w:rPr>
            </w:pPr>
          </w:p>
        </w:tc>
        <w:tc>
          <w:tcPr>
            <w:tcW w:w="460" w:type="dxa"/>
            <w:vAlign w:val="bottom"/>
            <w:vMerge w:val="continue"/>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vMerge w:val="continue"/>
            <w:shd w:val="clear" w:color="auto" w:fill="E5E7EF"/>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vMerge w:val="continue"/>
            <w:shd w:val="clear" w:color="auto" w:fill="E5E7EF"/>
          </w:tcPr>
          <w:p>
            <w:pPr>
              <w:spacing w:after="0"/>
              <w:rPr>
                <w:sz w:val="15"/>
                <w:szCs w:val="15"/>
                <w:color w:val="auto"/>
              </w:rPr>
            </w:pPr>
          </w:p>
        </w:tc>
        <w:tc>
          <w:tcPr>
            <w:tcW w:w="500" w:type="dxa"/>
            <w:vAlign w:val="bottom"/>
            <w:vMerge w:val="continue"/>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560" w:type="dxa"/>
            <w:vAlign w:val="bottom"/>
            <w:vMerge w:val="continue"/>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20" w:type="dxa"/>
            <w:vAlign w:val="bottom"/>
          </w:tcPr>
          <w:p>
            <w:pPr>
              <w:ind w:left="680"/>
              <w:spacing w:after="0"/>
              <w:rPr>
                <w:sz w:val="20"/>
                <w:szCs w:val="20"/>
                <w:color w:val="auto"/>
              </w:rPr>
            </w:pPr>
            <w:r>
              <w:rPr>
                <w:rFonts w:ascii="Arial" w:cs="Arial" w:eastAsia="Arial" w:hAnsi="Arial"/>
                <w:sz w:val="17"/>
                <w:szCs w:val="17"/>
                <w:color w:val="auto"/>
              </w:rPr>
              <w:t>abroad</w:t>
            </w:r>
          </w:p>
        </w:tc>
        <w:tc>
          <w:tcPr>
            <w:tcW w:w="480" w:type="dxa"/>
            <w:vAlign w:val="bottom"/>
            <w:shd w:val="clear" w:color="auto" w:fill="E5E7EF"/>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59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shd w:val="clear" w:color="auto" w:fill="E5E7EF"/>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shd w:val="clear" w:color="auto" w:fill="E5E7EF"/>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5920" w:type="dxa"/>
            <w:vAlign w:val="bottom"/>
          </w:tcPr>
          <w:p>
            <w:pPr>
              <w:ind w:left="680"/>
              <w:spacing w:after="0"/>
              <w:rPr>
                <w:sz w:val="20"/>
                <w:szCs w:val="20"/>
                <w:color w:val="auto"/>
              </w:rPr>
            </w:pPr>
            <w:r>
              <w:rPr>
                <w:rFonts w:ascii="Arial" w:cs="Arial" w:eastAsia="Arial" w:hAnsi="Arial"/>
                <w:sz w:val="17"/>
                <w:szCs w:val="17"/>
                <w:b w:val="1"/>
                <w:bCs w:val="1"/>
                <w:color w:val="002E6D"/>
              </w:rPr>
              <w:t>ENGINEERING, TECHNOLOGY &amp; INNOVATION</w:t>
            </w:r>
          </w:p>
        </w:tc>
        <w:tc>
          <w:tcPr>
            <w:tcW w:w="480" w:type="dxa"/>
            <w:vAlign w:val="bottom"/>
            <w:shd w:val="clear" w:color="auto" w:fill="E5E7EF"/>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shd w:val="clear" w:color="auto" w:fill="E5E7EF"/>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Pr>
          <w:p>
            <w:pPr>
              <w:spacing w:after="0"/>
              <w:rPr>
                <w:sz w:val="24"/>
                <w:szCs w:val="24"/>
                <w:color w:val="auto"/>
              </w:rPr>
            </w:pPr>
          </w:p>
        </w:tc>
        <w:tc>
          <w:tcPr>
            <w:tcW w:w="460" w:type="dxa"/>
            <w:vAlign w:val="bottom"/>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00" w:type="dxa"/>
            <w:vAlign w:val="bottom"/>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shd w:val="clear" w:color="auto" w:fill="E5E7EF"/>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0" w:type="dxa"/>
            <w:vAlign w:val="bottom"/>
          </w:tcPr>
          <w:p>
            <w:pPr>
              <w:spacing w:after="0"/>
              <w:rPr>
                <w:sz w:val="1"/>
                <w:szCs w:val="1"/>
                <w:color w:val="auto"/>
              </w:rPr>
            </w:pPr>
          </w:p>
        </w:tc>
      </w:tr>
      <w:tr>
        <w:trPr>
          <w:trHeight w:val="205"/>
        </w:trPr>
        <w:tc>
          <w:tcPr>
            <w:tcW w:w="5920" w:type="dxa"/>
            <w:vAlign w:val="bottom"/>
          </w:tcPr>
          <w:p>
            <w:pPr>
              <w:ind w:left="680"/>
              <w:spacing w:after="0"/>
              <w:rPr>
                <w:sz w:val="20"/>
                <w:szCs w:val="20"/>
                <w:color w:val="auto"/>
              </w:rPr>
            </w:pPr>
            <w:r>
              <w:rPr>
                <w:rFonts w:ascii="Arial" w:cs="Arial" w:eastAsia="Arial" w:hAnsi="Arial"/>
                <w:sz w:val="17"/>
                <w:szCs w:val="17"/>
                <w:color w:val="auto"/>
              </w:rPr>
              <w:t>Contributes to the understanding of key technology imperatives</w:t>
            </w:r>
          </w:p>
        </w:tc>
        <w:tc>
          <w:tcPr>
            <w:tcW w:w="480" w:type="dxa"/>
            <w:vAlign w:val="bottom"/>
            <w:shd w:val="clear" w:color="auto" w:fill="E5E7EF"/>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920" w:type="dxa"/>
            <w:vAlign w:val="bottom"/>
            <w:tcBorders>
              <w:bottom w:val="single" w:sz="8" w:color="808080"/>
            </w:tcBorders>
          </w:tcPr>
          <w:p>
            <w:pPr>
              <w:spacing w:after="0"/>
              <w:rPr>
                <w:sz w:val="15"/>
                <w:szCs w:val="15"/>
                <w:color w:val="auto"/>
              </w:rPr>
            </w:pPr>
          </w:p>
        </w:tc>
        <w:tc>
          <w:tcPr>
            <w:tcW w:w="480" w:type="dxa"/>
            <w:vAlign w:val="bottom"/>
            <w:tcBorders>
              <w:bottom w:val="single" w:sz="8" w:color="808080"/>
            </w:tcBorders>
            <w:shd w:val="clear" w:color="auto" w:fill="E5E7EF"/>
          </w:tcPr>
          <w:p>
            <w:pPr>
              <w:spacing w:after="0"/>
              <w:rPr>
                <w:sz w:val="15"/>
                <w:szCs w:val="15"/>
                <w:color w:val="auto"/>
              </w:rPr>
            </w:pPr>
          </w:p>
        </w:tc>
        <w:tc>
          <w:tcPr>
            <w:tcW w:w="460" w:type="dxa"/>
            <w:vAlign w:val="bottom"/>
            <w:tcBorders>
              <w:bottom w:val="single" w:sz="8" w:color="808080"/>
            </w:tcBorders>
          </w:tcPr>
          <w:p>
            <w:pPr>
              <w:spacing w:after="0"/>
              <w:rPr>
                <w:sz w:val="15"/>
                <w:szCs w:val="15"/>
                <w:color w:val="auto"/>
              </w:rPr>
            </w:pPr>
          </w:p>
        </w:tc>
        <w:tc>
          <w:tcPr>
            <w:tcW w:w="480" w:type="dxa"/>
            <w:vAlign w:val="bottom"/>
            <w:tcBorders>
              <w:bottom w:val="single" w:sz="8" w:color="808080"/>
            </w:tcBorders>
            <w:shd w:val="clear" w:color="auto" w:fill="E5E7EF"/>
          </w:tcPr>
          <w:p>
            <w:pPr>
              <w:spacing w:after="0"/>
              <w:rPr>
                <w:sz w:val="15"/>
                <w:szCs w:val="15"/>
                <w:color w:val="auto"/>
              </w:rPr>
            </w:pPr>
          </w:p>
        </w:tc>
        <w:tc>
          <w:tcPr>
            <w:tcW w:w="480" w:type="dxa"/>
            <w:vAlign w:val="bottom"/>
            <w:tcBorders>
              <w:bottom w:val="single" w:sz="8" w:color="808080"/>
            </w:tcBorders>
          </w:tcPr>
          <w:p>
            <w:pPr>
              <w:spacing w:after="0"/>
              <w:rPr>
                <w:sz w:val="15"/>
                <w:szCs w:val="15"/>
                <w:color w:val="auto"/>
              </w:rPr>
            </w:pPr>
          </w:p>
        </w:tc>
        <w:tc>
          <w:tcPr>
            <w:tcW w:w="460" w:type="dxa"/>
            <w:vAlign w:val="bottom"/>
            <w:tcBorders>
              <w:bottom w:val="single" w:sz="8" w:color="808080"/>
            </w:tcBorders>
            <w:shd w:val="clear" w:color="auto" w:fill="E5E7EF"/>
          </w:tcPr>
          <w:p>
            <w:pPr>
              <w:spacing w:after="0"/>
              <w:rPr>
                <w:sz w:val="15"/>
                <w:szCs w:val="15"/>
                <w:color w:val="auto"/>
              </w:rPr>
            </w:pPr>
          </w:p>
        </w:tc>
        <w:tc>
          <w:tcPr>
            <w:tcW w:w="480" w:type="dxa"/>
            <w:vAlign w:val="bottom"/>
            <w:tcBorders>
              <w:bottom w:val="single" w:sz="8" w:color="808080"/>
            </w:tcBorders>
          </w:tcPr>
          <w:p>
            <w:pPr>
              <w:spacing w:after="0"/>
              <w:rPr>
                <w:sz w:val="15"/>
                <w:szCs w:val="15"/>
                <w:color w:val="auto"/>
              </w:rPr>
            </w:pPr>
          </w:p>
        </w:tc>
        <w:tc>
          <w:tcPr>
            <w:tcW w:w="460" w:type="dxa"/>
            <w:vAlign w:val="bottom"/>
            <w:tcBorders>
              <w:bottom w:val="single" w:sz="8" w:color="808080"/>
            </w:tcBorders>
            <w:shd w:val="clear" w:color="auto" w:fill="E5E7EF"/>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480" w:type="dxa"/>
            <w:vAlign w:val="bottom"/>
            <w:tcBorders>
              <w:bottom w:val="single" w:sz="8" w:color="808080"/>
            </w:tcBorders>
            <w:shd w:val="clear" w:color="auto" w:fill="E5E7EF"/>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480" w:type="dxa"/>
            <w:vAlign w:val="bottom"/>
            <w:tcBorders>
              <w:bottom w:val="single" w:sz="8" w:color="808080"/>
            </w:tcBorders>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5920" w:type="dxa"/>
            <w:vAlign w:val="bottom"/>
          </w:tcPr>
          <w:p>
            <w:pPr>
              <w:ind w:left="680"/>
              <w:spacing w:after="0"/>
              <w:rPr>
                <w:sz w:val="20"/>
                <w:szCs w:val="20"/>
                <w:color w:val="auto"/>
              </w:rPr>
            </w:pPr>
            <w:r>
              <w:rPr>
                <w:rFonts w:ascii="Arial" w:cs="Arial" w:eastAsia="Arial" w:hAnsi="Arial"/>
                <w:sz w:val="17"/>
                <w:szCs w:val="17"/>
                <w:b w:val="1"/>
                <w:bCs w:val="1"/>
                <w:color w:val="002E6D"/>
              </w:rPr>
              <w:t>RISK MANAGEMENT</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0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6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0" w:type="dxa"/>
            <w:vAlign w:val="bottom"/>
          </w:tcPr>
          <w:p>
            <w:pPr>
              <w:spacing w:after="0"/>
              <w:rPr>
                <w:sz w:val="1"/>
                <w:szCs w:val="1"/>
                <w:color w:val="auto"/>
              </w:rPr>
            </w:pPr>
          </w:p>
        </w:tc>
      </w:tr>
      <w:tr>
        <w:trPr>
          <w:trHeight w:val="203"/>
        </w:trPr>
        <w:tc>
          <w:tcPr>
            <w:tcW w:w="5920" w:type="dxa"/>
            <w:vAlign w:val="bottom"/>
          </w:tcPr>
          <w:p>
            <w:pPr>
              <w:ind w:left="680"/>
              <w:spacing w:after="0"/>
              <w:rPr>
                <w:sz w:val="20"/>
                <w:szCs w:val="20"/>
                <w:color w:val="auto"/>
              </w:rPr>
            </w:pPr>
            <w:r>
              <w:rPr>
                <w:rFonts w:ascii="Arial" w:cs="Arial" w:eastAsia="Arial" w:hAnsi="Arial"/>
                <w:sz w:val="17"/>
                <w:szCs w:val="17"/>
                <w:color w:val="auto"/>
              </w:rPr>
              <w:t>Contributes to the identification, assessment and mitigation of risks</w:t>
            </w:r>
          </w:p>
        </w:tc>
        <w:tc>
          <w:tcPr>
            <w:tcW w:w="480" w:type="dxa"/>
            <w:vAlign w:val="bottom"/>
            <w:vMerge w:val="continue"/>
            <w:shd w:val="clear" w:color="auto" w:fill="E5E7EF"/>
          </w:tcPr>
          <w:p>
            <w:pPr>
              <w:spacing w:after="0"/>
              <w:rPr>
                <w:sz w:val="17"/>
                <w:szCs w:val="17"/>
                <w:color w:val="auto"/>
              </w:rPr>
            </w:pPr>
          </w:p>
        </w:tc>
        <w:tc>
          <w:tcPr>
            <w:tcW w:w="460" w:type="dxa"/>
            <w:vAlign w:val="bottom"/>
            <w:vMerge w:val="continue"/>
          </w:tcPr>
          <w:p>
            <w:pPr>
              <w:spacing w:after="0"/>
              <w:rPr>
                <w:sz w:val="17"/>
                <w:szCs w:val="17"/>
                <w:color w:val="auto"/>
              </w:rPr>
            </w:pPr>
          </w:p>
        </w:tc>
        <w:tc>
          <w:tcPr>
            <w:tcW w:w="480" w:type="dxa"/>
            <w:vAlign w:val="bottom"/>
            <w:vMerge w:val="continue"/>
            <w:shd w:val="clear" w:color="auto" w:fill="E5E7EF"/>
          </w:tcPr>
          <w:p>
            <w:pPr>
              <w:spacing w:after="0"/>
              <w:rPr>
                <w:sz w:val="17"/>
                <w:szCs w:val="17"/>
                <w:color w:val="auto"/>
              </w:rPr>
            </w:pPr>
          </w:p>
        </w:tc>
        <w:tc>
          <w:tcPr>
            <w:tcW w:w="480" w:type="dxa"/>
            <w:vAlign w:val="bottom"/>
            <w:vMerge w:val="continue"/>
          </w:tcPr>
          <w:p>
            <w:pPr>
              <w:spacing w:after="0"/>
              <w:rPr>
                <w:sz w:val="17"/>
                <w:szCs w:val="17"/>
                <w:color w:val="auto"/>
              </w:rPr>
            </w:pPr>
          </w:p>
        </w:tc>
        <w:tc>
          <w:tcPr>
            <w:tcW w:w="460" w:type="dxa"/>
            <w:vAlign w:val="bottom"/>
            <w:vMerge w:val="continue"/>
            <w:shd w:val="clear" w:color="auto" w:fill="E5E7EF"/>
          </w:tcPr>
          <w:p>
            <w:pPr>
              <w:spacing w:after="0"/>
              <w:rPr>
                <w:sz w:val="17"/>
                <w:szCs w:val="17"/>
                <w:color w:val="auto"/>
              </w:rPr>
            </w:pPr>
          </w:p>
        </w:tc>
        <w:tc>
          <w:tcPr>
            <w:tcW w:w="480" w:type="dxa"/>
            <w:vAlign w:val="bottom"/>
            <w:vMerge w:val="continue"/>
          </w:tcPr>
          <w:p>
            <w:pPr>
              <w:spacing w:after="0"/>
              <w:rPr>
                <w:sz w:val="17"/>
                <w:szCs w:val="17"/>
                <w:color w:val="auto"/>
              </w:rPr>
            </w:pPr>
          </w:p>
        </w:tc>
        <w:tc>
          <w:tcPr>
            <w:tcW w:w="460" w:type="dxa"/>
            <w:vAlign w:val="bottom"/>
            <w:vMerge w:val="continue"/>
            <w:shd w:val="clear" w:color="auto" w:fill="E5E7EF"/>
          </w:tcPr>
          <w:p>
            <w:pPr>
              <w:spacing w:after="0"/>
              <w:rPr>
                <w:sz w:val="17"/>
                <w:szCs w:val="17"/>
                <w:color w:val="auto"/>
              </w:rPr>
            </w:pPr>
          </w:p>
        </w:tc>
        <w:tc>
          <w:tcPr>
            <w:tcW w:w="500" w:type="dxa"/>
            <w:vAlign w:val="bottom"/>
            <w:vMerge w:val="continue"/>
          </w:tcPr>
          <w:p>
            <w:pPr>
              <w:spacing w:after="0"/>
              <w:rPr>
                <w:sz w:val="17"/>
                <w:szCs w:val="17"/>
                <w:color w:val="auto"/>
              </w:rPr>
            </w:pPr>
          </w:p>
        </w:tc>
        <w:tc>
          <w:tcPr>
            <w:tcW w:w="480" w:type="dxa"/>
            <w:vAlign w:val="bottom"/>
            <w:vMerge w:val="continue"/>
            <w:shd w:val="clear" w:color="auto" w:fill="E5E7EF"/>
          </w:tcPr>
          <w:p>
            <w:pPr>
              <w:spacing w:after="0"/>
              <w:rPr>
                <w:sz w:val="17"/>
                <w:szCs w:val="17"/>
                <w:color w:val="auto"/>
              </w:rPr>
            </w:pPr>
          </w:p>
        </w:tc>
        <w:tc>
          <w:tcPr>
            <w:tcW w:w="560" w:type="dxa"/>
            <w:vAlign w:val="bottom"/>
            <w:vMerge w:val="continue"/>
          </w:tcPr>
          <w:p>
            <w:pPr>
              <w:spacing w:after="0"/>
              <w:rPr>
                <w:sz w:val="17"/>
                <w:szCs w:val="17"/>
                <w:color w:val="auto"/>
              </w:rPr>
            </w:pPr>
          </w:p>
        </w:tc>
        <w:tc>
          <w:tcPr>
            <w:tcW w:w="480" w:type="dxa"/>
            <w:vAlign w:val="bottom"/>
            <w:vMerge w:val="continue"/>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20" w:type="dxa"/>
            <w:vAlign w:val="bottom"/>
          </w:tcPr>
          <w:p>
            <w:pPr>
              <w:ind w:left="680"/>
              <w:spacing w:after="0"/>
              <w:rPr>
                <w:sz w:val="20"/>
                <w:szCs w:val="20"/>
                <w:color w:val="auto"/>
              </w:rPr>
            </w:pPr>
            <w:r>
              <w:rPr>
                <w:rFonts w:ascii="Arial" w:cs="Arial" w:eastAsia="Arial" w:hAnsi="Arial"/>
                <w:sz w:val="17"/>
                <w:szCs w:val="17"/>
                <w:color w:val="auto"/>
              </w:rPr>
              <w:t>facing the Corporation</w:t>
            </w:r>
          </w:p>
        </w:tc>
        <w:tc>
          <w:tcPr>
            <w:tcW w:w="480" w:type="dxa"/>
            <w:vAlign w:val="bottom"/>
            <w:shd w:val="clear" w:color="auto" w:fill="E5E7EF"/>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59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shd w:val="clear" w:color="auto" w:fill="E5E7EF"/>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shd w:val="clear" w:color="auto" w:fill="E5E7EF"/>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5920" w:type="dxa"/>
            <w:vAlign w:val="bottom"/>
          </w:tcPr>
          <w:p>
            <w:pPr>
              <w:ind w:left="680"/>
              <w:spacing w:after="0"/>
              <w:rPr>
                <w:sz w:val="20"/>
                <w:szCs w:val="20"/>
                <w:color w:val="auto"/>
              </w:rPr>
            </w:pPr>
            <w:r>
              <w:rPr>
                <w:rFonts w:ascii="Arial" w:cs="Arial" w:eastAsia="Arial" w:hAnsi="Arial"/>
                <w:sz w:val="17"/>
                <w:szCs w:val="17"/>
                <w:b w:val="1"/>
                <w:bCs w:val="1"/>
                <w:color w:val="002E6D"/>
              </w:rPr>
              <w:t>CYBERSECURITY / INFORMATION TECHNOLOGY</w:t>
            </w:r>
          </w:p>
        </w:tc>
        <w:tc>
          <w:tcPr>
            <w:tcW w:w="480" w:type="dxa"/>
            <w:vAlign w:val="bottom"/>
            <w:shd w:val="clear" w:color="auto" w:fill="E5E7EF"/>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shd w:val="clear" w:color="auto" w:fill="E5E7EF"/>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Pr>
          <w:p>
            <w:pPr>
              <w:spacing w:after="0"/>
              <w:rPr>
                <w:sz w:val="24"/>
                <w:szCs w:val="24"/>
                <w:color w:val="auto"/>
              </w:rPr>
            </w:pPr>
          </w:p>
        </w:tc>
        <w:tc>
          <w:tcPr>
            <w:tcW w:w="460" w:type="dxa"/>
            <w:vAlign w:val="bottom"/>
            <w:shd w:val="clear" w:color="auto" w:fill="E5E7EF"/>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60" w:type="dxa"/>
            <w:vAlign w:val="bottom"/>
          </w:tcPr>
          <w:p>
            <w:pPr>
              <w:spacing w:after="0"/>
              <w:rPr>
                <w:sz w:val="24"/>
                <w:szCs w:val="24"/>
                <w:color w:val="auto"/>
              </w:rPr>
            </w:pPr>
          </w:p>
        </w:tc>
        <w:tc>
          <w:tcPr>
            <w:tcW w:w="480" w:type="dxa"/>
            <w:vAlign w:val="bottom"/>
            <w:vMerge w:val="restart"/>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0" w:type="dxa"/>
            <w:vAlign w:val="bottom"/>
          </w:tcPr>
          <w:p>
            <w:pPr>
              <w:spacing w:after="0"/>
              <w:rPr>
                <w:sz w:val="1"/>
                <w:szCs w:val="1"/>
                <w:color w:val="auto"/>
              </w:rPr>
            </w:pPr>
          </w:p>
        </w:tc>
      </w:tr>
      <w:tr>
        <w:trPr>
          <w:trHeight w:val="176"/>
        </w:trPr>
        <w:tc>
          <w:tcPr>
            <w:tcW w:w="5920" w:type="dxa"/>
            <w:vAlign w:val="bottom"/>
          </w:tcPr>
          <w:p>
            <w:pPr>
              <w:ind w:left="680"/>
              <w:spacing w:after="0" w:line="176" w:lineRule="exact"/>
              <w:rPr>
                <w:sz w:val="20"/>
                <w:szCs w:val="20"/>
                <w:color w:val="auto"/>
              </w:rPr>
            </w:pPr>
            <w:r>
              <w:rPr>
                <w:rFonts w:ascii="Arial" w:cs="Arial" w:eastAsia="Arial" w:hAnsi="Arial"/>
                <w:sz w:val="17"/>
                <w:szCs w:val="17"/>
                <w:color w:val="auto"/>
              </w:rPr>
              <w:t>Contributes to the understanding and oversight of cybersecurity</w:t>
            </w:r>
          </w:p>
        </w:tc>
        <w:tc>
          <w:tcPr>
            <w:tcW w:w="480" w:type="dxa"/>
            <w:vAlign w:val="bottom"/>
            <w:shd w:val="clear" w:color="auto" w:fill="E5E7EF"/>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shd w:val="clear" w:color="auto" w:fill="E5E7EF"/>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vMerge w:val="continue"/>
            <w:shd w:val="clear" w:color="auto" w:fill="E5E7EF"/>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shd w:val="clear" w:color="auto" w:fill="E5E7EF"/>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vMerge w:val="continue"/>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20" w:type="dxa"/>
            <w:vAlign w:val="bottom"/>
          </w:tcPr>
          <w:p>
            <w:pPr>
              <w:ind w:left="680"/>
              <w:spacing w:after="0"/>
              <w:rPr>
                <w:sz w:val="20"/>
                <w:szCs w:val="20"/>
                <w:color w:val="auto"/>
              </w:rPr>
            </w:pPr>
            <w:r>
              <w:rPr>
                <w:rFonts w:ascii="Arial" w:cs="Arial" w:eastAsia="Arial" w:hAnsi="Arial"/>
                <w:sz w:val="17"/>
                <w:szCs w:val="17"/>
                <w:color w:val="auto"/>
              </w:rPr>
              <w:t>threats and digital transformation</w:t>
            </w:r>
          </w:p>
        </w:tc>
        <w:tc>
          <w:tcPr>
            <w:tcW w:w="480" w:type="dxa"/>
            <w:vAlign w:val="bottom"/>
            <w:shd w:val="clear" w:color="auto" w:fill="E5E7EF"/>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shd w:val="clear" w:color="auto" w:fill="E5E7EF"/>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59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shd w:val="clear" w:color="auto" w:fill="E5E7EF"/>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shd w:val="clear" w:color="auto" w:fill="E5E7EF"/>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5920" w:type="dxa"/>
            <w:vAlign w:val="bottom"/>
          </w:tcPr>
          <w:p>
            <w:pPr>
              <w:ind w:left="20"/>
              <w:spacing w:after="0"/>
              <w:rPr>
                <w:sz w:val="20"/>
                <w:szCs w:val="20"/>
                <w:color w:val="auto"/>
              </w:rPr>
            </w:pPr>
            <w:r>
              <w:rPr>
                <w:rFonts w:ascii="Arial" w:cs="Arial" w:eastAsia="Arial" w:hAnsi="Arial"/>
                <w:sz w:val="17"/>
                <w:szCs w:val="17"/>
                <w:b w:val="1"/>
                <w:bCs w:val="1"/>
                <w:color w:val="002E6D"/>
              </w:rPr>
              <w:t>OTHER BOARD DEMOGRAPHICS</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5920" w:type="dxa"/>
            <w:vAlign w:val="bottom"/>
            <w:tcBorders>
              <w:bottom w:val="single" w:sz="8" w:color="475C90"/>
            </w:tcBorders>
          </w:tcPr>
          <w:p>
            <w:pPr>
              <w:spacing w:after="0"/>
              <w:rPr>
                <w:sz w:val="2"/>
                <w:szCs w:val="2"/>
                <w:color w:val="auto"/>
              </w:rPr>
            </w:pPr>
          </w:p>
        </w:tc>
        <w:tc>
          <w:tcPr>
            <w:tcW w:w="480" w:type="dxa"/>
            <w:vAlign w:val="bottom"/>
            <w:tcBorders>
              <w:bottom w:val="single" w:sz="8" w:color="475C90"/>
            </w:tcBorders>
          </w:tcPr>
          <w:p>
            <w:pPr>
              <w:spacing w:after="0"/>
              <w:rPr>
                <w:sz w:val="2"/>
                <w:szCs w:val="2"/>
                <w:color w:val="auto"/>
              </w:rPr>
            </w:pPr>
          </w:p>
        </w:tc>
        <w:tc>
          <w:tcPr>
            <w:tcW w:w="460" w:type="dxa"/>
            <w:vAlign w:val="bottom"/>
            <w:tcBorders>
              <w:bottom w:val="single" w:sz="8" w:color="475C90"/>
            </w:tcBorders>
          </w:tcPr>
          <w:p>
            <w:pPr>
              <w:spacing w:after="0"/>
              <w:rPr>
                <w:sz w:val="2"/>
                <w:szCs w:val="2"/>
                <w:color w:val="auto"/>
              </w:rPr>
            </w:pPr>
          </w:p>
        </w:tc>
        <w:tc>
          <w:tcPr>
            <w:tcW w:w="480" w:type="dxa"/>
            <w:vAlign w:val="bottom"/>
            <w:tcBorders>
              <w:bottom w:val="single" w:sz="8" w:color="475C90"/>
            </w:tcBorders>
          </w:tcPr>
          <w:p>
            <w:pPr>
              <w:spacing w:after="0"/>
              <w:rPr>
                <w:sz w:val="2"/>
                <w:szCs w:val="2"/>
                <w:color w:val="auto"/>
              </w:rPr>
            </w:pPr>
          </w:p>
        </w:tc>
        <w:tc>
          <w:tcPr>
            <w:tcW w:w="480" w:type="dxa"/>
            <w:vAlign w:val="bottom"/>
            <w:tcBorders>
              <w:bottom w:val="single" w:sz="8" w:color="475C90"/>
            </w:tcBorders>
          </w:tcPr>
          <w:p>
            <w:pPr>
              <w:spacing w:after="0"/>
              <w:rPr>
                <w:sz w:val="2"/>
                <w:szCs w:val="2"/>
                <w:color w:val="auto"/>
              </w:rPr>
            </w:pPr>
          </w:p>
        </w:tc>
        <w:tc>
          <w:tcPr>
            <w:tcW w:w="460" w:type="dxa"/>
            <w:vAlign w:val="bottom"/>
            <w:tcBorders>
              <w:bottom w:val="single" w:sz="8" w:color="475C90"/>
            </w:tcBorders>
          </w:tcPr>
          <w:p>
            <w:pPr>
              <w:spacing w:after="0"/>
              <w:rPr>
                <w:sz w:val="2"/>
                <w:szCs w:val="2"/>
                <w:color w:val="auto"/>
              </w:rPr>
            </w:pPr>
          </w:p>
        </w:tc>
        <w:tc>
          <w:tcPr>
            <w:tcW w:w="480" w:type="dxa"/>
            <w:vAlign w:val="bottom"/>
            <w:tcBorders>
              <w:bottom w:val="single" w:sz="8" w:color="475C90"/>
            </w:tcBorders>
          </w:tcPr>
          <w:p>
            <w:pPr>
              <w:spacing w:after="0"/>
              <w:rPr>
                <w:sz w:val="2"/>
                <w:szCs w:val="2"/>
                <w:color w:val="auto"/>
              </w:rPr>
            </w:pPr>
          </w:p>
        </w:tc>
        <w:tc>
          <w:tcPr>
            <w:tcW w:w="460" w:type="dxa"/>
            <w:vAlign w:val="bottom"/>
            <w:tcBorders>
              <w:bottom w:val="single" w:sz="8" w:color="475C90"/>
            </w:tcBorders>
          </w:tcPr>
          <w:p>
            <w:pPr>
              <w:spacing w:after="0"/>
              <w:rPr>
                <w:sz w:val="2"/>
                <w:szCs w:val="2"/>
                <w:color w:val="auto"/>
              </w:rPr>
            </w:pPr>
          </w:p>
        </w:tc>
        <w:tc>
          <w:tcPr>
            <w:tcW w:w="500" w:type="dxa"/>
            <w:vAlign w:val="bottom"/>
            <w:tcBorders>
              <w:bottom w:val="single" w:sz="8" w:color="475C90"/>
            </w:tcBorders>
          </w:tcPr>
          <w:p>
            <w:pPr>
              <w:spacing w:after="0"/>
              <w:rPr>
                <w:sz w:val="2"/>
                <w:szCs w:val="2"/>
                <w:color w:val="auto"/>
              </w:rPr>
            </w:pPr>
          </w:p>
        </w:tc>
        <w:tc>
          <w:tcPr>
            <w:tcW w:w="480" w:type="dxa"/>
            <w:vAlign w:val="bottom"/>
            <w:tcBorders>
              <w:bottom w:val="single" w:sz="8" w:color="475C90"/>
            </w:tcBorders>
          </w:tcPr>
          <w:p>
            <w:pPr>
              <w:spacing w:after="0"/>
              <w:rPr>
                <w:sz w:val="2"/>
                <w:szCs w:val="2"/>
                <w:color w:val="auto"/>
              </w:rPr>
            </w:pPr>
          </w:p>
        </w:tc>
        <w:tc>
          <w:tcPr>
            <w:tcW w:w="560" w:type="dxa"/>
            <w:vAlign w:val="bottom"/>
            <w:tcBorders>
              <w:bottom w:val="single" w:sz="8" w:color="475C90"/>
            </w:tcBorders>
          </w:tcPr>
          <w:p>
            <w:pPr>
              <w:spacing w:after="0"/>
              <w:rPr>
                <w:sz w:val="2"/>
                <w:szCs w:val="2"/>
                <w:color w:val="auto"/>
              </w:rPr>
            </w:pPr>
          </w:p>
        </w:tc>
        <w:tc>
          <w:tcPr>
            <w:tcW w:w="480" w:type="dxa"/>
            <w:vAlign w:val="bottom"/>
            <w:tcBorders>
              <w:bottom w:val="single" w:sz="8" w:color="475C90"/>
            </w:tcBorders>
          </w:tcPr>
          <w:p>
            <w:pPr>
              <w:spacing w:after="0"/>
              <w:rPr>
                <w:sz w:val="2"/>
                <w:szCs w:val="2"/>
                <w:color w:val="auto"/>
              </w:rPr>
            </w:pPr>
          </w:p>
        </w:tc>
        <w:tc>
          <w:tcPr>
            <w:tcW w:w="0" w:type="dxa"/>
            <w:vAlign w:val="bottom"/>
          </w:tcPr>
          <w:p>
            <w:pPr>
              <w:spacing w:after="0"/>
              <w:rPr>
                <w:sz w:val="1"/>
                <w:szCs w:val="1"/>
                <w:color w:val="auto"/>
              </w:rPr>
            </w:pPr>
          </w:p>
        </w:tc>
      </w:tr>
      <w:tr>
        <w:trPr>
          <w:trHeight w:val="452"/>
        </w:trPr>
        <w:tc>
          <w:tcPr>
            <w:tcW w:w="5920" w:type="dxa"/>
            <w:vAlign w:val="bottom"/>
          </w:tcPr>
          <w:p>
            <w:pPr>
              <w:ind w:left="20"/>
              <w:spacing w:after="0"/>
              <w:rPr>
                <w:sz w:val="20"/>
                <w:szCs w:val="20"/>
                <w:color w:val="auto"/>
              </w:rPr>
            </w:pPr>
            <w:r>
              <w:rPr>
                <w:rFonts w:ascii="Arial" w:cs="Arial" w:eastAsia="Arial" w:hAnsi="Arial"/>
                <w:sz w:val="17"/>
                <w:szCs w:val="17"/>
                <w:color w:val="auto"/>
              </w:rPr>
              <w:t>Caucasian/White</w:t>
            </w:r>
          </w:p>
        </w:tc>
        <w:tc>
          <w:tcPr>
            <w:tcW w:w="480" w:type="dxa"/>
            <w:vAlign w:val="bottom"/>
            <w:tcBorders>
              <w:bottom w:val="single" w:sz="8" w:color="E5E7EF"/>
            </w:tcBorders>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Borders>
              <w:bottom w:val="single" w:sz="8" w:color="E5E7EF"/>
            </w:tcBorders>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tcBorders>
              <w:bottom w:val="single" w:sz="8" w:color="E5E7EF"/>
            </w:tcBorders>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tcBorders>
              <w:bottom w:val="single" w:sz="8" w:color="E5E7EF"/>
            </w:tcBorders>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00" w:type="dxa"/>
            <w:vAlign w:val="bottom"/>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Borders>
              <w:bottom w:val="single" w:sz="8" w:color="E5E7EF"/>
            </w:tcBorders>
            <w:shd w:val="clear" w:color="auto" w:fill="E5E7EF"/>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Borders>
              <w:bottom w:val="single" w:sz="8" w:color="E5E7EF"/>
            </w:tcBorders>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0" w:type="dxa"/>
            <w:vAlign w:val="bottom"/>
          </w:tcPr>
          <w:p>
            <w:pPr>
              <w:spacing w:after="0"/>
              <w:rPr>
                <w:sz w:val="1"/>
                <w:szCs w:val="1"/>
                <w:color w:val="auto"/>
              </w:rPr>
            </w:pPr>
          </w:p>
        </w:tc>
      </w:tr>
      <w:tr>
        <w:trPr>
          <w:trHeight w:val="412"/>
        </w:trPr>
        <w:tc>
          <w:tcPr>
            <w:tcW w:w="5920" w:type="dxa"/>
            <w:vAlign w:val="bottom"/>
            <w:tcBorders>
              <w:top w:val="single" w:sz="8" w:color="808080"/>
            </w:tcBorders>
          </w:tcPr>
          <w:p>
            <w:pPr>
              <w:ind w:left="20"/>
              <w:spacing w:after="0"/>
              <w:rPr>
                <w:sz w:val="20"/>
                <w:szCs w:val="20"/>
                <w:color w:val="auto"/>
              </w:rPr>
            </w:pPr>
            <w:r>
              <w:rPr>
                <w:rFonts w:ascii="Arial" w:cs="Arial" w:eastAsia="Arial" w:hAnsi="Arial"/>
                <w:sz w:val="17"/>
                <w:szCs w:val="17"/>
                <w:color w:val="auto"/>
              </w:rPr>
              <w:t>African American/Black</w:t>
            </w:r>
          </w:p>
        </w:tc>
        <w:tc>
          <w:tcPr>
            <w:tcW w:w="480" w:type="dxa"/>
            <w:vAlign w:val="bottom"/>
            <w:tcBorders>
              <w:top w:val="single" w:sz="8" w:color="808080"/>
              <w:bottom w:val="single" w:sz="8" w:color="E5E7EF"/>
            </w:tcBorders>
            <w:shd w:val="clear" w:color="auto" w:fill="E5E7EF"/>
          </w:tcPr>
          <w:p>
            <w:pPr>
              <w:spacing w:after="0"/>
              <w:rPr>
                <w:sz w:val="24"/>
                <w:szCs w:val="24"/>
                <w:color w:val="auto"/>
              </w:rPr>
            </w:pPr>
          </w:p>
        </w:tc>
        <w:tc>
          <w:tcPr>
            <w:tcW w:w="460" w:type="dxa"/>
            <w:vAlign w:val="bottom"/>
            <w:tcBorders>
              <w:top w:val="single" w:sz="8" w:color="808080"/>
            </w:tcBorders>
          </w:tcPr>
          <w:p>
            <w:pPr>
              <w:spacing w:after="0"/>
              <w:rPr>
                <w:sz w:val="24"/>
                <w:szCs w:val="24"/>
                <w:color w:val="auto"/>
              </w:rPr>
            </w:pPr>
          </w:p>
        </w:tc>
        <w:tc>
          <w:tcPr>
            <w:tcW w:w="480" w:type="dxa"/>
            <w:vAlign w:val="bottom"/>
            <w:tcBorders>
              <w:top w:val="single" w:sz="8" w:color="808080"/>
              <w:bottom w:val="single" w:sz="8" w:color="E5E7EF"/>
            </w:tcBorders>
            <w:shd w:val="clear" w:color="auto" w:fill="E5E7EF"/>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460" w:type="dxa"/>
            <w:vAlign w:val="bottom"/>
            <w:tcBorders>
              <w:top w:val="single" w:sz="8" w:color="808080"/>
              <w:bottom w:val="single" w:sz="8" w:color="E5E7EF"/>
            </w:tcBorders>
            <w:shd w:val="clear" w:color="auto" w:fill="E5E7EF"/>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460" w:type="dxa"/>
            <w:vAlign w:val="bottom"/>
            <w:tcBorders>
              <w:top w:val="single" w:sz="8" w:color="808080"/>
              <w:bottom w:val="single" w:sz="8" w:color="E5E7EF"/>
            </w:tcBorders>
            <w:shd w:val="clear" w:color="auto" w:fill="E5E7EF"/>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480" w:type="dxa"/>
            <w:vAlign w:val="bottom"/>
            <w:tcBorders>
              <w:top w:val="single" w:sz="8" w:color="808080"/>
              <w:bottom w:val="single" w:sz="8" w:color="E5E7EF"/>
            </w:tcBorders>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560" w:type="dxa"/>
            <w:vAlign w:val="bottom"/>
            <w:tcBorders>
              <w:top w:val="single" w:sz="8" w:color="808080"/>
            </w:tcBorders>
          </w:tcPr>
          <w:p>
            <w:pPr>
              <w:spacing w:after="0"/>
              <w:rPr>
                <w:sz w:val="24"/>
                <w:szCs w:val="24"/>
                <w:color w:val="auto"/>
              </w:rPr>
            </w:pPr>
          </w:p>
        </w:tc>
        <w:tc>
          <w:tcPr>
            <w:tcW w:w="480" w:type="dxa"/>
            <w:vAlign w:val="bottom"/>
            <w:tcBorders>
              <w:top w:val="single" w:sz="8" w:color="808080"/>
              <w:bottom w:val="single" w:sz="8" w:color="E5E7EF"/>
            </w:tcBorders>
            <w:shd w:val="clear" w:color="auto" w:fill="E5E7EF"/>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920" w:type="dxa"/>
            <w:vAlign w:val="bottom"/>
            <w:tcBorders>
              <w:top w:val="single" w:sz="8" w:color="939598"/>
            </w:tcBorders>
          </w:tcPr>
          <w:p>
            <w:pPr>
              <w:ind w:left="20"/>
              <w:spacing w:after="0"/>
              <w:rPr>
                <w:sz w:val="20"/>
                <w:szCs w:val="20"/>
                <w:color w:val="auto"/>
              </w:rPr>
            </w:pPr>
            <w:r>
              <w:rPr>
                <w:rFonts w:ascii="Arial" w:cs="Arial" w:eastAsia="Arial" w:hAnsi="Arial"/>
                <w:sz w:val="17"/>
                <w:szCs w:val="17"/>
                <w:color w:val="auto"/>
              </w:rPr>
              <w:t>Veterans of the U.S. Armed Forces</w:t>
            </w:r>
          </w:p>
        </w:tc>
        <w:tc>
          <w:tcPr>
            <w:tcW w:w="480" w:type="dxa"/>
            <w:vAlign w:val="bottom"/>
            <w:tcBorders>
              <w:top w:val="single" w:sz="8" w:color="939598"/>
              <w:bottom w:val="single" w:sz="8" w:color="E5E7EF"/>
            </w:tcBorders>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tcBorders>
              <w:top w:val="single" w:sz="8" w:color="939598"/>
            </w:tcBorders>
          </w:tcPr>
          <w:p>
            <w:pPr>
              <w:spacing w:after="0"/>
              <w:rPr>
                <w:sz w:val="24"/>
                <w:szCs w:val="24"/>
                <w:color w:val="auto"/>
              </w:rPr>
            </w:pPr>
          </w:p>
        </w:tc>
        <w:tc>
          <w:tcPr>
            <w:tcW w:w="480" w:type="dxa"/>
            <w:vAlign w:val="bottom"/>
            <w:tcBorders>
              <w:top w:val="single" w:sz="8" w:color="939598"/>
              <w:bottom w:val="single" w:sz="8" w:color="E5E7EF"/>
            </w:tcBorders>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Borders>
              <w:top w:val="single" w:sz="8" w:color="939598"/>
            </w:tcBorders>
          </w:tcPr>
          <w:p>
            <w:pPr>
              <w:jc w:val="center"/>
              <w:spacing w:after="0"/>
              <w:rPr>
                <w:sz w:val="20"/>
                <w:szCs w:val="20"/>
                <w:color w:val="auto"/>
              </w:rPr>
            </w:pPr>
            <w:r>
              <w:rPr>
                <w:rFonts w:ascii="Arial" w:cs="Arial" w:eastAsia="Arial" w:hAnsi="Arial"/>
                <w:sz w:val="29"/>
                <w:szCs w:val="29"/>
                <w:color w:val="002E6D"/>
                <w:w w:val="98"/>
              </w:rPr>
              <w:t>ü</w:t>
            </w:r>
          </w:p>
        </w:tc>
        <w:tc>
          <w:tcPr>
            <w:tcW w:w="460" w:type="dxa"/>
            <w:vAlign w:val="bottom"/>
            <w:tcBorders>
              <w:top w:val="single" w:sz="8" w:color="939598"/>
              <w:bottom w:val="single" w:sz="8" w:color="E5E7EF"/>
            </w:tcBorders>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480" w:type="dxa"/>
            <w:vAlign w:val="bottom"/>
            <w:tcBorders>
              <w:top w:val="single" w:sz="8" w:color="939598"/>
            </w:tcBorders>
          </w:tcPr>
          <w:p>
            <w:pPr>
              <w:spacing w:after="0"/>
              <w:rPr>
                <w:sz w:val="24"/>
                <w:szCs w:val="24"/>
                <w:color w:val="auto"/>
              </w:rPr>
            </w:pPr>
          </w:p>
        </w:tc>
        <w:tc>
          <w:tcPr>
            <w:tcW w:w="460" w:type="dxa"/>
            <w:vAlign w:val="bottom"/>
            <w:tcBorders>
              <w:top w:val="single" w:sz="8" w:color="939598"/>
              <w:bottom w:val="single" w:sz="8" w:color="E5E7EF"/>
            </w:tcBorders>
            <w:shd w:val="clear" w:color="auto" w:fill="E5E7EF"/>
          </w:tcPr>
          <w:p>
            <w:pPr>
              <w:spacing w:after="0"/>
              <w:rPr>
                <w:sz w:val="24"/>
                <w:szCs w:val="24"/>
                <w:color w:val="auto"/>
              </w:rPr>
            </w:pPr>
          </w:p>
        </w:tc>
        <w:tc>
          <w:tcPr>
            <w:tcW w:w="500" w:type="dxa"/>
            <w:vAlign w:val="bottom"/>
            <w:tcBorders>
              <w:top w:val="single" w:sz="8" w:color="939598"/>
            </w:tcBorders>
          </w:tcPr>
          <w:p>
            <w:pPr>
              <w:spacing w:after="0"/>
              <w:rPr>
                <w:sz w:val="24"/>
                <w:szCs w:val="24"/>
                <w:color w:val="auto"/>
              </w:rPr>
            </w:pPr>
          </w:p>
        </w:tc>
        <w:tc>
          <w:tcPr>
            <w:tcW w:w="480" w:type="dxa"/>
            <w:vAlign w:val="bottom"/>
            <w:tcBorders>
              <w:top w:val="single" w:sz="8" w:color="939598"/>
              <w:bottom w:val="single" w:sz="8" w:color="E5E7EF"/>
            </w:tcBorders>
            <w:shd w:val="clear" w:color="auto" w:fill="E5E7EF"/>
          </w:tcPr>
          <w:p>
            <w:pPr>
              <w:spacing w:after="0"/>
              <w:rPr>
                <w:sz w:val="24"/>
                <w:szCs w:val="24"/>
                <w:color w:val="auto"/>
              </w:rPr>
            </w:pPr>
          </w:p>
        </w:tc>
        <w:tc>
          <w:tcPr>
            <w:tcW w:w="560" w:type="dxa"/>
            <w:vAlign w:val="bottom"/>
            <w:tcBorders>
              <w:top w:val="single" w:sz="8" w:color="939598"/>
            </w:tcBorders>
          </w:tcPr>
          <w:p>
            <w:pPr>
              <w:spacing w:after="0"/>
              <w:rPr>
                <w:sz w:val="24"/>
                <w:szCs w:val="24"/>
                <w:color w:val="auto"/>
              </w:rPr>
            </w:pPr>
          </w:p>
        </w:tc>
        <w:tc>
          <w:tcPr>
            <w:tcW w:w="480" w:type="dxa"/>
            <w:vAlign w:val="bottom"/>
            <w:tcBorders>
              <w:top w:val="single" w:sz="8" w:color="939598"/>
              <w:bottom w:val="single" w:sz="8" w:color="E5E7EF"/>
            </w:tcBorders>
            <w:shd w:val="clear" w:color="auto" w:fill="E5E7EF"/>
          </w:tcPr>
          <w:p>
            <w:pPr>
              <w:jc w:val="center"/>
              <w:spacing w:after="0"/>
              <w:rPr>
                <w:sz w:val="20"/>
                <w:szCs w:val="20"/>
                <w:color w:val="auto"/>
              </w:rPr>
            </w:pPr>
            <w:r>
              <w:rPr>
                <w:rFonts w:ascii="Arial" w:cs="Arial" w:eastAsia="Arial" w:hAnsi="Arial"/>
                <w:sz w:val="29"/>
                <w:szCs w:val="29"/>
                <w:color w:val="002E6D"/>
                <w:w w:val="98"/>
              </w:rPr>
              <w:t>ü</w:t>
            </w:r>
          </w:p>
        </w:tc>
        <w:tc>
          <w:tcPr>
            <w:tcW w:w="0" w:type="dxa"/>
            <w:vAlign w:val="bottom"/>
          </w:tcPr>
          <w:p>
            <w:pPr>
              <w:spacing w:after="0"/>
              <w:rPr>
                <w:sz w:val="1"/>
                <w:szCs w:val="1"/>
                <w:color w:val="auto"/>
              </w:rPr>
            </w:pPr>
          </w:p>
        </w:tc>
      </w:tr>
      <w:tr>
        <w:trPr>
          <w:trHeight w:val="250"/>
        </w:trPr>
        <w:tc>
          <w:tcPr>
            <w:tcW w:w="5920" w:type="dxa"/>
            <w:vAlign w:val="bottom"/>
            <w:tcBorders>
              <w:top w:val="single" w:sz="8" w:color="808080"/>
            </w:tcBorders>
          </w:tcPr>
          <w:p>
            <w:pPr>
              <w:ind w:left="20"/>
              <w:spacing w:after="0"/>
              <w:rPr>
                <w:sz w:val="20"/>
                <w:szCs w:val="20"/>
                <w:color w:val="auto"/>
              </w:rPr>
            </w:pPr>
            <w:r>
              <w:rPr>
                <w:rFonts w:ascii="Arial" w:cs="Arial" w:eastAsia="Arial" w:hAnsi="Arial"/>
                <w:sz w:val="17"/>
                <w:szCs w:val="17"/>
                <w:color w:val="auto"/>
              </w:rPr>
              <w:t>Gender (Male/Female)</w:t>
            </w:r>
          </w:p>
        </w:tc>
        <w:tc>
          <w:tcPr>
            <w:tcW w:w="480" w:type="dxa"/>
            <w:vAlign w:val="bottom"/>
            <w:tcBorders>
              <w:top w:val="single" w:sz="8" w:color="808080"/>
              <w:bottom w:val="single" w:sz="8" w:color="E5E7EF"/>
            </w:tcBorders>
            <w:shd w:val="clear" w:color="auto" w:fill="E5E7EF"/>
          </w:tcPr>
          <w:p>
            <w:pPr>
              <w:ind w:left="160"/>
              <w:spacing w:after="0"/>
              <w:rPr>
                <w:sz w:val="20"/>
                <w:szCs w:val="20"/>
                <w:color w:val="auto"/>
              </w:rPr>
            </w:pPr>
            <w:r>
              <w:rPr>
                <w:rFonts w:ascii="Arial" w:cs="Arial" w:eastAsia="Arial" w:hAnsi="Arial"/>
                <w:sz w:val="17"/>
                <w:szCs w:val="17"/>
                <w:color w:val="auto"/>
              </w:rPr>
              <w:t>M</w:t>
            </w:r>
          </w:p>
        </w:tc>
        <w:tc>
          <w:tcPr>
            <w:tcW w:w="460" w:type="dxa"/>
            <w:vAlign w:val="bottom"/>
            <w:tcBorders>
              <w:top w:val="single" w:sz="8" w:color="808080"/>
            </w:tcBorders>
          </w:tcPr>
          <w:p>
            <w:pPr>
              <w:ind w:left="160"/>
              <w:spacing w:after="0"/>
              <w:rPr>
                <w:sz w:val="20"/>
                <w:szCs w:val="20"/>
                <w:color w:val="auto"/>
              </w:rPr>
            </w:pPr>
            <w:r>
              <w:rPr>
                <w:rFonts w:ascii="Arial" w:cs="Arial" w:eastAsia="Arial" w:hAnsi="Arial"/>
                <w:sz w:val="17"/>
                <w:szCs w:val="17"/>
                <w:color w:val="auto"/>
              </w:rPr>
              <w:t>M</w:t>
            </w:r>
          </w:p>
        </w:tc>
        <w:tc>
          <w:tcPr>
            <w:tcW w:w="480" w:type="dxa"/>
            <w:vAlign w:val="bottom"/>
            <w:tcBorders>
              <w:top w:val="single" w:sz="8" w:color="808080"/>
              <w:bottom w:val="single" w:sz="8" w:color="E5E7EF"/>
            </w:tcBorders>
            <w:shd w:val="clear" w:color="auto" w:fill="E5E7EF"/>
          </w:tcPr>
          <w:p>
            <w:pPr>
              <w:ind w:left="180"/>
              <w:spacing w:after="0"/>
              <w:rPr>
                <w:sz w:val="20"/>
                <w:szCs w:val="20"/>
                <w:color w:val="auto"/>
              </w:rPr>
            </w:pPr>
            <w:r>
              <w:rPr>
                <w:rFonts w:ascii="Arial" w:cs="Arial" w:eastAsia="Arial" w:hAnsi="Arial"/>
                <w:sz w:val="17"/>
                <w:szCs w:val="17"/>
                <w:color w:val="auto"/>
              </w:rPr>
              <w:t>M</w:t>
            </w:r>
          </w:p>
        </w:tc>
        <w:tc>
          <w:tcPr>
            <w:tcW w:w="480" w:type="dxa"/>
            <w:vAlign w:val="bottom"/>
            <w:tcBorders>
              <w:top w:val="single" w:sz="8" w:color="808080"/>
            </w:tcBorders>
          </w:tcPr>
          <w:p>
            <w:pPr>
              <w:ind w:left="180"/>
              <w:spacing w:after="0"/>
              <w:rPr>
                <w:sz w:val="20"/>
                <w:szCs w:val="20"/>
                <w:color w:val="auto"/>
              </w:rPr>
            </w:pPr>
            <w:r>
              <w:rPr>
                <w:rFonts w:ascii="Arial" w:cs="Arial" w:eastAsia="Arial" w:hAnsi="Arial"/>
                <w:sz w:val="17"/>
                <w:szCs w:val="17"/>
                <w:color w:val="auto"/>
              </w:rPr>
              <w:t>M</w:t>
            </w:r>
          </w:p>
        </w:tc>
        <w:tc>
          <w:tcPr>
            <w:tcW w:w="460" w:type="dxa"/>
            <w:vAlign w:val="bottom"/>
            <w:tcBorders>
              <w:top w:val="single" w:sz="8" w:color="808080"/>
              <w:bottom w:val="single" w:sz="8" w:color="E5E7EF"/>
            </w:tcBorders>
            <w:shd w:val="clear" w:color="auto" w:fill="E5E7EF"/>
          </w:tcPr>
          <w:p>
            <w:pPr>
              <w:ind w:left="160"/>
              <w:spacing w:after="0"/>
              <w:rPr>
                <w:sz w:val="20"/>
                <w:szCs w:val="20"/>
                <w:color w:val="auto"/>
              </w:rPr>
            </w:pPr>
            <w:r>
              <w:rPr>
                <w:rFonts w:ascii="Arial" w:cs="Arial" w:eastAsia="Arial" w:hAnsi="Arial"/>
                <w:sz w:val="17"/>
                <w:szCs w:val="17"/>
                <w:color w:val="auto"/>
              </w:rPr>
              <w:t>M</w:t>
            </w:r>
          </w:p>
        </w:tc>
        <w:tc>
          <w:tcPr>
            <w:tcW w:w="480" w:type="dxa"/>
            <w:vAlign w:val="bottom"/>
            <w:tcBorders>
              <w:top w:val="single" w:sz="8" w:color="808080"/>
            </w:tcBorders>
          </w:tcPr>
          <w:p>
            <w:pPr>
              <w:ind w:left="160"/>
              <w:spacing w:after="0"/>
              <w:rPr>
                <w:sz w:val="20"/>
                <w:szCs w:val="20"/>
                <w:color w:val="auto"/>
              </w:rPr>
            </w:pPr>
            <w:r>
              <w:rPr>
                <w:rFonts w:ascii="Arial" w:cs="Arial" w:eastAsia="Arial" w:hAnsi="Arial"/>
                <w:sz w:val="17"/>
                <w:szCs w:val="17"/>
                <w:color w:val="auto"/>
              </w:rPr>
              <w:t>M</w:t>
            </w:r>
          </w:p>
        </w:tc>
        <w:tc>
          <w:tcPr>
            <w:tcW w:w="460" w:type="dxa"/>
            <w:vAlign w:val="bottom"/>
            <w:tcBorders>
              <w:top w:val="single" w:sz="8" w:color="808080"/>
              <w:bottom w:val="single" w:sz="8" w:color="E5E7EF"/>
            </w:tcBorders>
            <w:shd w:val="clear" w:color="auto" w:fill="E5E7EF"/>
          </w:tcPr>
          <w:p>
            <w:pPr>
              <w:ind w:left="180"/>
              <w:spacing w:after="0"/>
              <w:rPr>
                <w:sz w:val="20"/>
                <w:szCs w:val="20"/>
                <w:color w:val="auto"/>
              </w:rPr>
            </w:pPr>
            <w:r>
              <w:rPr>
                <w:rFonts w:ascii="Arial" w:cs="Arial" w:eastAsia="Arial" w:hAnsi="Arial"/>
                <w:sz w:val="17"/>
                <w:szCs w:val="17"/>
                <w:color w:val="auto"/>
              </w:rPr>
              <w:t>F</w:t>
            </w:r>
          </w:p>
        </w:tc>
        <w:tc>
          <w:tcPr>
            <w:tcW w:w="500" w:type="dxa"/>
            <w:vAlign w:val="bottom"/>
            <w:tcBorders>
              <w:top w:val="single" w:sz="8" w:color="808080"/>
            </w:tcBorders>
          </w:tcPr>
          <w:p>
            <w:pPr>
              <w:ind w:left="200"/>
              <w:spacing w:after="0"/>
              <w:rPr>
                <w:sz w:val="20"/>
                <w:szCs w:val="20"/>
                <w:color w:val="auto"/>
              </w:rPr>
            </w:pPr>
            <w:r>
              <w:rPr>
                <w:rFonts w:ascii="Arial" w:cs="Arial" w:eastAsia="Arial" w:hAnsi="Arial"/>
                <w:sz w:val="17"/>
                <w:szCs w:val="17"/>
                <w:color w:val="auto"/>
              </w:rPr>
              <w:t>F</w:t>
            </w:r>
          </w:p>
        </w:tc>
        <w:tc>
          <w:tcPr>
            <w:tcW w:w="480" w:type="dxa"/>
            <w:vAlign w:val="bottom"/>
            <w:tcBorders>
              <w:top w:val="single" w:sz="8" w:color="808080"/>
              <w:bottom w:val="single" w:sz="8" w:color="E5E7EF"/>
            </w:tcBorders>
            <w:shd w:val="clear" w:color="auto" w:fill="E5E7EF"/>
          </w:tcPr>
          <w:p>
            <w:pPr>
              <w:ind w:left="180"/>
              <w:spacing w:after="0"/>
              <w:rPr>
                <w:sz w:val="20"/>
                <w:szCs w:val="20"/>
                <w:color w:val="auto"/>
              </w:rPr>
            </w:pPr>
            <w:r>
              <w:rPr>
                <w:rFonts w:ascii="Arial" w:cs="Arial" w:eastAsia="Arial" w:hAnsi="Arial"/>
                <w:sz w:val="17"/>
                <w:szCs w:val="17"/>
                <w:color w:val="auto"/>
              </w:rPr>
              <w:t>M</w:t>
            </w:r>
          </w:p>
        </w:tc>
        <w:tc>
          <w:tcPr>
            <w:tcW w:w="560" w:type="dxa"/>
            <w:vAlign w:val="bottom"/>
            <w:tcBorders>
              <w:top w:val="single" w:sz="8" w:color="808080"/>
            </w:tcBorders>
          </w:tcPr>
          <w:p>
            <w:pPr>
              <w:ind w:left="240"/>
              <w:spacing w:after="0"/>
              <w:rPr>
                <w:sz w:val="20"/>
                <w:szCs w:val="20"/>
                <w:color w:val="auto"/>
              </w:rPr>
            </w:pPr>
            <w:r>
              <w:rPr>
                <w:rFonts w:ascii="Arial" w:cs="Arial" w:eastAsia="Arial" w:hAnsi="Arial"/>
                <w:sz w:val="17"/>
                <w:szCs w:val="17"/>
                <w:color w:val="auto"/>
              </w:rPr>
              <w:t>F</w:t>
            </w:r>
          </w:p>
        </w:tc>
        <w:tc>
          <w:tcPr>
            <w:tcW w:w="480" w:type="dxa"/>
            <w:vAlign w:val="bottom"/>
            <w:tcBorders>
              <w:top w:val="single" w:sz="8" w:color="808080"/>
              <w:bottom w:val="single" w:sz="8" w:color="E5E7EF"/>
            </w:tcBorders>
            <w:shd w:val="clear" w:color="auto" w:fill="E5E7EF"/>
          </w:tcPr>
          <w:p>
            <w:pPr>
              <w:ind w:left="180"/>
              <w:spacing w:after="0"/>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r>
        <w:trPr>
          <w:trHeight w:val="250"/>
        </w:trPr>
        <w:tc>
          <w:tcPr>
            <w:tcW w:w="5920" w:type="dxa"/>
            <w:vAlign w:val="bottom"/>
            <w:tcBorders>
              <w:top w:val="single" w:sz="8" w:color="808080"/>
            </w:tcBorders>
          </w:tcPr>
          <w:p>
            <w:pPr>
              <w:ind w:left="20"/>
              <w:spacing w:after="0"/>
              <w:rPr>
                <w:sz w:val="20"/>
                <w:szCs w:val="20"/>
                <w:color w:val="auto"/>
              </w:rPr>
            </w:pPr>
            <w:r>
              <w:rPr>
                <w:rFonts w:ascii="Arial" w:cs="Arial" w:eastAsia="Arial" w:hAnsi="Arial"/>
                <w:sz w:val="17"/>
                <w:szCs w:val="17"/>
                <w:color w:val="auto"/>
              </w:rPr>
              <w:t>Age</w:t>
            </w:r>
          </w:p>
        </w:tc>
        <w:tc>
          <w:tcPr>
            <w:tcW w:w="480" w:type="dxa"/>
            <w:vAlign w:val="bottom"/>
            <w:tcBorders>
              <w:top w:val="single" w:sz="8" w:color="808080"/>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rPr>
              <w:t>72</w:t>
            </w:r>
          </w:p>
        </w:tc>
        <w:tc>
          <w:tcPr>
            <w:tcW w:w="460" w:type="dxa"/>
            <w:vAlign w:val="bottom"/>
            <w:tcBorders>
              <w:top w:val="single" w:sz="8" w:color="808080"/>
            </w:tcBorders>
          </w:tcPr>
          <w:p>
            <w:pPr>
              <w:jc w:val="center"/>
              <w:spacing w:after="0"/>
              <w:rPr>
                <w:sz w:val="20"/>
                <w:szCs w:val="20"/>
                <w:color w:val="auto"/>
              </w:rPr>
            </w:pPr>
            <w:r>
              <w:rPr>
                <w:rFonts w:ascii="Arial" w:cs="Arial" w:eastAsia="Arial" w:hAnsi="Arial"/>
                <w:sz w:val="17"/>
                <w:szCs w:val="17"/>
                <w:color w:val="auto"/>
                <w:w w:val="94"/>
              </w:rPr>
              <w:t>65</w:t>
            </w:r>
          </w:p>
        </w:tc>
        <w:tc>
          <w:tcPr>
            <w:tcW w:w="480" w:type="dxa"/>
            <w:vAlign w:val="bottom"/>
            <w:tcBorders>
              <w:top w:val="single" w:sz="8" w:color="808080"/>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rPr>
              <w:t>71</w:t>
            </w:r>
          </w:p>
        </w:tc>
        <w:tc>
          <w:tcPr>
            <w:tcW w:w="480" w:type="dxa"/>
            <w:vAlign w:val="bottom"/>
            <w:tcBorders>
              <w:top w:val="single" w:sz="8" w:color="808080"/>
            </w:tcBorders>
          </w:tcPr>
          <w:p>
            <w:pPr>
              <w:jc w:val="center"/>
              <w:spacing w:after="0"/>
              <w:rPr>
                <w:sz w:val="20"/>
                <w:szCs w:val="20"/>
                <w:color w:val="auto"/>
              </w:rPr>
            </w:pPr>
            <w:r>
              <w:rPr>
                <w:rFonts w:ascii="Arial" w:cs="Arial" w:eastAsia="Arial" w:hAnsi="Arial"/>
                <w:sz w:val="17"/>
                <w:szCs w:val="17"/>
                <w:color w:val="auto"/>
              </w:rPr>
              <w:t>65</w:t>
            </w:r>
          </w:p>
        </w:tc>
        <w:tc>
          <w:tcPr>
            <w:tcW w:w="460" w:type="dxa"/>
            <w:vAlign w:val="bottom"/>
            <w:tcBorders>
              <w:top w:val="single" w:sz="8" w:color="808080"/>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w w:val="94"/>
              </w:rPr>
              <w:t>73</w:t>
            </w:r>
          </w:p>
        </w:tc>
        <w:tc>
          <w:tcPr>
            <w:tcW w:w="480" w:type="dxa"/>
            <w:vAlign w:val="bottom"/>
            <w:tcBorders>
              <w:top w:val="single" w:sz="8" w:color="808080"/>
            </w:tcBorders>
          </w:tcPr>
          <w:p>
            <w:pPr>
              <w:jc w:val="center"/>
              <w:spacing w:after="0"/>
              <w:rPr>
                <w:sz w:val="20"/>
                <w:szCs w:val="20"/>
                <w:color w:val="auto"/>
              </w:rPr>
            </w:pPr>
            <w:r>
              <w:rPr>
                <w:rFonts w:ascii="Arial" w:cs="Arial" w:eastAsia="Arial" w:hAnsi="Arial"/>
                <w:sz w:val="17"/>
                <w:szCs w:val="17"/>
                <w:color w:val="auto"/>
              </w:rPr>
              <w:t>62</w:t>
            </w:r>
          </w:p>
        </w:tc>
        <w:tc>
          <w:tcPr>
            <w:tcW w:w="460" w:type="dxa"/>
            <w:vAlign w:val="bottom"/>
            <w:tcBorders>
              <w:top w:val="single" w:sz="8" w:color="808080"/>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w w:val="94"/>
              </w:rPr>
              <w:t>67</w:t>
            </w:r>
          </w:p>
        </w:tc>
        <w:tc>
          <w:tcPr>
            <w:tcW w:w="500" w:type="dxa"/>
            <w:vAlign w:val="bottom"/>
            <w:tcBorders>
              <w:top w:val="single" w:sz="8" w:color="808080"/>
            </w:tcBorders>
          </w:tcPr>
          <w:p>
            <w:pPr>
              <w:jc w:val="center"/>
              <w:spacing w:after="0"/>
              <w:rPr>
                <w:sz w:val="20"/>
                <w:szCs w:val="20"/>
                <w:color w:val="auto"/>
              </w:rPr>
            </w:pPr>
            <w:r>
              <w:rPr>
                <w:rFonts w:ascii="Arial" w:cs="Arial" w:eastAsia="Arial" w:hAnsi="Arial"/>
                <w:sz w:val="17"/>
                <w:szCs w:val="17"/>
                <w:color w:val="auto"/>
              </w:rPr>
              <w:t>61</w:t>
            </w:r>
          </w:p>
        </w:tc>
        <w:tc>
          <w:tcPr>
            <w:tcW w:w="480" w:type="dxa"/>
            <w:vAlign w:val="bottom"/>
            <w:tcBorders>
              <w:top w:val="single" w:sz="8" w:color="808080"/>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rPr>
              <w:t>63</w:t>
            </w:r>
          </w:p>
        </w:tc>
        <w:tc>
          <w:tcPr>
            <w:tcW w:w="560" w:type="dxa"/>
            <w:vAlign w:val="bottom"/>
            <w:tcBorders>
              <w:top w:val="single" w:sz="8" w:color="808080"/>
            </w:tcBorders>
          </w:tcPr>
          <w:p>
            <w:pPr>
              <w:jc w:val="center"/>
              <w:spacing w:after="0"/>
              <w:rPr>
                <w:sz w:val="20"/>
                <w:szCs w:val="20"/>
                <w:color w:val="auto"/>
              </w:rPr>
            </w:pPr>
            <w:r>
              <w:rPr>
                <w:rFonts w:ascii="Arial" w:cs="Arial" w:eastAsia="Arial" w:hAnsi="Arial"/>
                <w:sz w:val="17"/>
                <w:szCs w:val="17"/>
                <w:color w:val="auto"/>
              </w:rPr>
              <w:t>64</w:t>
            </w:r>
          </w:p>
        </w:tc>
        <w:tc>
          <w:tcPr>
            <w:tcW w:w="480" w:type="dxa"/>
            <w:vAlign w:val="bottom"/>
            <w:tcBorders>
              <w:top w:val="single" w:sz="8" w:color="808080"/>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50"/>
        </w:trPr>
        <w:tc>
          <w:tcPr>
            <w:tcW w:w="5920" w:type="dxa"/>
            <w:vAlign w:val="bottom"/>
            <w:tcBorders>
              <w:top w:val="single" w:sz="8" w:color="939598"/>
            </w:tcBorders>
          </w:tcPr>
          <w:p>
            <w:pPr>
              <w:ind w:left="20"/>
              <w:spacing w:after="0"/>
              <w:rPr>
                <w:sz w:val="20"/>
                <w:szCs w:val="20"/>
                <w:color w:val="auto"/>
              </w:rPr>
            </w:pPr>
            <w:r>
              <w:rPr>
                <w:rFonts w:ascii="Arial" w:cs="Arial" w:eastAsia="Arial" w:hAnsi="Arial"/>
                <w:sz w:val="17"/>
                <w:szCs w:val="17"/>
                <w:color w:val="auto"/>
              </w:rPr>
              <w:t>Tenure (rounded years)</w:t>
            </w:r>
          </w:p>
        </w:tc>
        <w:tc>
          <w:tcPr>
            <w:tcW w:w="480" w:type="dxa"/>
            <w:vAlign w:val="bottom"/>
            <w:tcBorders>
              <w:top w:val="single" w:sz="8" w:color="939598"/>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rPr>
              <w:t>7</w:t>
            </w:r>
          </w:p>
        </w:tc>
        <w:tc>
          <w:tcPr>
            <w:tcW w:w="460" w:type="dxa"/>
            <w:vAlign w:val="bottom"/>
            <w:tcBorders>
              <w:top w:val="single" w:sz="8" w:color="939598"/>
            </w:tcBorders>
          </w:tcPr>
          <w:p>
            <w:pPr>
              <w:jc w:val="center"/>
              <w:spacing w:after="0"/>
              <w:rPr>
                <w:sz w:val="20"/>
                <w:szCs w:val="20"/>
                <w:color w:val="auto"/>
              </w:rPr>
            </w:pPr>
            <w:r>
              <w:rPr>
                <w:rFonts w:ascii="Arial" w:cs="Arial" w:eastAsia="Arial" w:hAnsi="Arial"/>
                <w:sz w:val="17"/>
                <w:szCs w:val="17"/>
                <w:color w:val="auto"/>
                <w:w w:val="94"/>
              </w:rPr>
              <w:t>13</w:t>
            </w:r>
          </w:p>
        </w:tc>
        <w:tc>
          <w:tcPr>
            <w:tcW w:w="480" w:type="dxa"/>
            <w:vAlign w:val="bottom"/>
            <w:tcBorders>
              <w:top w:val="single" w:sz="8" w:color="939598"/>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w w:val="84"/>
              </w:rPr>
              <w:t>6</w:t>
            </w:r>
          </w:p>
        </w:tc>
        <w:tc>
          <w:tcPr>
            <w:tcW w:w="480" w:type="dxa"/>
            <w:vAlign w:val="bottom"/>
            <w:tcBorders>
              <w:top w:val="single" w:sz="8" w:color="939598"/>
            </w:tcBorders>
          </w:tcPr>
          <w:p>
            <w:pPr>
              <w:jc w:val="center"/>
              <w:spacing w:after="0"/>
              <w:rPr>
                <w:sz w:val="20"/>
                <w:szCs w:val="20"/>
                <w:color w:val="auto"/>
              </w:rPr>
            </w:pPr>
            <w:r>
              <w:rPr>
                <w:rFonts w:ascii="Arial" w:cs="Arial" w:eastAsia="Arial" w:hAnsi="Arial"/>
                <w:sz w:val="17"/>
                <w:szCs w:val="17"/>
                <w:color w:val="auto"/>
                <w:w w:val="84"/>
              </w:rPr>
              <w:t>1</w:t>
            </w:r>
          </w:p>
        </w:tc>
        <w:tc>
          <w:tcPr>
            <w:tcW w:w="460" w:type="dxa"/>
            <w:vAlign w:val="bottom"/>
            <w:tcBorders>
              <w:top w:val="single" w:sz="8" w:color="939598"/>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w w:val="94"/>
              </w:rPr>
              <w:t>16</w:t>
            </w:r>
          </w:p>
        </w:tc>
        <w:tc>
          <w:tcPr>
            <w:tcW w:w="480" w:type="dxa"/>
            <w:vAlign w:val="bottom"/>
            <w:tcBorders>
              <w:top w:val="single" w:sz="8" w:color="939598"/>
            </w:tcBorders>
          </w:tcPr>
          <w:p>
            <w:pPr>
              <w:jc w:val="center"/>
              <w:spacing w:after="0"/>
              <w:rPr>
                <w:sz w:val="20"/>
                <w:szCs w:val="20"/>
                <w:color w:val="auto"/>
              </w:rPr>
            </w:pPr>
            <w:r>
              <w:rPr>
                <w:rFonts w:ascii="Arial" w:cs="Arial" w:eastAsia="Arial" w:hAnsi="Arial"/>
                <w:sz w:val="17"/>
                <w:szCs w:val="17"/>
                <w:color w:val="auto"/>
              </w:rPr>
              <w:t>11</w:t>
            </w:r>
          </w:p>
        </w:tc>
        <w:tc>
          <w:tcPr>
            <w:tcW w:w="460" w:type="dxa"/>
            <w:vAlign w:val="bottom"/>
            <w:tcBorders>
              <w:top w:val="single" w:sz="8" w:color="939598"/>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rPr>
              <w:t>5</w:t>
            </w:r>
          </w:p>
        </w:tc>
        <w:tc>
          <w:tcPr>
            <w:tcW w:w="500" w:type="dxa"/>
            <w:vAlign w:val="bottom"/>
            <w:tcBorders>
              <w:top w:val="single" w:sz="8" w:color="939598"/>
            </w:tcBorders>
          </w:tcPr>
          <w:p>
            <w:pPr>
              <w:jc w:val="center"/>
              <w:spacing w:after="0"/>
              <w:rPr>
                <w:sz w:val="20"/>
                <w:szCs w:val="20"/>
                <w:color w:val="auto"/>
              </w:rPr>
            </w:pPr>
            <w:r>
              <w:rPr>
                <w:rFonts w:ascii="Arial" w:cs="Arial" w:eastAsia="Arial" w:hAnsi="Arial"/>
                <w:sz w:val="17"/>
                <w:szCs w:val="17"/>
                <w:color w:val="auto"/>
                <w:w w:val="84"/>
              </w:rPr>
              <w:t>3</w:t>
            </w:r>
          </w:p>
        </w:tc>
        <w:tc>
          <w:tcPr>
            <w:tcW w:w="480" w:type="dxa"/>
            <w:vAlign w:val="bottom"/>
            <w:tcBorders>
              <w:top w:val="single" w:sz="8" w:color="939598"/>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rPr>
              <w:t>3</w:t>
            </w:r>
          </w:p>
        </w:tc>
        <w:tc>
          <w:tcPr>
            <w:tcW w:w="560" w:type="dxa"/>
            <w:vAlign w:val="bottom"/>
            <w:tcBorders>
              <w:top w:val="single" w:sz="8" w:color="939598"/>
            </w:tcBorders>
          </w:tcPr>
          <w:p>
            <w:pPr>
              <w:jc w:val="center"/>
              <w:spacing w:after="0"/>
              <w:rPr>
                <w:sz w:val="20"/>
                <w:szCs w:val="20"/>
                <w:color w:val="auto"/>
              </w:rPr>
            </w:pPr>
            <w:r>
              <w:rPr>
                <w:rFonts w:ascii="Arial" w:cs="Arial" w:eastAsia="Arial" w:hAnsi="Arial"/>
                <w:sz w:val="17"/>
                <w:szCs w:val="17"/>
                <w:color w:val="auto"/>
              </w:rPr>
              <w:t>1</w:t>
            </w:r>
          </w:p>
        </w:tc>
        <w:tc>
          <w:tcPr>
            <w:tcW w:w="480" w:type="dxa"/>
            <w:vAlign w:val="bottom"/>
            <w:tcBorders>
              <w:top w:val="single" w:sz="8" w:color="939598"/>
              <w:bottom w:val="single" w:sz="8" w:color="E5E7EF"/>
            </w:tcBorders>
            <w:shd w:val="clear" w:color="auto" w:fill="E5E7EF"/>
          </w:tcPr>
          <w:p>
            <w:pPr>
              <w:jc w:val="center"/>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697"/>
        </w:trPr>
        <w:tc>
          <w:tcPr>
            <w:tcW w:w="5920" w:type="dxa"/>
            <w:vAlign w:val="bottom"/>
            <w:tcBorders>
              <w:top w:val="single" w:sz="8" w:color="808080"/>
            </w:tcBorders>
          </w:tcPr>
          <w:p>
            <w:pPr>
              <w:ind w:left="20"/>
              <w:spacing w:after="0"/>
              <w:rPr>
                <w:sz w:val="20"/>
                <w:szCs w:val="20"/>
                <w:color w:val="auto"/>
              </w:rPr>
            </w:pPr>
            <w:r>
              <w:rPr>
                <w:rFonts w:ascii="Arial" w:cs="Arial" w:eastAsia="Arial" w:hAnsi="Arial"/>
                <w:sz w:val="14"/>
                <w:szCs w:val="14"/>
                <w:b w:val="1"/>
                <w:bCs w:val="1"/>
                <w:color w:val="808080"/>
              </w:rPr>
              <w:t>12</w:t>
            </w:r>
          </w:p>
        </w:tc>
        <w:tc>
          <w:tcPr>
            <w:tcW w:w="480" w:type="dxa"/>
            <w:vAlign w:val="bottom"/>
            <w:tcBorders>
              <w:top w:val="single" w:sz="8" w:color="808080"/>
            </w:tcBorders>
          </w:tcPr>
          <w:p>
            <w:pPr>
              <w:spacing w:after="0"/>
              <w:rPr>
                <w:sz w:val="24"/>
                <w:szCs w:val="24"/>
                <w:color w:val="auto"/>
              </w:rPr>
            </w:pPr>
          </w:p>
        </w:tc>
        <w:tc>
          <w:tcPr>
            <w:tcW w:w="460" w:type="dxa"/>
            <w:vAlign w:val="bottom"/>
            <w:tcBorders>
              <w:top w:val="single" w:sz="8" w:color="808080"/>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460" w:type="dxa"/>
            <w:vAlign w:val="bottom"/>
            <w:tcBorders>
              <w:top w:val="single" w:sz="8" w:color="808080"/>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460" w:type="dxa"/>
            <w:vAlign w:val="bottom"/>
            <w:tcBorders>
              <w:top w:val="single" w:sz="8" w:color="808080"/>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560" w:type="dxa"/>
            <w:vAlign w:val="bottom"/>
            <w:tcBorders>
              <w:top w:val="single" w:sz="8" w:color="808080"/>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-7655560</wp:posOffset>
            </wp:positionV>
            <wp:extent cx="308610" cy="308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-7004050</wp:posOffset>
            </wp:positionV>
            <wp:extent cx="299720"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9720" cy="3003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-6352540</wp:posOffset>
            </wp:positionV>
            <wp:extent cx="308610"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-5803900</wp:posOffset>
            </wp:positionV>
            <wp:extent cx="308610"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-5212080</wp:posOffset>
            </wp:positionV>
            <wp:extent cx="308610"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-4612005</wp:posOffset>
            </wp:positionV>
            <wp:extent cx="308610"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-4046220</wp:posOffset>
            </wp:positionV>
            <wp:extent cx="308610"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-3523615</wp:posOffset>
            </wp:positionV>
            <wp:extent cx="308610"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-2992120</wp:posOffset>
            </wp:positionV>
            <wp:extent cx="308610"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-2460625</wp:posOffset>
            </wp:positionV>
            <wp:extent cx="308610"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-197485</wp:posOffset>
            </wp:positionV>
            <wp:extent cx="969010" cy="222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ectPr>
          <w:pgSz w:w="11900" w:h="16838" w:orient="portrait"/>
          <w:cols w:equalWidth="0" w:num="1">
            <w:col w:w="11240"/>
          </w:cols>
          <w:pgMar w:left="320" w:top="609" w:right="339" w:bottom="918" w:gutter="0" w:footer="0" w:header="0"/>
        </w:sectPr>
      </w:pPr>
    </w:p>
    <w:bookmarkStart w:id="16" w:name="page17"/>
    <w:bookmarkEnd w:id="16"/>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color w:val="002E6D"/>
        </w:rPr>
        <w:t>Director-Nominees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1036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328" w:lineRule="exact"/>
        <w:rPr>
          <w:sz w:val="20"/>
          <w:szCs w:val="20"/>
          <w:color w:val="auto"/>
        </w:rPr>
      </w:pPr>
    </w:p>
    <w:p>
      <w:pPr>
        <w:ind w:left="2380"/>
        <w:spacing w:after="0"/>
        <w:rPr>
          <w:sz w:val="20"/>
          <w:szCs w:val="20"/>
          <w:color w:val="auto"/>
        </w:rPr>
      </w:pPr>
      <w:r>
        <w:rPr>
          <w:rFonts w:ascii="Arial" w:cs="Arial" w:eastAsia="Arial" w:hAnsi="Arial"/>
          <w:sz w:val="16"/>
          <w:szCs w:val="16"/>
          <w:color w:val="002E6D"/>
        </w:rPr>
        <w:t>Biography</w:t>
      </w:r>
    </w:p>
    <w:p>
      <w:pPr>
        <w:spacing w:after="0" w:line="24" w:lineRule="exact"/>
        <w:rPr>
          <w:sz w:val="20"/>
          <w:szCs w:val="20"/>
          <w:color w:val="auto"/>
        </w:rPr>
      </w:pPr>
    </w:p>
    <w:p>
      <w:pPr>
        <w:ind w:left="2380" w:right="20"/>
        <w:spacing w:after="0" w:line="220" w:lineRule="auto"/>
        <w:rPr>
          <w:sz w:val="20"/>
          <w:szCs w:val="20"/>
          <w:color w:val="auto"/>
        </w:rPr>
      </w:pPr>
      <w:r>
        <w:rPr>
          <w:rFonts w:ascii="Arial" w:cs="Arial" w:eastAsia="Arial" w:hAnsi="Arial"/>
          <w:sz w:val="17"/>
          <w:szCs w:val="17"/>
          <w:color w:val="auto"/>
        </w:rPr>
        <w:t>Vice Chairman of The Carlyle Group from March 2014 to December 2015. Mr. Akerson was Chairman of the Board of Directors and Chief Executive Officer of General Motors Company from January 2011 until his retirement in January 2014. Prior to joining General Motors, he was a Managing Director of The Carlyle Group, serving as the Head of Global Buyout from July 2009 to August 2010 and as Co-Head of U.S. Buyout from June 2003 to June 2009. Mr. Akerson serves as Chairman of the U.S. Naval Academy Foundation. He previously served on the board of directors of KLDiscovery Inc. from December 2019 until January 2020 and CommScope Holding Company, Inc. from April 2019 until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13335</wp:posOffset>
            </wp:positionV>
            <wp:extent cx="56407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002E6D"/>
        </w:rPr>
        <w:t>Daniel F. Akerson</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 xml:space="preserve">Age </w:t>
      </w:r>
      <w:r>
        <w:rPr>
          <w:rFonts w:ascii="Arial" w:cs="Arial" w:eastAsia="Arial" w:hAnsi="Arial"/>
          <w:sz w:val="17"/>
          <w:szCs w:val="17"/>
          <w:color w:val="000000"/>
        </w:rPr>
        <w:t>72</w:t>
      </w:r>
    </w:p>
    <w:p>
      <w:pPr>
        <w:spacing w:after="0" w:line="69" w:lineRule="exact"/>
        <w:rPr>
          <w:sz w:val="20"/>
          <w:szCs w:val="20"/>
          <w:color w:val="auto"/>
        </w:rPr>
      </w:pPr>
    </w:p>
    <w:p>
      <w:pPr>
        <w:ind w:left="20"/>
        <w:spacing w:after="0" w:line="242" w:lineRule="auto"/>
        <w:rPr>
          <w:sz w:val="20"/>
          <w:szCs w:val="20"/>
          <w:color w:val="auto"/>
        </w:rPr>
      </w:pPr>
      <w:r>
        <w:rPr>
          <w:rFonts w:ascii="Arial" w:cs="Arial" w:eastAsia="Arial" w:hAnsi="Arial"/>
          <w:sz w:val="16"/>
          <w:szCs w:val="16"/>
          <w:color w:val="002E6D"/>
        </w:rPr>
        <w:t>Director since 2014 Independent Lead Director</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Other Current Boards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514350</wp:posOffset>
            </wp:positionV>
            <wp:extent cx="925830" cy="925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25830" cy="925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434594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45940" cy="2228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45" w:hanging="245"/>
        <w:spacing w:after="0"/>
        <w:tabs>
          <w:tab w:leader="none" w:pos="2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Core leadership skills and experience with the demands and challenges of the global marketplace</w:t>
      </w:r>
    </w:p>
    <w:p>
      <w:pPr>
        <w:spacing w:after="0" w:line="5" w:lineRule="exact"/>
        <w:rPr>
          <w:rFonts w:ascii="Arial" w:cs="Arial" w:eastAsia="Arial" w:hAnsi="Arial"/>
          <w:sz w:val="16"/>
          <w:szCs w:val="16"/>
          <w:color w:val="auto"/>
        </w:rPr>
      </w:pPr>
    </w:p>
    <w:p>
      <w:pPr>
        <w:ind w:left="245" w:right="80" w:hanging="245"/>
        <w:spacing w:after="0" w:line="220" w:lineRule="auto"/>
        <w:tabs>
          <w:tab w:leader="none" w:pos="23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Extensive operating, marketing and senior management experience in a succession of major companies in challenging, highly competitive industries</w:t>
      </w:r>
    </w:p>
    <w:p>
      <w:pPr>
        <w:ind w:left="245" w:hanging="245"/>
        <w:spacing w:after="0"/>
        <w:tabs>
          <w:tab w:leader="none" w:pos="2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Enterprise risk management, financial, investment and mergers and acquisitions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199390</wp:posOffset>
            </wp:positionV>
            <wp:extent cx="713232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
        <w:spacing w:after="0"/>
        <w:rPr>
          <w:sz w:val="20"/>
          <w:szCs w:val="20"/>
          <w:color w:val="auto"/>
        </w:rPr>
      </w:pPr>
      <w:r>
        <w:rPr>
          <w:rFonts w:ascii="Arial" w:cs="Arial" w:eastAsia="Arial" w:hAnsi="Arial"/>
          <w:sz w:val="16"/>
          <w:szCs w:val="16"/>
          <w:color w:val="002E6D"/>
        </w:rPr>
        <w:t>Biography</w:t>
      </w:r>
    </w:p>
    <w:p>
      <w:pPr>
        <w:spacing w:after="0" w:line="24" w:lineRule="exact"/>
        <w:rPr>
          <w:sz w:val="20"/>
          <w:szCs w:val="20"/>
          <w:color w:val="auto"/>
        </w:rPr>
      </w:pPr>
    </w:p>
    <w:p>
      <w:pPr>
        <w:ind w:left="5" w:right="200"/>
        <w:spacing w:after="0" w:line="221" w:lineRule="auto"/>
        <w:rPr>
          <w:sz w:val="20"/>
          <w:szCs w:val="20"/>
          <w:color w:val="auto"/>
        </w:rPr>
      </w:pPr>
      <w:r>
        <w:rPr>
          <w:rFonts w:ascii="Arial" w:cs="Arial" w:eastAsia="Arial" w:hAnsi="Arial"/>
          <w:sz w:val="17"/>
          <w:szCs w:val="17"/>
          <w:color w:val="auto"/>
        </w:rPr>
        <w:t>President and Chief Executive Officer of United States Steel Corporation (U.S. Steel) since May 2017. Mr. Burritt also was named to U.S. Steel's board of directors at that time. Mr. Burritt previously served as President and Chief Operating Officer of U.S. Steel from February 2017 to May 2017; Chief Financial Officer from September 2013 to May 2017; and Executive Vice President from September 2013 to February 2017. Prior to joining U.S. Steel, Mr. Burritt served as Chief Financial Officer of Caterpillar Inc. until his retirement in 2010, after more than 32 years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140970</wp:posOffset>
            </wp:positionV>
            <wp:extent cx="56407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435"/>
            <w:col w:w="8865"/>
          </w:cols>
          <w:pgMar w:left="320" w:top="609" w:right="339" w:bottom="1440" w:gutter="0" w:footer="0" w:header="0"/>
          <w:type w:val="continuous"/>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002E6D"/>
        </w:rPr>
        <w:t>David B. Burritt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 xml:space="preserve">Age </w:t>
      </w:r>
      <w:r>
        <w:rPr>
          <w:rFonts w:ascii="Arial" w:cs="Arial" w:eastAsia="Arial" w:hAnsi="Arial"/>
          <w:sz w:val="17"/>
          <w:szCs w:val="17"/>
          <w:color w:val="000000"/>
        </w:rPr>
        <w:t>65</w:t>
      </w:r>
    </w:p>
    <w:p>
      <w:pPr>
        <w:spacing w:after="0" w:line="69" w:lineRule="exact"/>
        <w:rPr>
          <w:sz w:val="20"/>
          <w:szCs w:val="20"/>
          <w:color w:val="auto"/>
        </w:rPr>
      </w:pPr>
    </w:p>
    <w:p>
      <w:pPr>
        <w:ind w:left="20" w:right="115"/>
        <w:spacing w:after="0" w:line="242" w:lineRule="auto"/>
        <w:rPr>
          <w:sz w:val="20"/>
          <w:szCs w:val="20"/>
          <w:color w:val="auto"/>
        </w:rPr>
      </w:pPr>
      <w:r>
        <w:rPr>
          <w:rFonts w:ascii="Arial" w:cs="Arial" w:eastAsia="Arial" w:hAnsi="Arial"/>
          <w:sz w:val="16"/>
          <w:szCs w:val="16"/>
          <w:color w:val="002E6D"/>
        </w:rPr>
        <w:t>Director since 2008 Independent Director</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Other Current Boards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U.S. Steel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539750</wp:posOffset>
            </wp:positionV>
            <wp:extent cx="908685" cy="908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00" w:lineRule="exact"/>
        <w:rPr>
          <w:sz w:val="20"/>
          <w:szCs w:val="20"/>
          <w:color w:val="auto"/>
        </w:rPr>
      </w:pPr>
    </w:p>
    <w:p>
      <w:pPr>
        <w:spacing w:after="0" w:line="359" w:lineRule="exact"/>
        <w:rPr>
          <w:sz w:val="20"/>
          <w:szCs w:val="20"/>
          <w:color w:val="auto"/>
        </w:rPr>
      </w:pPr>
    </w:p>
    <w:p>
      <w:pPr>
        <w:ind w:left="245" w:right="280" w:hanging="245"/>
        <w:spacing w:after="0" w:line="223" w:lineRule="auto"/>
        <w:tabs>
          <w:tab w:leader="none" w:pos="239"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Expertise in public company accounting, risk management, disclosure, financial system management, manufacturing and commercial operations and business transformation from roles as CEO and CFO at U.S. Steel and CFO and Controller at Caterpillar Inc.</w:t>
      </w:r>
    </w:p>
    <w:p>
      <w:pPr>
        <w:ind w:left="245" w:right="180" w:hanging="245"/>
        <w:spacing w:after="0" w:line="232" w:lineRule="auto"/>
        <w:tabs>
          <w:tab w:leader="none" w:pos="23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Over 40 years’ experience with the demands and challenges of the global marketplace from his positions at U.S. Steel and Caterpillar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193040</wp:posOffset>
            </wp:positionV>
            <wp:extent cx="7132320" cy="939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
        <w:spacing w:after="0"/>
        <w:rPr>
          <w:sz w:val="20"/>
          <w:szCs w:val="20"/>
          <w:color w:val="auto"/>
        </w:rPr>
      </w:pPr>
      <w:r>
        <w:rPr>
          <w:rFonts w:ascii="Arial" w:cs="Arial" w:eastAsia="Arial" w:hAnsi="Arial"/>
          <w:sz w:val="16"/>
          <w:szCs w:val="16"/>
          <w:color w:val="002E6D"/>
        </w:rPr>
        <w:t>Biography</w:t>
      </w:r>
    </w:p>
    <w:p>
      <w:pPr>
        <w:spacing w:after="0" w:line="32" w:lineRule="exact"/>
        <w:rPr>
          <w:sz w:val="20"/>
          <w:szCs w:val="20"/>
          <w:color w:val="auto"/>
        </w:rPr>
      </w:pPr>
    </w:p>
    <w:p>
      <w:pPr>
        <w:ind w:left="5" w:right="60"/>
        <w:spacing w:after="0" w:line="218" w:lineRule="auto"/>
        <w:rPr>
          <w:sz w:val="20"/>
          <w:szCs w:val="20"/>
          <w:color w:val="auto"/>
        </w:rPr>
      </w:pPr>
      <w:r>
        <w:rPr>
          <w:rFonts w:ascii="Arial" w:cs="Arial" w:eastAsia="Arial" w:hAnsi="Arial"/>
          <w:sz w:val="16"/>
          <w:szCs w:val="16"/>
          <w:color w:val="auto"/>
        </w:rPr>
        <w:t>Retired U.S. Air Force General, Mr. Carlson has been chairman of Utah State University's Space Dynamics Laboratory Guidance Council since June 2013 and chairman of its board of directors since 2018. Previously, Mr. Carlson served as the 17th Director of the National Reconnaissance Office from 2009 until 2012. He retired from the U.S. Air Force in 2009 after more than 37 years of service, including service as Commander, Air Force Materiel Command at Wright-Patterson AFB, Ohio, Commander, Eighth Air Force at Barksdale AFB, Louisiana; and Director for Force Structure, Resources and Assessment (J-8) for the Joint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167640</wp:posOffset>
            </wp:positionV>
            <wp:extent cx="56407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55" w:space="720"/>
            <w:col w:w="8865"/>
          </w:cols>
          <w:pgMar w:left="320" w:top="609" w:right="339" w:bottom="1440" w:gutter="0" w:footer="0" w:header="0"/>
          <w:type w:val="continuous"/>
        </w:sectPr>
      </w:pP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002E6D"/>
        </w:rPr>
        <w:t>Bruce A. Carlson</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 xml:space="preserve">Age </w:t>
      </w:r>
      <w:r>
        <w:rPr>
          <w:rFonts w:ascii="Arial" w:cs="Arial" w:eastAsia="Arial" w:hAnsi="Arial"/>
          <w:sz w:val="17"/>
          <w:szCs w:val="17"/>
          <w:color w:val="000000"/>
        </w:rPr>
        <w:t>71</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Director since 2015</w:t>
      </w:r>
    </w:p>
    <w:p>
      <w:pPr>
        <w:ind w:left="20"/>
        <w:spacing w:after="0"/>
        <w:rPr>
          <w:sz w:val="20"/>
          <w:szCs w:val="20"/>
          <w:color w:val="auto"/>
        </w:rPr>
      </w:pPr>
      <w:r>
        <w:rPr>
          <w:rFonts w:ascii="Arial" w:cs="Arial" w:eastAsia="Arial" w:hAnsi="Arial"/>
          <w:sz w:val="16"/>
          <w:szCs w:val="16"/>
          <w:color w:val="002E6D"/>
        </w:rPr>
        <w:t>Independent Director</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Other Current Boards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Benchmark Electronics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4345940"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45940" cy="2228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45" w:right="640" w:hanging="245"/>
        <w:spacing w:after="0" w:line="228" w:lineRule="auto"/>
        <w:tabs>
          <w:tab w:leader="none" w:pos="23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Industry-specific expertise and knowledge of our core customer, including aircraft and satellite development and acquisition experience from his service in senior leadership positions with the military</w:t>
      </w:r>
    </w:p>
    <w:p>
      <w:pPr>
        <w:spacing w:after="0" w:line="1" w:lineRule="exact"/>
        <w:rPr>
          <w:rFonts w:ascii="Arial" w:cs="Arial" w:eastAsia="Arial" w:hAnsi="Arial"/>
          <w:sz w:val="16"/>
          <w:szCs w:val="16"/>
          <w:color w:val="auto"/>
        </w:rPr>
      </w:pPr>
    </w:p>
    <w:p>
      <w:pPr>
        <w:ind w:left="245" w:right="520" w:hanging="245"/>
        <w:spacing w:after="0" w:line="220" w:lineRule="auto"/>
        <w:tabs>
          <w:tab w:leader="none" w:pos="239"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Experience with the demands and challenges associated with managing large organizations from his service as a Commander and Joint Staff Director of the Joint Chiefs and the National Reconnaissance Office</w:t>
      </w:r>
    </w:p>
    <w:p>
      <w:pPr>
        <w:ind w:left="245" w:hanging="245"/>
        <w:spacing w:after="0"/>
        <w:tabs>
          <w:tab w:leader="none" w:pos="2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Skilled in executive management, logistics and military procurement</w:t>
      </w:r>
    </w:p>
    <w:p>
      <w:pPr>
        <w:spacing w:after="0" w:line="200" w:lineRule="exact"/>
        <w:rPr>
          <w:sz w:val="20"/>
          <w:szCs w:val="20"/>
          <w:color w:val="auto"/>
        </w:rPr>
      </w:pPr>
    </w:p>
    <w:p>
      <w:pPr>
        <w:sectPr>
          <w:pgSz w:w="11900" w:h="16838" w:orient="portrait"/>
          <w:cols w:equalWidth="0" w:num="2">
            <w:col w:w="2100" w:space="275"/>
            <w:col w:w="8865"/>
          </w:cols>
          <w:pgMar w:left="320" w:top="609" w:right="33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13</w:t>
      </w:r>
    </w:p>
    <w:p>
      <w:pPr>
        <w:sectPr>
          <w:pgSz w:w="11900" w:h="16838" w:orient="portrait"/>
          <w:cols w:equalWidth="0" w:num="1">
            <w:col w:w="11240"/>
          </w:cols>
          <w:pgMar w:left="320" w:top="609"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1037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380"/>
        <w:spacing w:after="0"/>
        <w:rPr>
          <w:sz w:val="20"/>
          <w:szCs w:val="20"/>
          <w:color w:val="auto"/>
        </w:rPr>
      </w:pPr>
      <w:r>
        <w:rPr>
          <w:rFonts w:ascii="Arial" w:cs="Arial" w:eastAsia="Arial" w:hAnsi="Arial"/>
          <w:sz w:val="15"/>
          <w:szCs w:val="15"/>
          <w:color w:val="002E6D"/>
        </w:rPr>
        <w:t>Biography</w:t>
      </w:r>
    </w:p>
    <w:p>
      <w:pPr>
        <w:spacing w:after="0" w:line="14" w:lineRule="exact"/>
        <w:rPr>
          <w:sz w:val="20"/>
          <w:szCs w:val="20"/>
          <w:color w:val="auto"/>
        </w:rPr>
      </w:pPr>
    </w:p>
    <w:p>
      <w:pPr>
        <w:ind w:left="2380" w:right="140"/>
        <w:spacing w:after="0" w:line="224" w:lineRule="auto"/>
        <w:rPr>
          <w:sz w:val="20"/>
          <w:szCs w:val="20"/>
          <w:color w:val="auto"/>
        </w:rPr>
      </w:pPr>
      <w:r>
        <w:rPr>
          <w:rFonts w:ascii="Arial" w:cs="Arial" w:eastAsia="Arial" w:hAnsi="Arial"/>
          <w:sz w:val="17"/>
          <w:szCs w:val="17"/>
          <w:color w:val="auto"/>
        </w:rPr>
        <w:t>Retired U.S. Marine Corps General, Mr. Dunford served as the 19th Chairman of the Joint Chiefs of Staff from 2015 until his retirement in September 2019. His previous assignments include serving as the 36th Commandant of the Marine Corps and the Commander of all U.S. and NATO Forces in Afghanistan. He is a Senior Fellow at the Belfer Center, Harvard University, and Chairman of the Board of the Semper Fi and America’s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354965</wp:posOffset>
            </wp:positionV>
            <wp:extent cx="56407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ectPr>
          <w:pgSz w:w="11900" w:h="16838" w:orient="portrait"/>
          <w:cols w:equalWidth="0" w:num="1">
            <w:col w:w="11220"/>
          </w:cols>
          <w:pgMar w:left="320" w:top="609" w:right="35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7"/>
          <w:szCs w:val="17"/>
          <w:color w:val="002E6D"/>
        </w:rPr>
        <w:t>Joseph F. Dunford, Jr.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002E6D"/>
        </w:rPr>
        <w:t xml:space="preserve">Age </w:t>
      </w:r>
      <w:r>
        <w:rPr>
          <w:rFonts w:ascii="Arial" w:cs="Arial" w:eastAsia="Arial" w:hAnsi="Arial"/>
          <w:sz w:val="17"/>
          <w:szCs w:val="17"/>
          <w:color w:val="000000"/>
        </w:rPr>
        <w:t>65</w:t>
      </w:r>
    </w:p>
    <w:p>
      <w:pPr>
        <w:spacing w:after="0" w:line="83" w:lineRule="exact"/>
        <w:rPr>
          <w:sz w:val="20"/>
          <w:szCs w:val="20"/>
          <w:color w:val="auto"/>
        </w:rPr>
      </w:pPr>
    </w:p>
    <w:p>
      <w:pPr>
        <w:ind w:left="20" w:right="240"/>
        <w:spacing w:after="0" w:line="260" w:lineRule="auto"/>
        <w:rPr>
          <w:sz w:val="20"/>
          <w:szCs w:val="20"/>
          <w:color w:val="auto"/>
        </w:rPr>
      </w:pPr>
      <w:r>
        <w:rPr>
          <w:rFonts w:ascii="Arial" w:cs="Arial" w:eastAsia="Arial" w:hAnsi="Arial"/>
          <w:sz w:val="16"/>
          <w:szCs w:val="16"/>
          <w:color w:val="002E6D"/>
        </w:rPr>
        <w:t>Director since 2020 Independent Director</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Other Current Boards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531495</wp:posOffset>
            </wp:positionV>
            <wp:extent cx="908685" cy="908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color w:val="002E6D"/>
        </w:rPr>
        <w:t>James O. Ellis, Jr.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5"/>
          <w:szCs w:val="15"/>
          <w:color w:val="002E6D"/>
        </w:rPr>
        <w:t xml:space="preserve">Age </w:t>
      </w:r>
      <w:r>
        <w:rPr>
          <w:rFonts w:ascii="Arial" w:cs="Arial" w:eastAsia="Arial" w:hAnsi="Arial"/>
          <w:sz w:val="17"/>
          <w:szCs w:val="17"/>
          <w:color w:val="000000"/>
        </w:rPr>
        <w:t>73</w:t>
      </w:r>
    </w:p>
    <w:p>
      <w:pPr>
        <w:spacing w:after="0" w:line="69" w:lineRule="exact"/>
        <w:rPr>
          <w:sz w:val="20"/>
          <w:szCs w:val="20"/>
          <w:color w:val="auto"/>
        </w:rPr>
      </w:pPr>
    </w:p>
    <w:p>
      <w:pPr>
        <w:ind w:left="20" w:right="240"/>
        <w:spacing w:after="0" w:line="242" w:lineRule="auto"/>
        <w:rPr>
          <w:sz w:val="20"/>
          <w:szCs w:val="20"/>
          <w:color w:val="auto"/>
        </w:rPr>
      </w:pPr>
      <w:r>
        <w:rPr>
          <w:rFonts w:ascii="Arial" w:cs="Arial" w:eastAsia="Arial" w:hAnsi="Arial"/>
          <w:sz w:val="16"/>
          <w:szCs w:val="16"/>
          <w:color w:val="002E6D"/>
        </w:rPr>
        <w:t>Director since 2004 Independent Director</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Other Current Boards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Dominion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685800</wp:posOffset>
            </wp:positionV>
            <wp:extent cx="908685" cy="908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8"/>
          <w:szCs w:val="18"/>
          <w:color w:val="002E6D"/>
        </w:rPr>
        <w:t>Thomas J. Falk</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 xml:space="preserve">Age </w:t>
      </w:r>
      <w:r>
        <w:rPr>
          <w:rFonts w:ascii="Arial" w:cs="Arial" w:eastAsia="Arial" w:hAnsi="Arial"/>
          <w:sz w:val="17"/>
          <w:szCs w:val="17"/>
          <w:color w:val="000000"/>
        </w:rPr>
        <w:t>62</w:t>
      </w:r>
    </w:p>
    <w:p>
      <w:pPr>
        <w:spacing w:after="0" w:line="69" w:lineRule="exact"/>
        <w:rPr>
          <w:sz w:val="20"/>
          <w:szCs w:val="20"/>
          <w:color w:val="auto"/>
        </w:rPr>
      </w:pPr>
    </w:p>
    <w:p>
      <w:pPr>
        <w:ind w:left="20" w:right="240"/>
        <w:spacing w:after="0" w:line="242" w:lineRule="auto"/>
        <w:rPr>
          <w:sz w:val="20"/>
          <w:szCs w:val="20"/>
          <w:color w:val="auto"/>
        </w:rPr>
      </w:pPr>
      <w:r>
        <w:rPr>
          <w:rFonts w:ascii="Arial" w:cs="Arial" w:eastAsia="Arial" w:hAnsi="Arial"/>
          <w:sz w:val="16"/>
          <w:szCs w:val="16"/>
          <w:color w:val="002E6D"/>
        </w:rPr>
        <w:t>Director since 2010 Independent Director</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Other Current Boards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702945</wp:posOffset>
            </wp:positionV>
            <wp:extent cx="96901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449199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491990" cy="2228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45" w:right="160" w:hanging="245"/>
        <w:spacing w:after="0" w:line="228" w:lineRule="auto"/>
        <w:tabs>
          <w:tab w:leader="none" w:pos="23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Industry-specific expertise and knowledge of our core customer from his service in senior leadership positions with the military</w:t>
      </w:r>
    </w:p>
    <w:p>
      <w:pPr>
        <w:spacing w:after="0" w:line="1" w:lineRule="exact"/>
        <w:rPr>
          <w:rFonts w:ascii="Arial" w:cs="Arial" w:eastAsia="Arial" w:hAnsi="Arial"/>
          <w:sz w:val="16"/>
          <w:szCs w:val="16"/>
          <w:color w:val="auto"/>
        </w:rPr>
      </w:pPr>
    </w:p>
    <w:p>
      <w:pPr>
        <w:ind w:left="245" w:right="500" w:hanging="245"/>
        <w:spacing w:after="0" w:line="220" w:lineRule="auto"/>
        <w:tabs>
          <w:tab w:leader="none" w:pos="239"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Experience with the demands and challenges associated with managing large organizations from his service as a Commander and Chairman of the Joint Chiefs of Staff</w:t>
      </w:r>
    </w:p>
    <w:p>
      <w:pPr>
        <w:ind w:left="245" w:hanging="245"/>
        <w:spacing w:after="0"/>
        <w:tabs>
          <w:tab w:leader="none" w:pos="2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Skilled in executive management, logistics, military procurement and cybersecurity threats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199390</wp:posOffset>
            </wp:positionV>
            <wp:extent cx="7132320" cy="93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
        <w:spacing w:after="0"/>
        <w:rPr>
          <w:sz w:val="20"/>
          <w:szCs w:val="20"/>
          <w:color w:val="auto"/>
        </w:rPr>
      </w:pPr>
      <w:r>
        <w:rPr>
          <w:rFonts w:ascii="Arial" w:cs="Arial" w:eastAsia="Arial" w:hAnsi="Arial"/>
          <w:sz w:val="15"/>
          <w:szCs w:val="15"/>
          <w:color w:val="002E6D"/>
        </w:rPr>
        <w:t>Biography</w:t>
      </w:r>
    </w:p>
    <w:p>
      <w:pPr>
        <w:spacing w:after="0" w:line="14" w:lineRule="exact"/>
        <w:rPr>
          <w:sz w:val="20"/>
          <w:szCs w:val="20"/>
          <w:color w:val="auto"/>
        </w:rPr>
      </w:pPr>
    </w:p>
    <w:p>
      <w:pPr>
        <w:ind w:left="5"/>
        <w:spacing w:after="0" w:line="222" w:lineRule="auto"/>
        <w:rPr>
          <w:sz w:val="20"/>
          <w:szCs w:val="20"/>
          <w:color w:val="auto"/>
        </w:rPr>
      </w:pPr>
      <w:r>
        <w:rPr>
          <w:rFonts w:ascii="Arial" w:cs="Arial" w:eastAsia="Arial" w:hAnsi="Arial"/>
          <w:sz w:val="17"/>
          <w:szCs w:val="17"/>
          <w:color w:val="auto"/>
        </w:rPr>
        <w:t>Admiral Ellis has served as an Annenberg Distinguished Fellow at the Hoover Institution at Stanford University since 2014. Previously, he served as President and Chief Executive Officer of the Institute of Nuclear Power Operations from May 2005 until his retirement in May 2012. Mr. Ellis retired from active duty in July 2004 after serving as Admiral and Commander, United States Strategic Command, Offutt Air Force Base, Nebraska. He formerly served as a director of Level 3 Communications, Inc. from March 2005 to November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244475</wp:posOffset>
            </wp:positionV>
            <wp:extent cx="56407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4345940"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45940" cy="2228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45" w:right="80" w:hanging="245"/>
        <w:spacing w:after="0" w:line="228" w:lineRule="auto"/>
        <w:tabs>
          <w:tab w:leader="none" w:pos="2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Industry-specific expertise and knowledge of our core customers from his service in senior leadership positions with the military and the private sector</w:t>
      </w:r>
    </w:p>
    <w:p>
      <w:pPr>
        <w:spacing w:after="0" w:line="1" w:lineRule="exact"/>
        <w:rPr>
          <w:rFonts w:ascii="Arial" w:cs="Arial" w:eastAsia="Arial" w:hAnsi="Arial"/>
          <w:sz w:val="16"/>
          <w:szCs w:val="16"/>
          <w:color w:val="auto"/>
        </w:rPr>
      </w:pPr>
    </w:p>
    <w:p>
      <w:pPr>
        <w:ind w:left="245" w:hanging="245"/>
        <w:spacing w:after="0" w:line="228" w:lineRule="auto"/>
        <w:tabs>
          <w:tab w:leader="none" w:pos="245"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Expertise in aeronautical and aerospace engineering, information technology and emerging energy issues</w:t>
      </w:r>
    </w:p>
    <w:p>
      <w:pPr>
        <w:ind w:left="245" w:hanging="245"/>
        <w:spacing w:after="0" w:line="228" w:lineRule="auto"/>
        <w:tabs>
          <w:tab w:leader="none" w:pos="245" w:val="left"/>
        </w:tabs>
        <w:numPr>
          <w:ilvl w:val="0"/>
          <w:numId w:val="27"/>
        </w:numPr>
        <w:rPr>
          <w:rFonts w:ascii="Arial" w:cs="Arial" w:eastAsia="Arial" w:hAnsi="Arial"/>
          <w:sz w:val="16"/>
          <w:szCs w:val="16"/>
          <w:color w:val="auto"/>
        </w:rPr>
      </w:pPr>
      <w:r>
        <w:rPr>
          <w:rFonts w:ascii="Arial" w:cs="Arial" w:eastAsia="Arial" w:hAnsi="Arial"/>
          <w:sz w:val="16"/>
          <w:szCs w:val="16"/>
          <w:color w:val="auto"/>
        </w:rPr>
        <w:t>Skilled in enterprise risk management</w:t>
      </w:r>
    </w:p>
    <w:p>
      <w:pPr>
        <w:ind w:left="245" w:right="140" w:hanging="245"/>
        <w:spacing w:after="0" w:line="232" w:lineRule="auto"/>
        <w:tabs>
          <w:tab w:leader="none" w:pos="2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Over 40 years’ experience in managing and leading large and complex technology-focused organizations, in large part as a result of serving for 35 years as an active duty member of the United States Navy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218440</wp:posOffset>
            </wp:positionV>
            <wp:extent cx="713232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5"/>
        <w:spacing w:after="0"/>
        <w:rPr>
          <w:sz w:val="20"/>
          <w:szCs w:val="20"/>
          <w:color w:val="auto"/>
        </w:rPr>
      </w:pPr>
      <w:r>
        <w:rPr>
          <w:rFonts w:ascii="Arial" w:cs="Arial" w:eastAsia="Arial" w:hAnsi="Arial"/>
          <w:sz w:val="16"/>
          <w:szCs w:val="16"/>
          <w:color w:val="002E6D"/>
        </w:rPr>
        <w:t>Biography</w:t>
      </w:r>
    </w:p>
    <w:p>
      <w:pPr>
        <w:spacing w:after="0" w:line="32" w:lineRule="exact"/>
        <w:rPr>
          <w:sz w:val="20"/>
          <w:szCs w:val="20"/>
          <w:color w:val="auto"/>
        </w:rPr>
      </w:pPr>
    </w:p>
    <w:p>
      <w:pPr>
        <w:ind w:left="5" w:right="60"/>
        <w:spacing w:after="0" w:line="225" w:lineRule="auto"/>
        <w:rPr>
          <w:sz w:val="20"/>
          <w:szCs w:val="20"/>
          <w:color w:val="auto"/>
        </w:rPr>
      </w:pPr>
      <w:r>
        <w:rPr>
          <w:rFonts w:ascii="Arial" w:cs="Arial" w:eastAsia="Arial" w:hAnsi="Arial"/>
          <w:sz w:val="16"/>
          <w:szCs w:val="16"/>
          <w:color w:val="auto"/>
        </w:rPr>
        <w:t>Executive Chairman of Kimberly-Clark Corporation from January 2019 through December 2019. Having served 36 years at Kimberly-Clark Corporation, Mr. Falk was Chairman of the Board and Chief Executive Officer from 2003 until December 2018; Chief Executive Officer from 2002 and President and Chief Operating Officer from 1999 to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476250</wp:posOffset>
            </wp:positionV>
            <wp:extent cx="56407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434594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45940" cy="2228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45" w:right="280" w:hanging="245"/>
        <w:spacing w:after="0" w:line="228" w:lineRule="auto"/>
        <w:tabs>
          <w:tab w:leader="none" w:pos="239"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Experience with the demands and challenges associated with managing global organizations from his experience as Chairman and Chief Executive Officer of Kimberly-Clark Corporation</w:t>
      </w:r>
    </w:p>
    <w:p>
      <w:pPr>
        <w:spacing w:after="0" w:line="1" w:lineRule="exact"/>
        <w:rPr>
          <w:rFonts w:ascii="Arial" w:cs="Arial" w:eastAsia="Arial" w:hAnsi="Arial"/>
          <w:sz w:val="16"/>
          <w:szCs w:val="16"/>
          <w:color w:val="auto"/>
        </w:rPr>
      </w:pPr>
    </w:p>
    <w:p>
      <w:pPr>
        <w:ind w:left="245" w:hanging="245"/>
        <w:spacing w:after="0" w:line="228" w:lineRule="auto"/>
        <w:tabs>
          <w:tab w:leader="none" w:pos="2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Knowledge of financial system management, public company accounting, disclosure requirements and financial markets</w:t>
      </w:r>
    </w:p>
    <w:p>
      <w:pPr>
        <w:ind w:left="245" w:hanging="245"/>
        <w:spacing w:after="0"/>
        <w:tabs>
          <w:tab w:leader="none" w:pos="2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Manufacturing, human capital management, compensation, governance and public company board experience</w:t>
      </w:r>
    </w:p>
    <w:p>
      <w:pPr>
        <w:sectPr>
          <w:pgSz w:w="11900" w:h="16838" w:orient="portrait"/>
          <w:cols w:equalWidth="0" w:num="2">
            <w:col w:w="1780" w:space="595"/>
            <w:col w:w="8845"/>
          </w:cols>
          <w:pgMar w:left="320" w:top="609" w:right="35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398145</wp:posOffset>
            </wp:positionV>
            <wp:extent cx="7132320" cy="1037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360"/>
        <w:spacing w:after="0"/>
        <w:rPr>
          <w:sz w:val="20"/>
          <w:szCs w:val="20"/>
          <w:color w:val="auto"/>
        </w:rPr>
      </w:pPr>
      <w:r>
        <w:rPr>
          <w:rFonts w:ascii="Arial" w:cs="Arial" w:eastAsia="Arial" w:hAnsi="Arial"/>
          <w:sz w:val="16"/>
          <w:szCs w:val="16"/>
          <w:color w:val="002E6D"/>
        </w:rPr>
        <w:t>Biography</w:t>
      </w:r>
    </w:p>
    <w:p>
      <w:pPr>
        <w:spacing w:after="0" w:line="24" w:lineRule="exact"/>
        <w:rPr>
          <w:sz w:val="20"/>
          <w:szCs w:val="20"/>
          <w:color w:val="auto"/>
        </w:rPr>
      </w:pPr>
    </w:p>
    <w:p>
      <w:pPr>
        <w:ind w:left="2360" w:right="100"/>
        <w:spacing w:after="0" w:line="224" w:lineRule="auto"/>
        <w:rPr>
          <w:sz w:val="20"/>
          <w:szCs w:val="20"/>
          <w:color w:val="auto"/>
        </w:rPr>
      </w:pPr>
      <w:r>
        <w:rPr>
          <w:rFonts w:ascii="Arial" w:cs="Arial" w:eastAsia="Arial" w:hAnsi="Arial"/>
          <w:sz w:val="17"/>
          <w:szCs w:val="17"/>
          <w:color w:val="auto"/>
        </w:rPr>
        <w:t>Executive Chairman of the Board of Ingredion Incorporated from January 2018 through July 2018. Previously, Ms. Gordon was Chairman of the Board, President and Chief Executive Officer of Ingredion Incorporated from May 2009 through December 2017. Ingredion Incorporated is a publicly-traded corporation manufacturing food ingredients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1483995</wp:posOffset>
            </wp:positionH>
            <wp:positionV relativeFrom="paragraph">
              <wp:posOffset>346075</wp:posOffset>
            </wp:positionV>
            <wp:extent cx="56407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ectPr>
          <w:pgSz w:w="11900" w:h="16838" w:orient="portrait"/>
          <w:cols w:equalWidth="0" w:num="1">
            <w:col w:w="11220"/>
          </w:cols>
          <w:pgMar w:left="340" w:top="60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002E6D"/>
        </w:rPr>
        <w:t>Ilene S. Gordon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02E6D"/>
        </w:rPr>
        <w:t xml:space="preserve">Age </w:t>
      </w:r>
      <w:r>
        <w:rPr>
          <w:rFonts w:ascii="Arial" w:cs="Arial" w:eastAsia="Arial" w:hAnsi="Arial"/>
          <w:sz w:val="17"/>
          <w:szCs w:val="17"/>
          <w:color w:val="000000"/>
        </w:rPr>
        <w:t>67</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002E6D"/>
        </w:rPr>
        <w:t>Director since 2016</w:t>
      </w:r>
    </w:p>
    <w:p>
      <w:pPr>
        <w:spacing w:after="0"/>
        <w:rPr>
          <w:sz w:val="20"/>
          <w:szCs w:val="20"/>
          <w:color w:val="auto"/>
        </w:rPr>
      </w:pPr>
      <w:r>
        <w:rPr>
          <w:rFonts w:ascii="Arial" w:cs="Arial" w:eastAsia="Arial" w:hAnsi="Arial"/>
          <w:sz w:val="16"/>
          <w:szCs w:val="16"/>
          <w:color w:val="002E6D"/>
        </w:rPr>
        <w:t>Independent Director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002E6D"/>
        </w:rPr>
        <w:t>Other Current Boards</w:t>
      </w:r>
    </w:p>
    <w:p>
      <w:pPr>
        <w:spacing w:after="0" w:line="37"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International Paper Company; International Flavors &amp; Fragrances,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423545</wp:posOffset>
            </wp:positionV>
            <wp:extent cx="908685" cy="908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434594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45940" cy="2228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45" w:right="280" w:hanging="245"/>
        <w:spacing w:after="0" w:line="228" w:lineRule="auto"/>
        <w:tabs>
          <w:tab w:leader="none" w:pos="23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Experience with the demands and challenges associated with managing global organizations from her experience as Chairman, President and Chief Executive Officer of Ingredion Incorporated</w:t>
      </w:r>
    </w:p>
    <w:p>
      <w:pPr>
        <w:spacing w:after="0" w:line="1" w:lineRule="exact"/>
        <w:rPr>
          <w:rFonts w:ascii="Arial" w:cs="Arial" w:eastAsia="Arial" w:hAnsi="Arial"/>
          <w:sz w:val="16"/>
          <w:szCs w:val="16"/>
          <w:color w:val="auto"/>
        </w:rPr>
      </w:pPr>
    </w:p>
    <w:p>
      <w:pPr>
        <w:ind w:left="245" w:hanging="245"/>
        <w:spacing w:after="0" w:line="228" w:lineRule="auto"/>
        <w:tabs>
          <w:tab w:leader="none" w:pos="245" w:val="left"/>
        </w:tabs>
        <w:numPr>
          <w:ilvl w:val="0"/>
          <w:numId w:val="29"/>
        </w:numPr>
        <w:rPr>
          <w:rFonts w:ascii="Arial" w:cs="Arial" w:eastAsia="Arial" w:hAnsi="Arial"/>
          <w:sz w:val="16"/>
          <w:szCs w:val="16"/>
          <w:color w:val="auto"/>
        </w:rPr>
      </w:pPr>
      <w:r>
        <w:rPr>
          <w:rFonts w:ascii="Arial" w:cs="Arial" w:eastAsia="Arial" w:hAnsi="Arial"/>
          <w:sz w:val="16"/>
          <w:szCs w:val="16"/>
          <w:color w:val="auto"/>
        </w:rPr>
        <w:t>Knowledge of financial system management, public company accounting, disclosure requirements and financial markets</w:t>
      </w:r>
    </w:p>
    <w:p>
      <w:pPr>
        <w:ind w:left="245" w:hanging="245"/>
        <w:spacing w:after="0"/>
        <w:tabs>
          <w:tab w:leader="none" w:pos="245"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Marketing, human capital management, compensation, governance and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405130</wp:posOffset>
            </wp:positionV>
            <wp:extent cx="7132320"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2">
            <w:col w:w="2280" w:space="75"/>
            <w:col w:w="8865"/>
          </w:cols>
          <w:pgMar w:left="340" w:top="6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002E6D"/>
        </w:rPr>
        <w:t>Vicki A. Hollub</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02E6D"/>
        </w:rPr>
        <w:t xml:space="preserve">Age </w:t>
      </w:r>
      <w:r>
        <w:rPr>
          <w:rFonts w:ascii="Arial" w:cs="Arial" w:eastAsia="Arial" w:hAnsi="Arial"/>
          <w:sz w:val="17"/>
          <w:szCs w:val="17"/>
          <w:color w:val="000000"/>
        </w:rPr>
        <w:t>61</w:t>
      </w:r>
    </w:p>
    <w:p>
      <w:pPr>
        <w:spacing w:after="0" w:line="69" w:lineRule="exact"/>
        <w:rPr>
          <w:sz w:val="20"/>
          <w:szCs w:val="20"/>
          <w:color w:val="auto"/>
        </w:rPr>
      </w:pPr>
    </w:p>
    <w:p>
      <w:pPr>
        <w:ind w:right="115"/>
        <w:spacing w:after="0" w:line="242" w:lineRule="auto"/>
        <w:rPr>
          <w:sz w:val="20"/>
          <w:szCs w:val="20"/>
          <w:color w:val="auto"/>
        </w:rPr>
      </w:pPr>
      <w:r>
        <w:rPr>
          <w:rFonts w:ascii="Arial" w:cs="Arial" w:eastAsia="Arial" w:hAnsi="Arial"/>
          <w:sz w:val="16"/>
          <w:szCs w:val="16"/>
          <w:color w:val="002E6D"/>
        </w:rPr>
        <w:t>Director since 2018 Independent Director</w:t>
      </w:r>
    </w:p>
    <w:p>
      <w:pPr>
        <w:spacing w:after="0" w:line="88" w:lineRule="exact"/>
        <w:rPr>
          <w:sz w:val="20"/>
          <w:szCs w:val="20"/>
          <w:color w:val="auto"/>
        </w:rPr>
      </w:pPr>
    </w:p>
    <w:p>
      <w:pPr>
        <w:ind w:right="75"/>
        <w:spacing w:after="0" w:line="313" w:lineRule="auto"/>
        <w:rPr>
          <w:sz w:val="20"/>
          <w:szCs w:val="20"/>
          <w:color w:val="auto"/>
        </w:rPr>
      </w:pPr>
      <w:r>
        <w:rPr>
          <w:rFonts w:ascii="Arial" w:cs="Arial" w:eastAsia="Arial" w:hAnsi="Arial"/>
          <w:sz w:val="16"/>
          <w:szCs w:val="16"/>
          <w:color w:val="002E6D"/>
        </w:rPr>
        <w:t xml:space="preserve">Other Current Boards </w:t>
      </w:r>
      <w:r>
        <w:rPr>
          <w:rFonts w:ascii="Arial" w:cs="Arial" w:eastAsia="Arial" w:hAnsi="Arial"/>
          <w:sz w:val="16"/>
          <w:szCs w:val="16"/>
          <w:color w:val="000000"/>
        </w:rPr>
        <w:t>Occidental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499745</wp:posOffset>
            </wp:positionV>
            <wp:extent cx="908685" cy="908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002E6D"/>
        </w:rPr>
        <w:t>Jeh C. Johnson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02E6D"/>
        </w:rPr>
        <w:t xml:space="preserve">Age </w:t>
      </w:r>
      <w:r>
        <w:rPr>
          <w:rFonts w:ascii="Arial" w:cs="Arial" w:eastAsia="Arial" w:hAnsi="Arial"/>
          <w:sz w:val="17"/>
          <w:szCs w:val="17"/>
          <w:color w:val="000000"/>
        </w:rPr>
        <w:t>63</w:t>
      </w:r>
    </w:p>
    <w:p>
      <w:pPr>
        <w:spacing w:after="0" w:line="69" w:lineRule="exact"/>
        <w:rPr>
          <w:sz w:val="20"/>
          <w:szCs w:val="20"/>
          <w:color w:val="auto"/>
        </w:rPr>
      </w:pPr>
    </w:p>
    <w:p>
      <w:pPr>
        <w:ind w:right="115"/>
        <w:spacing w:after="0" w:line="242" w:lineRule="auto"/>
        <w:rPr>
          <w:sz w:val="20"/>
          <w:szCs w:val="20"/>
          <w:color w:val="auto"/>
        </w:rPr>
      </w:pPr>
      <w:r>
        <w:rPr>
          <w:rFonts w:ascii="Arial" w:cs="Arial" w:eastAsia="Arial" w:hAnsi="Arial"/>
          <w:sz w:val="16"/>
          <w:szCs w:val="16"/>
          <w:color w:val="002E6D"/>
        </w:rPr>
        <w:t>Director since 2018 Independent Director</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002E6D"/>
        </w:rPr>
        <w:t>Other Current Boards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U.S. Steel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5"/>
        <w:spacing w:after="0"/>
        <w:rPr>
          <w:sz w:val="20"/>
          <w:szCs w:val="20"/>
          <w:color w:val="auto"/>
        </w:rPr>
      </w:pPr>
      <w:r>
        <w:rPr>
          <w:rFonts w:ascii="Arial" w:cs="Arial" w:eastAsia="Arial" w:hAnsi="Arial"/>
          <w:sz w:val="16"/>
          <w:szCs w:val="16"/>
          <w:color w:val="002E6D"/>
        </w:rPr>
        <w:t>Biography</w:t>
      </w:r>
    </w:p>
    <w:p>
      <w:pPr>
        <w:spacing w:after="0" w:line="32" w:lineRule="exact"/>
        <w:rPr>
          <w:sz w:val="20"/>
          <w:szCs w:val="20"/>
          <w:color w:val="auto"/>
        </w:rPr>
      </w:pPr>
    </w:p>
    <w:p>
      <w:pPr>
        <w:ind w:left="5" w:right="120"/>
        <w:spacing w:after="0" w:line="219" w:lineRule="auto"/>
        <w:rPr>
          <w:sz w:val="20"/>
          <w:szCs w:val="20"/>
          <w:color w:val="auto"/>
        </w:rPr>
      </w:pPr>
      <w:r>
        <w:rPr>
          <w:rFonts w:ascii="Arial" w:cs="Arial" w:eastAsia="Arial" w:hAnsi="Arial"/>
          <w:sz w:val="16"/>
          <w:szCs w:val="16"/>
          <w:color w:val="auto"/>
        </w:rPr>
        <w:t>President and Chief Executive Officer of Occidental Petroleum Corporation (Occidental), an international oil and gas exploration and production company since April 2016. Having served more than 30 years at Occidental, Ms. Hollub served as President and Chief Operating Officer from 2015 to 2016; Senior Executive Vice President, Occidental and President, Oxy Oil and Gas - Americas from 2014 to 2015, and Executive Vice President, Occidental and Executive Vice President, U.S. Operations and Oxy Oil and Gas from 2013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271780</wp:posOffset>
            </wp:positionV>
            <wp:extent cx="56407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4345940"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45940" cy="2228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45" w:right="40" w:hanging="245"/>
        <w:spacing w:after="0" w:line="223" w:lineRule="auto"/>
        <w:tabs>
          <w:tab w:leader="none" w:pos="239" w:val="left"/>
        </w:tabs>
        <w:numPr>
          <w:ilvl w:val="0"/>
          <w:numId w:val="30"/>
        </w:numPr>
        <w:rPr>
          <w:rFonts w:ascii="Arial" w:cs="Arial" w:eastAsia="Arial" w:hAnsi="Arial"/>
          <w:sz w:val="16"/>
          <w:szCs w:val="16"/>
          <w:color w:val="auto"/>
        </w:rPr>
      </w:pPr>
      <w:r>
        <w:rPr>
          <w:rFonts w:ascii="Arial" w:cs="Arial" w:eastAsia="Arial" w:hAnsi="Arial"/>
          <w:sz w:val="16"/>
          <w:szCs w:val="16"/>
          <w:color w:val="auto"/>
        </w:rPr>
        <w:t>Broad insight and experience with the demands and challenges associated with managing global organizations from her experience as President and Chief Executive Officer of Occidental and more than three decades in executive and operational roles</w:t>
      </w:r>
    </w:p>
    <w:p>
      <w:pPr>
        <w:ind w:left="245" w:hanging="245"/>
        <w:spacing w:after="0" w:line="228" w:lineRule="auto"/>
        <w:tabs>
          <w:tab w:leader="none" w:pos="2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Expertise in the Middle East region and Latin America</w:t>
      </w:r>
    </w:p>
    <w:p>
      <w:pPr>
        <w:ind w:left="245" w:hanging="245"/>
        <w:spacing w:after="0"/>
        <w:tabs>
          <w:tab w:leader="none" w:pos="2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Skilled in enterprise risk management, environmental, safety and health,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190500</wp:posOffset>
            </wp:positionV>
            <wp:extent cx="7132320"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
        <w:spacing w:after="0"/>
        <w:rPr>
          <w:sz w:val="20"/>
          <w:szCs w:val="20"/>
          <w:color w:val="auto"/>
        </w:rPr>
      </w:pPr>
      <w:r>
        <w:rPr>
          <w:rFonts w:ascii="Arial" w:cs="Arial" w:eastAsia="Arial" w:hAnsi="Arial"/>
          <w:sz w:val="16"/>
          <w:szCs w:val="16"/>
          <w:color w:val="002E6D"/>
        </w:rPr>
        <w:t>Biography</w:t>
      </w:r>
    </w:p>
    <w:p>
      <w:pPr>
        <w:spacing w:after="0" w:line="32" w:lineRule="exact"/>
        <w:rPr>
          <w:sz w:val="20"/>
          <w:szCs w:val="20"/>
          <w:color w:val="auto"/>
        </w:rPr>
      </w:pPr>
    </w:p>
    <w:p>
      <w:pPr>
        <w:ind w:left="5" w:right="20"/>
        <w:spacing w:after="0" w:line="219" w:lineRule="auto"/>
        <w:rPr>
          <w:sz w:val="20"/>
          <w:szCs w:val="20"/>
          <w:color w:val="auto"/>
        </w:rPr>
      </w:pPr>
      <w:r>
        <w:rPr>
          <w:rFonts w:ascii="Arial" w:cs="Arial" w:eastAsia="Arial" w:hAnsi="Arial"/>
          <w:sz w:val="16"/>
          <w:szCs w:val="16"/>
          <w:color w:val="auto"/>
        </w:rPr>
        <w:t>Partner at the international law firm of Paul, Weiss, Rifkind, Wharton &amp; Garrison LLP since January 2017. Previously, Mr. Johnson served as U.S. Secretary of Homeland Security from December 2013 to January 2017; and as General Counsel of the U.S. Department of Defense and as General Counsel of the U.S. Department of the Air Force. Mr. Johnson is presently a director of the Council on Foreign Relations, and formerly served as a director of PG&amp;E Corporation from May 2017 to March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271780</wp:posOffset>
            </wp:positionV>
            <wp:extent cx="56407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4345940" cy="222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45940" cy="2228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45" w:right="600" w:hanging="245"/>
        <w:spacing w:after="0" w:line="228" w:lineRule="auto"/>
        <w:tabs>
          <w:tab w:leader="none" w:pos="239"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Expertise in national security, leadership development and organizational preparedness from his service as U.S. Secretary of Homeland Security</w:t>
      </w:r>
    </w:p>
    <w:p>
      <w:pPr>
        <w:spacing w:after="0" w:line="1" w:lineRule="exact"/>
        <w:rPr>
          <w:rFonts w:ascii="Arial" w:cs="Arial" w:eastAsia="Arial" w:hAnsi="Arial"/>
          <w:sz w:val="16"/>
          <w:szCs w:val="16"/>
          <w:color w:val="auto"/>
        </w:rPr>
      </w:pPr>
    </w:p>
    <w:p>
      <w:pPr>
        <w:ind w:left="245" w:right="260" w:hanging="245"/>
        <w:spacing w:after="0" w:line="220" w:lineRule="auto"/>
        <w:tabs>
          <w:tab w:leader="none" w:pos="23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Industry-specific expertise and insight into our core customers, including requirements for acquisition of products and services, from prior senior leadership positions with the military</w:t>
      </w:r>
    </w:p>
    <w:p>
      <w:pPr>
        <w:ind w:left="245" w:right="540" w:hanging="245"/>
        <w:spacing w:after="0" w:line="232" w:lineRule="auto"/>
        <w:tabs>
          <w:tab w:leader="none" w:pos="239"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Experience with large organization management and assessing human resources, equipment, cybersecurity, and financial requirements, as well as reputational risks</w:t>
      </w:r>
    </w:p>
    <w:p>
      <w:pPr>
        <w:spacing w:after="0" w:line="200" w:lineRule="exact"/>
        <w:rPr>
          <w:sz w:val="20"/>
          <w:szCs w:val="20"/>
          <w:color w:val="auto"/>
        </w:rPr>
      </w:pPr>
    </w:p>
    <w:p>
      <w:pPr>
        <w:sectPr>
          <w:pgSz w:w="11900" w:h="16838" w:orient="portrait"/>
          <w:cols w:equalWidth="0" w:num="2">
            <w:col w:w="1635" w:space="720"/>
            <w:col w:w="8865"/>
          </w:cols>
          <w:pgMar w:left="340" w:top="6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8580" w:val="left"/>
          <w:tab w:leader="none" w:pos="110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15</w:t>
      </w:r>
    </w:p>
    <w:p>
      <w:pPr>
        <w:sectPr>
          <w:pgSz w:w="11900" w:h="16838" w:orient="portrait"/>
          <w:cols w:equalWidth="0" w:num="1">
            <w:col w:w="11220"/>
          </w:cols>
          <w:pgMar w:left="340" w:top="609"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1045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045845"/>
                    </a:xfrm>
                    <a:prstGeom prst="rect">
                      <a:avLst/>
                    </a:prstGeom>
                    <a:noFill/>
                  </pic:spPr>
                </pic:pic>
              </a:graphicData>
            </a:graphic>
          </wp:anchor>
        </w:drawing>
      </w:r>
    </w:p>
    <w:p>
      <w:pPr>
        <w:sectPr>
          <w:pgSz w:w="11900" w:h="16838" w:orient="portrait"/>
          <w:cols w:equalWidth="0" w:num="1">
            <w:col w:w="11220"/>
          </w:cols>
          <w:pgMar w:left="320" w:top="60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7"/>
          <w:szCs w:val="17"/>
          <w:color w:val="002E6D"/>
        </w:rPr>
        <w:t>Debra L. Reed-Klages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 xml:space="preserve">Age </w:t>
      </w:r>
      <w:r>
        <w:rPr>
          <w:rFonts w:ascii="Arial" w:cs="Arial" w:eastAsia="Arial" w:hAnsi="Arial"/>
          <w:sz w:val="17"/>
          <w:szCs w:val="17"/>
          <w:color w:val="000000"/>
        </w:rPr>
        <w:t>64</w:t>
      </w:r>
    </w:p>
    <w:p>
      <w:pPr>
        <w:spacing w:after="0" w:line="69" w:lineRule="exact"/>
        <w:rPr>
          <w:sz w:val="20"/>
          <w:szCs w:val="20"/>
          <w:color w:val="auto"/>
        </w:rPr>
      </w:pPr>
    </w:p>
    <w:p>
      <w:pPr>
        <w:ind w:left="20" w:right="260"/>
        <w:spacing w:after="0" w:line="242" w:lineRule="auto"/>
        <w:rPr>
          <w:sz w:val="20"/>
          <w:szCs w:val="20"/>
          <w:color w:val="auto"/>
        </w:rPr>
      </w:pPr>
      <w:r>
        <w:rPr>
          <w:rFonts w:ascii="Arial" w:cs="Arial" w:eastAsia="Arial" w:hAnsi="Arial"/>
          <w:sz w:val="16"/>
          <w:szCs w:val="16"/>
          <w:color w:val="002E6D"/>
        </w:rPr>
        <w:t>Director since 2019 Independent Director</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Other Current Boards</w:t>
      </w:r>
    </w:p>
    <w:p>
      <w:pPr>
        <w:spacing w:after="0" w:line="37" w:lineRule="exact"/>
        <w:rPr>
          <w:sz w:val="20"/>
          <w:szCs w:val="20"/>
          <w:color w:val="auto"/>
        </w:rPr>
      </w:pPr>
    </w:p>
    <w:p>
      <w:pPr>
        <w:ind w:left="20" w:right="180"/>
        <w:spacing w:after="0" w:line="233" w:lineRule="auto"/>
        <w:rPr>
          <w:sz w:val="20"/>
          <w:szCs w:val="20"/>
          <w:color w:val="auto"/>
        </w:rPr>
      </w:pPr>
      <w:r>
        <w:rPr>
          <w:rFonts w:ascii="Arial" w:cs="Arial" w:eastAsia="Arial" w:hAnsi="Arial"/>
          <w:sz w:val="17"/>
          <w:szCs w:val="17"/>
          <w:color w:val="auto"/>
        </w:rPr>
        <w:t>Chevron Corporation Caterpillar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577215</wp:posOffset>
            </wp:positionV>
            <wp:extent cx="925830" cy="916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25830" cy="91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
        <w:spacing w:after="0"/>
        <w:rPr>
          <w:sz w:val="20"/>
          <w:szCs w:val="20"/>
          <w:color w:val="auto"/>
        </w:rPr>
      </w:pPr>
      <w:r>
        <w:rPr>
          <w:rFonts w:ascii="Arial" w:cs="Arial" w:eastAsia="Arial" w:hAnsi="Arial"/>
          <w:sz w:val="15"/>
          <w:szCs w:val="15"/>
          <w:color w:val="002E6D"/>
        </w:rPr>
        <w:t>Biography</w:t>
      </w:r>
    </w:p>
    <w:p>
      <w:pPr>
        <w:spacing w:after="0" w:line="14" w:lineRule="exact"/>
        <w:rPr>
          <w:sz w:val="20"/>
          <w:szCs w:val="20"/>
          <w:color w:val="auto"/>
        </w:rPr>
      </w:pPr>
    </w:p>
    <w:p>
      <w:pPr>
        <w:ind w:left="5"/>
        <w:spacing w:after="0" w:line="219" w:lineRule="auto"/>
        <w:rPr>
          <w:sz w:val="20"/>
          <w:szCs w:val="20"/>
          <w:color w:val="auto"/>
        </w:rPr>
      </w:pPr>
      <w:r>
        <w:rPr>
          <w:rFonts w:ascii="Arial" w:cs="Arial" w:eastAsia="Arial" w:hAnsi="Arial"/>
          <w:sz w:val="17"/>
          <w:szCs w:val="17"/>
          <w:color w:val="auto"/>
        </w:rPr>
        <w:t>Retired in December 2018 as Executive Chairman of Sempra Energy. She served as Chairman, President and Chief Executive Officer of Sempra Energy from March 2017 to May 2018, Chairman and Chief Executive Officer of Sempra Energy from December 2012 to March 2017 and Chief Executive Officer of Sempra Energy from June 2011 to December 2012. Previously, Ms. Reed-Klages served as an Executive Vice President of Sempra Energy and as President and Chief Executive Officer of SDG&amp;E and SoCalGas, Sempra Energy’s regulated California utilities. She was also previously President, Chief Operating Officer and CFO of SDG&amp;E and SoCalGas. She previously served on the boards of directors of Halliburton Company from January 2001 to September 2018 and Oncor Electric Delivery Company LLC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169545</wp:posOffset>
            </wp:positionV>
            <wp:extent cx="56407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343"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4345940" cy="222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45940" cy="22288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45" w:right="260" w:hanging="245"/>
        <w:spacing w:after="0" w:line="228" w:lineRule="auto"/>
        <w:tabs>
          <w:tab w:leader="none" w:pos="239"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Experience with the demands and challenges associated with managing global organizations from her experience as Chairman, President and Chief Executive Officer of Sempra Energy</w:t>
      </w:r>
    </w:p>
    <w:p>
      <w:pPr>
        <w:spacing w:after="0" w:line="1" w:lineRule="exact"/>
        <w:rPr>
          <w:rFonts w:ascii="Arial" w:cs="Arial" w:eastAsia="Arial" w:hAnsi="Arial"/>
          <w:sz w:val="16"/>
          <w:szCs w:val="16"/>
          <w:color w:val="auto"/>
        </w:rPr>
      </w:pPr>
    </w:p>
    <w:p>
      <w:pPr>
        <w:ind w:left="245" w:hanging="245"/>
        <w:spacing w:after="0" w:line="228" w:lineRule="auto"/>
        <w:tabs>
          <w:tab w:leader="none" w:pos="2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Skilled in enterprise risk management, environmental, safety and health, and sustainability</w:t>
      </w:r>
    </w:p>
    <w:p>
      <w:pPr>
        <w:ind w:left="245" w:hanging="245"/>
        <w:spacing w:after="0"/>
        <w:tabs>
          <w:tab w:leader="none" w:pos="2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Knowledge of financial system management, compensation, governance and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199390</wp:posOffset>
            </wp:positionV>
            <wp:extent cx="713232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
        <w:spacing w:after="0"/>
        <w:rPr>
          <w:sz w:val="20"/>
          <w:szCs w:val="20"/>
          <w:color w:val="auto"/>
        </w:rPr>
      </w:pPr>
      <w:r>
        <w:rPr>
          <w:rFonts w:ascii="Arial" w:cs="Arial" w:eastAsia="Arial" w:hAnsi="Arial"/>
          <w:sz w:val="15"/>
          <w:szCs w:val="15"/>
          <w:color w:val="002E6D"/>
        </w:rPr>
        <w:t>Biography</w:t>
      </w:r>
    </w:p>
    <w:p>
      <w:pPr>
        <w:spacing w:after="0" w:line="14" w:lineRule="exact"/>
        <w:rPr>
          <w:sz w:val="20"/>
          <w:szCs w:val="20"/>
          <w:color w:val="auto"/>
        </w:rPr>
      </w:pPr>
    </w:p>
    <w:p>
      <w:pPr>
        <w:ind w:left="5" w:right="60"/>
        <w:spacing w:after="0" w:line="222" w:lineRule="auto"/>
        <w:rPr>
          <w:sz w:val="20"/>
          <w:szCs w:val="20"/>
          <w:color w:val="auto"/>
        </w:rPr>
      </w:pPr>
      <w:r>
        <w:rPr>
          <w:rFonts w:ascii="Arial" w:cs="Arial" w:eastAsia="Arial" w:hAnsi="Arial"/>
          <w:sz w:val="17"/>
          <w:szCs w:val="17"/>
          <w:color w:val="auto"/>
        </w:rPr>
        <w:t>Chairman since March 2021 and President and Chief Executive Officer of Lockheed Martin since June 2020. Previously, Mr. Taiclet served as Chairman, President and Chief Executive Officer of American Tower Corporation from February 2004 until March 2020 and Executive Chairman from March 2020 to May 2020. Previously, Mr. Taiclet served as President of Honeywell Aerospace Services, a unit of Honeywell International and Vice President, Engine Services at Pratt &amp; Whitney, a unit of United Technologies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252730</wp:posOffset>
            </wp:positionV>
            <wp:extent cx="56407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575"/>
            <w:col w:w="8845"/>
          </w:cols>
          <w:pgMar w:left="320" w:top="609" w:right="359" w:bottom="1440" w:gutter="0" w:footer="0" w:header="0"/>
          <w:type w:val="continuous"/>
        </w:sect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002E6D"/>
        </w:rPr>
        <w:t>James D. Taiclet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 xml:space="preserve">Age </w:t>
      </w:r>
      <w:r>
        <w:rPr>
          <w:rFonts w:ascii="Arial" w:cs="Arial" w:eastAsia="Arial" w:hAnsi="Arial"/>
          <w:sz w:val="17"/>
          <w:szCs w:val="17"/>
          <w:color w:val="000000"/>
        </w:rPr>
        <w:t>60</w:t>
      </w:r>
    </w:p>
    <w:p>
      <w:pPr>
        <w:spacing w:after="0" w:line="69" w:lineRule="exact"/>
        <w:rPr>
          <w:sz w:val="20"/>
          <w:szCs w:val="20"/>
          <w:color w:val="auto"/>
        </w:rPr>
      </w:pPr>
    </w:p>
    <w:p>
      <w:pPr>
        <w:ind w:left="20"/>
        <w:spacing w:after="0" w:line="242" w:lineRule="auto"/>
        <w:rPr>
          <w:sz w:val="20"/>
          <w:szCs w:val="20"/>
          <w:color w:val="auto"/>
        </w:rPr>
      </w:pPr>
      <w:r>
        <w:rPr>
          <w:rFonts w:ascii="Arial" w:cs="Arial" w:eastAsia="Arial" w:hAnsi="Arial"/>
          <w:sz w:val="16"/>
          <w:szCs w:val="16"/>
          <w:color w:val="002E6D"/>
        </w:rPr>
        <w:t>Director since 2018 Chairman, President and CEO</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color w:val="002E6D"/>
        </w:rPr>
        <w:t>Other Current Boards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676910</wp:posOffset>
            </wp:positionV>
            <wp:extent cx="969010"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3917315" cy="2311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17315" cy="23114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45" w:hanging="245"/>
        <w:spacing w:after="0"/>
        <w:tabs>
          <w:tab w:leader="none" w:pos="245" w:val="left"/>
        </w:tabs>
        <w:numPr>
          <w:ilvl w:val="0"/>
          <w:numId w:val="33"/>
        </w:numPr>
        <w:rPr>
          <w:rFonts w:ascii="Arial" w:cs="Arial" w:eastAsia="Arial" w:hAnsi="Arial"/>
          <w:sz w:val="16"/>
          <w:szCs w:val="16"/>
          <w:color w:val="auto"/>
        </w:rPr>
      </w:pPr>
      <w:r>
        <w:rPr>
          <w:rFonts w:ascii="Arial" w:cs="Arial" w:eastAsia="Arial" w:hAnsi="Arial"/>
          <w:sz w:val="16"/>
          <w:szCs w:val="16"/>
          <w:color w:val="auto"/>
        </w:rPr>
        <w:t>Effective leadership and executive experience as Chairman, President and CEO of American Tower Corporation</w:t>
      </w:r>
    </w:p>
    <w:p>
      <w:pPr>
        <w:spacing w:after="0" w:line="5" w:lineRule="exact"/>
        <w:rPr>
          <w:rFonts w:ascii="Arial" w:cs="Arial" w:eastAsia="Arial" w:hAnsi="Arial"/>
          <w:sz w:val="16"/>
          <w:szCs w:val="16"/>
          <w:color w:val="auto"/>
        </w:rPr>
      </w:pPr>
    </w:p>
    <w:p>
      <w:pPr>
        <w:ind w:left="245" w:right="680" w:hanging="245"/>
        <w:spacing w:after="0" w:line="220" w:lineRule="auto"/>
        <w:tabs>
          <w:tab w:leader="none" w:pos="239"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Expertise in management at large-scale, multinational corporations, including regulatory compliance, corporate governance, capital markets and financing, strategic planning and investor relations</w:t>
      </w:r>
    </w:p>
    <w:p>
      <w:pPr>
        <w:ind w:left="245" w:right="800" w:hanging="245"/>
        <w:spacing w:after="0" w:line="232" w:lineRule="auto"/>
        <w:tabs>
          <w:tab w:leader="none" w:pos="23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Industry-specific expertise from service as a U.S. Air Force officer and pilot and as an executive at Honeywell Aerospace Services and Pratt &amp; Whitney</w:t>
      </w:r>
    </w:p>
    <w:p>
      <w:pPr>
        <w:spacing w:after="0" w:line="200" w:lineRule="exact"/>
        <w:rPr>
          <w:sz w:val="20"/>
          <w:szCs w:val="20"/>
          <w:color w:val="auto"/>
        </w:rPr>
      </w:pPr>
    </w:p>
    <w:p>
      <w:pPr>
        <w:sectPr>
          <w:pgSz w:w="11900" w:h="16838" w:orient="portrait"/>
          <w:cols w:equalWidth="0" w:num="2">
            <w:col w:w="2220" w:space="155"/>
            <w:col w:w="8845"/>
          </w:cols>
          <w:pgMar w:left="320" w:top="60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16</w:t>
      </w:r>
    </w:p>
    <w:p>
      <w:pPr>
        <w:sectPr>
          <w:pgSz w:w="11900" w:h="16838" w:orient="portrait"/>
          <w:cols w:equalWidth="0" w:num="1">
            <w:col w:w="11220"/>
          </w:cols>
          <w:pgMar w:left="320" w:top="609" w:right="35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Board Effectiveness, Evaluations and Refreshment</w:t>
      </w:r>
    </w:p>
    <w:p>
      <w:pPr>
        <w:spacing w:after="0" w:line="1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Board composition is a critical area of focus for the Board. Having the right mix of people who bring diverse perspectives, business and professional experiences and competencies as well as professional integrity, sound judgment and collegiality, provides a foundation for robust dialogue, informed advice and collaboration in the boardroom. The Board strives to ensure an environment that encourages diverse critical thinking and values innovative, strategic discussions to achieve a higher level of success for the Corporation and its stockholders. The Governance Committee screens and recommends candidates for nomination by the full Board. The Governance Committee uses a variety of methods to help identify potential board candidates with the desired skills and background needed for the Corporation’s business, including informal networks, internal resources and other channels.</w:t>
      </w:r>
    </w:p>
    <w:p>
      <w:pPr>
        <w:spacing w:after="0" w:line="9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Governance Committee reviews both the short- and long-term strategies of the Corporation to determine what current and future skills and experience are required of the Board in exercising its oversight function and in the context of our strategic priorities. Our internal executive search team compiles a list of prospective director candidates reflecting the Board's criteria, qualifications and experience, keeping in mind its commitment to diversity. Candidates are identified from this source pool by the Chairman and the Governance Committee and may be interviewed by the Chairman and independent Lead Director, who also chairs the Governance Committee. While there is no formal Board policy with regard to the consideration of diversity in identifying director nominees, the source pool intentionally includes candidates with diverse backgrounds to further enhance the Board's diversity. Our Board believes that a balance of director diversity and tenure is a strategic asset to our investors. The range of our Board's tenure encompasses directors who have historic institutional knowledge of Lockheed Martin and the competitive environment, complemented by newer directors with varied backgrounds and skills and fresh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17"/>
          <w:szCs w:val="17"/>
          <w:color w:val="002E6D"/>
        </w:rPr>
        <w:t>Board Refreshment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40575" cy="4732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0575" cy="4732020"/>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color w:val="002E6D"/>
        </w:rPr>
        <w:t>Governance Committee Review of Board Candidates</w:t>
      </w:r>
    </w:p>
    <w:p>
      <w:pPr>
        <w:spacing w:after="0" w:line="105" w:lineRule="exact"/>
        <w:rPr>
          <w:sz w:val="20"/>
          <w:szCs w:val="20"/>
          <w:color w:val="auto"/>
        </w:rPr>
      </w:pPr>
    </w:p>
    <w:p>
      <w:pPr>
        <w:ind w:left="120" w:right="200"/>
        <w:spacing w:after="0" w:line="270" w:lineRule="auto"/>
        <w:rPr>
          <w:sz w:val="20"/>
          <w:szCs w:val="20"/>
          <w:color w:val="auto"/>
        </w:rPr>
      </w:pPr>
      <w:r>
        <w:rPr>
          <w:rFonts w:ascii="Arial" w:cs="Arial" w:eastAsia="Arial" w:hAnsi="Arial"/>
          <w:sz w:val="17"/>
          <w:szCs w:val="17"/>
          <w:color w:val="auto"/>
        </w:rPr>
        <w:t xml:space="preserve">The Board seeks a diverse group of candidates who, at a minimum, possess the background, skills, expertise, competencies and time to make a significant contribution to the Board. The Governance Guidelines (available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 list criteria against which candidates may be judged. In addition, the Governance Committee considers, among other things:</w:t>
      </w:r>
    </w:p>
    <w:p>
      <w:pPr>
        <w:spacing w:after="0" w:line="69" w:lineRule="exact"/>
        <w:rPr>
          <w:sz w:val="20"/>
          <w:szCs w:val="20"/>
          <w:color w:val="auto"/>
        </w:rPr>
      </w:pPr>
    </w:p>
    <w:p>
      <w:pPr>
        <w:ind w:left="540" w:hanging="258"/>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input from the Board’s self-assessment process to prioritize areas of expertise that were identified;</w:t>
      </w:r>
    </w:p>
    <w:p>
      <w:pPr>
        <w:spacing w:after="0" w:line="74" w:lineRule="exact"/>
        <w:rPr>
          <w:rFonts w:ascii="Arial" w:cs="Arial" w:eastAsia="Arial" w:hAnsi="Arial"/>
          <w:sz w:val="17"/>
          <w:szCs w:val="17"/>
          <w:color w:val="auto"/>
        </w:rPr>
      </w:pPr>
    </w:p>
    <w:p>
      <w:pPr>
        <w:ind w:left="540" w:hanging="258"/>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investor feedback and perceptions;</w:t>
      </w:r>
    </w:p>
    <w:p>
      <w:pPr>
        <w:spacing w:after="0" w:line="74" w:lineRule="exact"/>
        <w:rPr>
          <w:rFonts w:ascii="Arial" w:cs="Arial" w:eastAsia="Arial" w:hAnsi="Arial"/>
          <w:sz w:val="17"/>
          <w:szCs w:val="17"/>
          <w:color w:val="auto"/>
        </w:rPr>
      </w:pPr>
    </w:p>
    <w:p>
      <w:pPr>
        <w:ind w:left="520" w:right="1780" w:hanging="238"/>
        <w:spacing w:after="0" w:line="276" w:lineRule="auto"/>
        <w:tabs>
          <w:tab w:leader="none" w:pos="52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candidates’ skills and competencies to ensure they are aligned to the Corporation’s future strategic challenges and opportunities;</w:t>
      </w:r>
    </w:p>
    <w:p>
      <w:pPr>
        <w:spacing w:after="0" w:line="36" w:lineRule="exact"/>
        <w:rPr>
          <w:rFonts w:ascii="Arial" w:cs="Arial" w:eastAsia="Arial" w:hAnsi="Arial"/>
          <w:sz w:val="17"/>
          <w:szCs w:val="17"/>
          <w:color w:val="auto"/>
        </w:rPr>
      </w:pPr>
    </w:p>
    <w:p>
      <w:pPr>
        <w:ind w:left="540" w:hanging="258"/>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needs of the Board in light of Board retirements; and</w:t>
      </w:r>
    </w:p>
    <w:p>
      <w:pPr>
        <w:spacing w:after="0" w:line="74" w:lineRule="exact"/>
        <w:rPr>
          <w:rFonts w:ascii="Arial" w:cs="Arial" w:eastAsia="Arial" w:hAnsi="Arial"/>
          <w:sz w:val="17"/>
          <w:szCs w:val="17"/>
          <w:color w:val="auto"/>
        </w:rPr>
      </w:pPr>
    </w:p>
    <w:p>
      <w:pPr>
        <w:ind w:left="540" w:hanging="258"/>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balance between public company and government customer-related experience.</w:t>
      </w:r>
    </w:p>
    <w:p>
      <w:pPr>
        <w:spacing w:after="0" w:line="115"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color w:val="auto"/>
        </w:rPr>
        <w:t>During the process of identifying and selecting director nominees, the Governance Committee screens and recommends candidates for nomination by the full Board. For incumbent directors, the Governance Committee also considers attendance, past performance on the Board and contributions to the Board and their respective committees. The Bylaws currently provide that the size of the Board may range from 10 to 14 members.</w:t>
      </w:r>
    </w:p>
    <w:p>
      <w:pPr>
        <w:spacing w:after="0" w:line="85"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 xml:space="preserve">Director candidates also may be identified by stockholders and will be evaluated under the same criteria applied to other director nominees and considered by the Governance Committee. Information on the process and requirements for stockholder nominees may be found in Sections 1.10 and 1.11 of our Bylaws on the Corporation’s website at </w:t>
      </w:r>
      <w:r>
        <w:rPr>
          <w:rFonts w:ascii="Arial" w:cs="Arial" w:eastAsia="Arial" w:hAnsi="Arial"/>
          <w:sz w:val="17"/>
          <w:szCs w:val="17"/>
          <w:i w:val="1"/>
          <w:iCs w:val="1"/>
          <w:color w:val="auto"/>
        </w:rPr>
        <w:t>www.lockheedmartin.com/corporate-governance.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20"/>
          <w:szCs w:val="20"/>
          <w:color w:val="002E6D"/>
        </w:rPr>
        <w:t>Board Committee Assignments</w:t>
      </w:r>
    </w:p>
    <w:p>
      <w:pPr>
        <w:spacing w:after="0" w:line="118" w:lineRule="exact"/>
        <w:rPr>
          <w:sz w:val="20"/>
          <w:szCs w:val="20"/>
          <w:color w:val="auto"/>
        </w:rPr>
      </w:pPr>
    </w:p>
    <w:p>
      <w:pPr>
        <w:ind w:left="120" w:right="160"/>
        <w:spacing w:after="0" w:line="266" w:lineRule="auto"/>
        <w:rPr>
          <w:sz w:val="20"/>
          <w:szCs w:val="20"/>
          <w:color w:val="auto"/>
        </w:rPr>
      </w:pPr>
      <w:r>
        <w:rPr>
          <w:rFonts w:ascii="Arial" w:cs="Arial" w:eastAsia="Arial" w:hAnsi="Arial"/>
          <w:sz w:val="17"/>
          <w:szCs w:val="17"/>
          <w:color w:val="auto"/>
        </w:rPr>
        <w:t>In February of each year, the Governance Committee reviews the membership, tenure, leadership and commitments of each of the committees and considers possible changes given the qualifications and skill sets of members on the Board or a desire for committee rotation or refreshment. The Governance Committee also takes into consideration the membership requirements and responsibilities set forth in each of the respective committee charters and the Governance Guidelines as well as any upcoming vacancies on the Board due to our mandatory retirement age. The Governance Committee recommends to the Board any proposed changes to committee assignments and leadership to be made effective at the next annual meeting of stockholders. The Governance Committee also reviews the operation of the Board generally, and based on its recommendation and based on Board feedback, effective September 25, 2020, the Executive Committee, which was not being used, was eliminated.</w:t>
      </w:r>
    </w:p>
    <w:p>
      <w:pPr>
        <w:sectPr>
          <w:pgSz w:w="11900" w:h="16838" w:orient="portrait"/>
          <w:cols w:equalWidth="0" w:num="1">
            <w:col w:w="11240"/>
          </w:cols>
          <w:pgMar w:left="320" w:top="6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17</w:t>
      </w:r>
    </w:p>
    <w:p>
      <w:pPr>
        <w:sectPr>
          <w:pgSz w:w="11900" w:h="16838" w:orient="portrait"/>
          <w:cols w:equalWidth="0" w:num="1">
            <w:col w:w="11240"/>
          </w:cols>
          <w:pgMar w:left="320" w:top="609"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23430" cy="6197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3430" cy="619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
        <w:spacing w:after="0"/>
        <w:rPr>
          <w:sz w:val="20"/>
          <w:szCs w:val="20"/>
          <w:color w:val="auto"/>
        </w:rPr>
      </w:pPr>
      <w:r>
        <w:rPr>
          <w:rFonts w:ascii="Arial" w:cs="Arial" w:eastAsia="Arial" w:hAnsi="Arial"/>
          <w:sz w:val="20"/>
          <w:szCs w:val="20"/>
          <w:color w:val="002E6D"/>
        </w:rPr>
        <w:t>Annual Performance Assessment</w:t>
      </w:r>
    </w:p>
    <w:p>
      <w:pPr>
        <w:spacing w:after="0" w:line="118" w:lineRule="exact"/>
        <w:rPr>
          <w:sz w:val="20"/>
          <w:szCs w:val="20"/>
          <w:color w:val="auto"/>
        </w:rPr>
      </w:pPr>
    </w:p>
    <w:p>
      <w:pPr>
        <w:jc w:val="both"/>
        <w:ind w:left="180" w:right="580"/>
        <w:spacing w:after="0" w:line="270" w:lineRule="auto"/>
        <w:rPr>
          <w:sz w:val="20"/>
          <w:szCs w:val="20"/>
          <w:color w:val="auto"/>
        </w:rPr>
      </w:pPr>
      <w:r>
        <w:rPr>
          <w:rFonts w:ascii="Arial" w:cs="Arial" w:eastAsia="Arial" w:hAnsi="Arial"/>
          <w:sz w:val="17"/>
          <w:szCs w:val="17"/>
          <w:color w:val="auto"/>
        </w:rPr>
        <w:t>The Board conducts a self-assessment of its performance and effectiveness as well as that of its committees on an annual basis. The self-assessment helps the Governance Committee to track progress in certain areas targeted for improvement from year-to-year and to identify ways to enhance the Board’s and its committees’ effectiveness. The evaluation process includes the following steps:</w:t>
      </w:r>
    </w:p>
    <w:p>
      <w:pPr>
        <w:ind w:left="320"/>
        <w:spacing w:after="0" w:line="189" w:lineRule="auto"/>
        <w:rPr>
          <w:sz w:val="20"/>
          <w:szCs w:val="20"/>
          <w:color w:val="auto"/>
        </w:rPr>
      </w:pPr>
      <w:r>
        <w:rPr>
          <w:rFonts w:ascii="Arial" w:cs="Arial" w:eastAsia="Arial" w:hAnsi="Arial"/>
          <w:sz w:val="18"/>
          <w:szCs w:val="18"/>
          <w:color w:val="002E6D"/>
          <w:vertAlign w:val="superscript"/>
        </w:rPr>
        <w:t>1</w:t>
      </w:r>
      <w:r>
        <w:rPr>
          <w:rFonts w:ascii="Arial" w:cs="Arial" w:eastAsia="Arial" w:hAnsi="Arial"/>
          <w:sz w:val="12"/>
          <w:szCs w:val="12"/>
          <w:color w:val="002E6D"/>
        </w:rPr>
        <w:t xml:space="preserve"> Annual Written Questionnaire</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Open-ended questions to solicit candid feedback. Topics covered include:</w:t>
      </w:r>
    </w:p>
    <w:p>
      <w:pPr>
        <w:spacing w:after="0" w:line="129"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Board meeting content and virtual format</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Board culture</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Board leadership structure and CEO transition</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Board composition, selection and diversity</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Potential skills gaps for identifying board candidates</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Committee effectiveness</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Evaluation of risks, including COVID-19 response</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Peer assessment to elicit feedback on the performance of individual directors</w:t>
            </w:r>
          </w:p>
        </w:tc>
        <w:tc>
          <w:tcPr>
            <w:tcW w:w="0" w:type="dxa"/>
            <w:vAlign w:val="bottom"/>
          </w:tcPr>
          <w:p>
            <w:pPr>
              <w:spacing w:after="0"/>
              <w:rPr>
                <w:sz w:val="1"/>
                <w:szCs w:val="1"/>
                <w:color w:val="auto"/>
              </w:rPr>
            </w:pPr>
          </w:p>
        </w:tc>
      </w:tr>
      <w:tr>
        <w:trPr>
          <w:trHeight w:val="85"/>
        </w:trPr>
        <w:tc>
          <w:tcPr>
            <w:tcW w:w="340" w:type="dxa"/>
            <w:vAlign w:val="bottom"/>
            <w:tcBorders>
              <w:bottom w:val="single" w:sz="8" w:color="808080"/>
            </w:tcBorders>
          </w:tcPr>
          <w:p>
            <w:pPr>
              <w:spacing w:after="0"/>
              <w:rPr>
                <w:sz w:val="7"/>
                <w:szCs w:val="7"/>
                <w:color w:val="auto"/>
              </w:rPr>
            </w:pPr>
          </w:p>
        </w:tc>
        <w:tc>
          <w:tcPr>
            <w:tcW w:w="2400" w:type="dxa"/>
            <w:vAlign w:val="bottom"/>
            <w:tcBorders>
              <w:bottom w:val="single" w:sz="8" w:color="808080"/>
            </w:tcBorders>
          </w:tcPr>
          <w:p>
            <w:pPr>
              <w:spacing w:after="0"/>
              <w:rPr>
                <w:sz w:val="7"/>
                <w:szCs w:val="7"/>
                <w:color w:val="auto"/>
              </w:rPr>
            </w:pPr>
          </w:p>
        </w:tc>
        <w:tc>
          <w:tcPr>
            <w:tcW w:w="81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40" w:type="dxa"/>
            <w:vAlign w:val="bottom"/>
            <w:vMerge w:val="restart"/>
          </w:tcPr>
          <w:p>
            <w:pPr>
              <w:jc w:val="right"/>
              <w:spacing w:after="0"/>
              <w:rPr>
                <w:sz w:val="20"/>
                <w:szCs w:val="20"/>
                <w:color w:val="auto"/>
              </w:rPr>
            </w:pPr>
            <w:r>
              <w:rPr>
                <w:rFonts w:ascii="Arial" w:cs="Arial" w:eastAsia="Arial" w:hAnsi="Arial"/>
                <w:sz w:val="29"/>
                <w:szCs w:val="29"/>
                <w:color w:val="002E6D"/>
              </w:rPr>
              <w:t>2</w:t>
            </w:r>
          </w:p>
        </w:tc>
        <w:tc>
          <w:tcPr>
            <w:tcW w:w="2400" w:type="dxa"/>
            <w:vAlign w:val="bottom"/>
            <w:shd w:val="clear" w:color="auto" w:fill="E5E7EF"/>
          </w:tcPr>
          <w:p>
            <w:pPr>
              <w:ind w:left="20"/>
              <w:spacing w:after="0"/>
              <w:rPr>
                <w:sz w:val="20"/>
                <w:szCs w:val="20"/>
                <w:color w:val="auto"/>
              </w:rPr>
            </w:pPr>
            <w:r>
              <w:rPr>
                <w:rFonts w:ascii="Arial" w:cs="Arial" w:eastAsia="Arial" w:hAnsi="Arial"/>
                <w:sz w:val="16"/>
                <w:szCs w:val="16"/>
                <w:color w:val="002E6D"/>
              </w:rPr>
              <w:t>One-on-One Discussions with</w:t>
            </w:r>
          </w:p>
        </w:tc>
        <w:tc>
          <w:tcPr>
            <w:tcW w:w="8120" w:type="dxa"/>
            <w:vAlign w:val="bottom"/>
            <w:vMerge w:val="restart"/>
          </w:tcPr>
          <w:p>
            <w:pPr>
              <w:ind w:left="100"/>
              <w:spacing w:after="0"/>
              <w:rPr>
                <w:sz w:val="20"/>
                <w:szCs w:val="20"/>
                <w:color w:val="auto"/>
              </w:rPr>
            </w:pPr>
            <w:r>
              <w:rPr>
                <w:rFonts w:ascii="Arial" w:cs="Arial" w:eastAsia="Arial" w:hAnsi="Arial"/>
                <w:sz w:val="17"/>
                <w:szCs w:val="17"/>
                <w:color w:val="auto"/>
              </w:rPr>
              <w:t>Every few years, including in 2019 and 2020, the independent Lead Director conducts separate, one-on-</w:t>
            </w: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2400" w:type="dxa"/>
            <w:vAlign w:val="bottom"/>
            <w:shd w:val="clear" w:color="auto" w:fill="E5E7EF"/>
          </w:tcPr>
          <w:p>
            <w:pPr>
              <w:ind w:left="20"/>
              <w:spacing w:after="0" w:line="147" w:lineRule="exact"/>
              <w:rPr>
                <w:sz w:val="20"/>
                <w:szCs w:val="20"/>
                <w:color w:val="auto"/>
              </w:rPr>
            </w:pPr>
            <w:r>
              <w:rPr>
                <w:rFonts w:ascii="Arial" w:cs="Arial" w:eastAsia="Arial" w:hAnsi="Arial"/>
                <w:sz w:val="16"/>
                <w:szCs w:val="16"/>
                <w:color w:val="002E6D"/>
              </w:rPr>
              <w:t>Independent Lead Director</w:t>
            </w:r>
          </w:p>
        </w:tc>
        <w:tc>
          <w:tcPr>
            <w:tcW w:w="8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400" w:type="dxa"/>
            <w:vAlign w:val="bottom"/>
            <w:shd w:val="clear" w:color="auto" w:fill="E5E7EF"/>
          </w:tcPr>
          <w:p>
            <w:pPr>
              <w:spacing w:after="0"/>
              <w:rPr>
                <w:sz w:val="17"/>
                <w:szCs w:val="17"/>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one discussions with each director to discuss any additional feedback or perspectives.</w:t>
            </w:r>
          </w:p>
        </w:tc>
        <w:tc>
          <w:tcPr>
            <w:tcW w:w="0" w:type="dxa"/>
            <w:vAlign w:val="bottom"/>
          </w:tcPr>
          <w:p>
            <w:pPr>
              <w:spacing w:after="0"/>
              <w:rPr>
                <w:sz w:val="1"/>
                <w:szCs w:val="1"/>
                <w:color w:val="auto"/>
              </w:rPr>
            </w:pPr>
          </w:p>
        </w:tc>
      </w:tr>
      <w:tr>
        <w:trPr>
          <w:trHeight w:val="79"/>
        </w:trPr>
        <w:tc>
          <w:tcPr>
            <w:tcW w:w="340" w:type="dxa"/>
            <w:vAlign w:val="bottom"/>
            <w:tcBorders>
              <w:bottom w:val="single" w:sz="8" w:color="808080"/>
            </w:tcBorders>
          </w:tcPr>
          <w:p>
            <w:pPr>
              <w:spacing w:after="0"/>
              <w:rPr>
                <w:sz w:val="6"/>
                <w:szCs w:val="6"/>
                <w:color w:val="auto"/>
              </w:rPr>
            </w:pPr>
          </w:p>
        </w:tc>
        <w:tc>
          <w:tcPr>
            <w:tcW w:w="2400" w:type="dxa"/>
            <w:vAlign w:val="bottom"/>
            <w:tcBorders>
              <w:bottom w:val="single" w:sz="8" w:color="808080"/>
            </w:tcBorders>
            <w:shd w:val="clear" w:color="auto" w:fill="E5E7EF"/>
          </w:tcPr>
          <w:p>
            <w:pPr>
              <w:spacing w:after="0"/>
              <w:rPr>
                <w:sz w:val="6"/>
                <w:szCs w:val="6"/>
                <w:color w:val="auto"/>
              </w:rPr>
            </w:pPr>
          </w:p>
        </w:tc>
        <w:tc>
          <w:tcPr>
            <w:tcW w:w="8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340" w:type="dxa"/>
            <w:vAlign w:val="bottom"/>
          </w:tcPr>
          <w:p>
            <w:pPr>
              <w:jc w:val="right"/>
              <w:spacing w:after="0"/>
              <w:rPr>
                <w:sz w:val="20"/>
                <w:szCs w:val="20"/>
                <w:color w:val="auto"/>
              </w:rPr>
            </w:pPr>
            <w:r>
              <w:rPr>
                <w:rFonts w:ascii="Arial" w:cs="Arial" w:eastAsia="Arial" w:hAnsi="Arial"/>
                <w:sz w:val="29"/>
                <w:szCs w:val="29"/>
                <w:color w:val="002E6D"/>
              </w:rPr>
              <w:t>3</w:t>
            </w:r>
          </w:p>
        </w:tc>
        <w:tc>
          <w:tcPr>
            <w:tcW w:w="2400" w:type="dxa"/>
            <w:vAlign w:val="bottom"/>
            <w:shd w:val="clear" w:color="auto" w:fill="E5E7EF"/>
          </w:tcPr>
          <w:p>
            <w:pPr>
              <w:ind w:left="20"/>
              <w:spacing w:after="0" w:line="358" w:lineRule="exact"/>
              <w:rPr>
                <w:sz w:val="20"/>
                <w:szCs w:val="20"/>
                <w:color w:val="auto"/>
              </w:rPr>
            </w:pPr>
            <w:r>
              <w:rPr>
                <w:rFonts w:ascii="Arial" w:cs="Arial" w:eastAsia="Arial" w:hAnsi="Arial"/>
                <w:sz w:val="32"/>
                <w:szCs w:val="32"/>
                <w:color w:val="002E6D"/>
                <w:w w:val="88"/>
                <w:vertAlign w:val="subscript"/>
              </w:rPr>
              <w:t>Sessions</w:t>
            </w:r>
            <w:r>
              <w:rPr>
                <w:rFonts w:ascii="Arial" w:cs="Arial" w:eastAsia="Arial" w:hAnsi="Arial"/>
                <w:sz w:val="16"/>
                <w:szCs w:val="16"/>
                <w:color w:val="002E6D"/>
                <w:w w:val="88"/>
              </w:rPr>
              <w:t>Committee/Board Private</w:t>
            </w:r>
          </w:p>
        </w:tc>
        <w:tc>
          <w:tcPr>
            <w:tcW w:w="8120" w:type="dxa"/>
            <w:vAlign w:val="bottom"/>
          </w:tcPr>
          <w:p>
            <w:pPr>
              <w:ind w:left="100"/>
              <w:spacing w:after="0"/>
              <w:rPr>
                <w:sz w:val="20"/>
                <w:szCs w:val="20"/>
                <w:color w:val="auto"/>
              </w:rPr>
            </w:pPr>
            <w:r>
              <w:rPr>
                <w:rFonts w:ascii="Arial" w:cs="Arial" w:eastAsia="Arial" w:hAnsi="Arial"/>
                <w:sz w:val="17"/>
                <w:szCs w:val="17"/>
                <w:color w:val="auto"/>
              </w:rPr>
              <w:t>The Governance Committee and each other committee and the full board review the results of the</w:t>
            </w: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400" w:type="dxa"/>
            <w:vAlign w:val="bottom"/>
            <w:shd w:val="clear" w:color="auto" w:fill="E5E7EF"/>
          </w:tcPr>
          <w:p>
            <w:pPr>
              <w:spacing w:after="0"/>
              <w:rPr>
                <w:sz w:val="17"/>
                <w:szCs w:val="17"/>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evaluations in private session. The board discussion is led by the independent Lead Director.</w:t>
            </w:r>
          </w:p>
        </w:tc>
        <w:tc>
          <w:tcPr>
            <w:tcW w:w="0" w:type="dxa"/>
            <w:vAlign w:val="bottom"/>
          </w:tcPr>
          <w:p>
            <w:pPr>
              <w:spacing w:after="0"/>
              <w:rPr>
                <w:sz w:val="1"/>
                <w:szCs w:val="1"/>
                <w:color w:val="auto"/>
              </w:rPr>
            </w:pPr>
          </w:p>
        </w:tc>
      </w:tr>
      <w:tr>
        <w:trPr>
          <w:trHeight w:val="79"/>
        </w:trPr>
        <w:tc>
          <w:tcPr>
            <w:tcW w:w="340" w:type="dxa"/>
            <w:vAlign w:val="bottom"/>
            <w:tcBorders>
              <w:bottom w:val="single" w:sz="8" w:color="808080"/>
            </w:tcBorders>
          </w:tcPr>
          <w:p>
            <w:pPr>
              <w:spacing w:after="0"/>
              <w:rPr>
                <w:sz w:val="6"/>
                <w:szCs w:val="6"/>
                <w:color w:val="auto"/>
              </w:rPr>
            </w:pPr>
          </w:p>
        </w:tc>
        <w:tc>
          <w:tcPr>
            <w:tcW w:w="2400" w:type="dxa"/>
            <w:vAlign w:val="bottom"/>
            <w:tcBorders>
              <w:bottom w:val="single" w:sz="8" w:color="808080"/>
            </w:tcBorders>
            <w:shd w:val="clear" w:color="auto" w:fill="E5E7EF"/>
          </w:tcPr>
          <w:p>
            <w:pPr>
              <w:spacing w:after="0"/>
              <w:rPr>
                <w:sz w:val="6"/>
                <w:szCs w:val="6"/>
                <w:color w:val="auto"/>
              </w:rPr>
            </w:pPr>
          </w:p>
        </w:tc>
        <w:tc>
          <w:tcPr>
            <w:tcW w:w="8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63"/>
        </w:trPr>
        <w:tc>
          <w:tcPr>
            <w:tcW w:w="340" w:type="dxa"/>
            <w:vAlign w:val="bottom"/>
          </w:tcPr>
          <w:p>
            <w:pPr>
              <w:jc w:val="right"/>
              <w:spacing w:after="0"/>
              <w:rPr>
                <w:sz w:val="20"/>
                <w:szCs w:val="20"/>
                <w:color w:val="auto"/>
              </w:rPr>
            </w:pPr>
            <w:r>
              <w:rPr>
                <w:rFonts w:ascii="Arial" w:cs="Arial" w:eastAsia="Arial" w:hAnsi="Arial"/>
                <w:sz w:val="29"/>
                <w:szCs w:val="29"/>
                <w:color w:val="002E6D"/>
              </w:rPr>
              <w:t>4</w:t>
            </w:r>
          </w:p>
        </w:tc>
        <w:tc>
          <w:tcPr>
            <w:tcW w:w="2400" w:type="dxa"/>
            <w:vAlign w:val="bottom"/>
            <w:shd w:val="clear" w:color="auto" w:fill="E5E7EF"/>
          </w:tcPr>
          <w:p>
            <w:pPr>
              <w:ind w:left="20"/>
              <w:spacing w:after="0"/>
              <w:rPr>
                <w:sz w:val="20"/>
                <w:szCs w:val="20"/>
                <w:color w:val="auto"/>
              </w:rPr>
            </w:pPr>
            <w:r>
              <w:rPr>
                <w:rFonts w:ascii="Arial" w:cs="Arial" w:eastAsia="Arial" w:hAnsi="Arial"/>
                <w:sz w:val="16"/>
                <w:szCs w:val="16"/>
                <w:color w:val="002E6D"/>
              </w:rPr>
              <w:t>Feedback Incorporated</w:t>
            </w:r>
          </w:p>
        </w:tc>
        <w:tc>
          <w:tcPr>
            <w:tcW w:w="8120" w:type="dxa"/>
            <w:vAlign w:val="bottom"/>
          </w:tcPr>
          <w:p>
            <w:pPr>
              <w:ind w:left="100"/>
              <w:spacing w:after="0"/>
              <w:rPr>
                <w:sz w:val="20"/>
                <w:szCs w:val="20"/>
                <w:color w:val="auto"/>
              </w:rPr>
            </w:pPr>
            <w:r>
              <w:rPr>
                <w:rFonts w:ascii="Arial" w:cs="Arial" w:eastAsia="Arial" w:hAnsi="Arial"/>
                <w:sz w:val="17"/>
                <w:szCs w:val="17"/>
                <w:color w:val="auto"/>
              </w:rPr>
              <w:t>• Continued streamlining Board committee structure by eliminating the Executive Committee</w:t>
            </w:r>
          </w:p>
        </w:tc>
        <w:tc>
          <w:tcPr>
            <w:tcW w:w="0" w:type="dxa"/>
            <w:vAlign w:val="bottom"/>
          </w:tcPr>
          <w:p>
            <w:pPr>
              <w:spacing w:after="0"/>
              <w:rPr>
                <w:sz w:val="1"/>
                <w:szCs w:val="1"/>
                <w:color w:val="auto"/>
              </w:rPr>
            </w:pPr>
          </w:p>
        </w:tc>
      </w:tr>
      <w:tr>
        <w:trPr>
          <w:trHeight w:val="302"/>
        </w:trPr>
        <w:tc>
          <w:tcPr>
            <w:tcW w:w="340" w:type="dxa"/>
            <w:vAlign w:val="bottom"/>
          </w:tcPr>
          <w:p>
            <w:pPr>
              <w:spacing w:after="0"/>
              <w:rPr>
                <w:sz w:val="24"/>
                <w:szCs w:val="24"/>
                <w:color w:val="auto"/>
              </w:rPr>
            </w:pPr>
          </w:p>
        </w:tc>
        <w:tc>
          <w:tcPr>
            <w:tcW w:w="2400" w:type="dxa"/>
            <w:vAlign w:val="bottom"/>
            <w:shd w:val="clear" w:color="auto" w:fill="E5E7EF"/>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Added additional site visit of classified programs</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400" w:type="dxa"/>
            <w:vAlign w:val="bottom"/>
            <w:shd w:val="clear" w:color="auto" w:fill="E5E7EF"/>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Added additional directors with cybersecurity, CEO and senior military experience</w:t>
            </w:r>
          </w:p>
        </w:tc>
        <w:tc>
          <w:tcPr>
            <w:tcW w:w="0" w:type="dxa"/>
            <w:vAlign w:val="bottom"/>
          </w:tcPr>
          <w:p>
            <w:pPr>
              <w:spacing w:after="0"/>
              <w:rPr>
                <w:sz w:val="1"/>
                <w:szCs w:val="1"/>
                <w:color w:val="auto"/>
              </w:rPr>
            </w:pPr>
          </w:p>
        </w:tc>
      </w:tr>
      <w:tr>
        <w:trPr>
          <w:trHeight w:val="436"/>
        </w:trPr>
        <w:tc>
          <w:tcPr>
            <w:tcW w:w="340" w:type="dxa"/>
            <w:vAlign w:val="bottom"/>
          </w:tcPr>
          <w:p>
            <w:pPr>
              <w:spacing w:after="0"/>
              <w:rPr>
                <w:sz w:val="24"/>
                <w:szCs w:val="24"/>
                <w:color w:val="auto"/>
              </w:rPr>
            </w:pPr>
          </w:p>
        </w:tc>
        <w:tc>
          <w:tcPr>
            <w:tcW w:w="2400" w:type="dxa"/>
            <w:vAlign w:val="bottom"/>
            <w:shd w:val="clear" w:color="auto" w:fill="E5E7EF"/>
          </w:tcPr>
          <w:p>
            <w:pPr>
              <w:spacing w:after="0"/>
              <w:rPr>
                <w:sz w:val="24"/>
                <w:szCs w:val="24"/>
                <w:color w:val="auto"/>
              </w:rPr>
            </w:pPr>
          </w:p>
        </w:tc>
        <w:tc>
          <w:tcPr>
            <w:tcW w:w="8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20"/>
          <w:szCs w:val="20"/>
          <w:color w:val="002E6D"/>
        </w:rPr>
        <w:t>Robust Onboarding and Continuing Education</w:t>
      </w:r>
    </w:p>
    <w:p>
      <w:pPr>
        <w:spacing w:after="0" w:line="132" w:lineRule="exact"/>
        <w:rPr>
          <w:sz w:val="20"/>
          <w:szCs w:val="20"/>
          <w:color w:val="auto"/>
        </w:rPr>
      </w:pPr>
    </w:p>
    <w:p>
      <w:pPr>
        <w:ind w:left="180" w:right="300"/>
        <w:spacing w:after="0" w:line="266" w:lineRule="auto"/>
        <w:rPr>
          <w:sz w:val="20"/>
          <w:szCs w:val="20"/>
          <w:color w:val="auto"/>
        </w:rPr>
      </w:pPr>
      <w:r>
        <w:rPr>
          <w:rFonts w:ascii="Arial" w:cs="Arial" w:eastAsia="Arial" w:hAnsi="Arial"/>
          <w:sz w:val="17"/>
          <w:szCs w:val="17"/>
          <w:color w:val="auto"/>
        </w:rPr>
        <w:t>New directors are provided a comprehensive orientation about the Corporation, including our business operations, strategy and governance. New directors have one-on-one sessions with the CEO, other directors and other members of senior management. Members of our senior management regularly review with the Board the operating plan of each of our business segments and the Corporation as a whole. Although disrupted beginning in March 2020 by COVID-19, the Board also conducts periodic site visits to our facilities as part of its regularly scheduled Board meetings and directors are encouraged to visit sites on an ad hoc basis and meet one-on-one with members of senior management and other employees. Directors are encouraged to attend outside director continuing education programs sponsored by educational and other institutions to assist them in staying abreast of developments in corporate governance and critical issues relating to the operation of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color w:val="475C90"/>
        </w:rPr>
        <w:t>Our Director Tenure Guidelines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shd w:val="clear" w:color="auto" w:fill="E5E7EF"/>
          </w:tcPr>
          <w:p>
            <w:pPr>
              <w:ind w:left="100"/>
              <w:spacing w:after="0"/>
              <w:rPr>
                <w:sz w:val="20"/>
                <w:szCs w:val="20"/>
                <w:color w:val="auto"/>
              </w:rPr>
            </w:pPr>
            <w:r>
              <w:rPr>
                <w:rFonts w:ascii="Arial" w:cs="Arial" w:eastAsia="Arial" w:hAnsi="Arial"/>
                <w:sz w:val="16"/>
                <w:szCs w:val="16"/>
                <w:color w:val="002E6D"/>
              </w:rPr>
              <w:t>Mandatory Retirement Age</w:t>
            </w:r>
          </w:p>
        </w:tc>
        <w:tc>
          <w:tcPr>
            <w:tcW w:w="8500" w:type="dxa"/>
            <w:vAlign w:val="bottom"/>
            <w:shd w:val="clear" w:color="auto" w:fill="E5E7EF"/>
          </w:tcPr>
          <w:p>
            <w:pPr>
              <w:ind w:left="20"/>
              <w:spacing w:after="0"/>
              <w:rPr>
                <w:sz w:val="20"/>
                <w:szCs w:val="20"/>
                <w:color w:val="auto"/>
              </w:rPr>
            </w:pPr>
            <w:r>
              <w:rPr>
                <w:rFonts w:ascii="Arial" w:cs="Arial" w:eastAsia="Arial" w:hAnsi="Arial"/>
                <w:sz w:val="17"/>
                <w:szCs w:val="17"/>
                <w:color w:val="auto"/>
              </w:rPr>
              <w:t>A director must retire at the annual meeting following his or her 75th birthday.</w:t>
            </w:r>
          </w:p>
        </w:tc>
      </w:tr>
      <w:tr>
        <w:trPr>
          <w:trHeight w:val="243"/>
        </w:trPr>
        <w:tc>
          <w:tcPr>
            <w:tcW w:w="2740" w:type="dxa"/>
            <w:vAlign w:val="bottom"/>
            <w:shd w:val="clear" w:color="auto" w:fill="E5E7EF"/>
          </w:tcPr>
          <w:p>
            <w:pPr>
              <w:ind w:left="100"/>
              <w:spacing w:after="0"/>
              <w:rPr>
                <w:sz w:val="20"/>
                <w:szCs w:val="20"/>
                <w:color w:val="auto"/>
              </w:rPr>
            </w:pPr>
            <w:r>
              <w:rPr>
                <w:rFonts w:ascii="Arial" w:cs="Arial" w:eastAsia="Arial" w:hAnsi="Arial"/>
                <w:sz w:val="16"/>
                <w:szCs w:val="16"/>
                <w:color w:val="002E6D"/>
              </w:rPr>
              <w:t>Term Limits</w:t>
            </w:r>
          </w:p>
        </w:tc>
        <w:tc>
          <w:tcPr>
            <w:tcW w:w="8500" w:type="dxa"/>
            <w:vAlign w:val="bottom"/>
            <w:shd w:val="clear" w:color="auto" w:fill="E5E7EF"/>
          </w:tcPr>
          <w:p>
            <w:pPr>
              <w:ind w:left="20"/>
              <w:spacing w:after="0"/>
              <w:rPr>
                <w:sz w:val="20"/>
                <w:szCs w:val="20"/>
                <w:color w:val="auto"/>
              </w:rPr>
            </w:pPr>
            <w:r>
              <w:rPr>
                <w:rFonts w:ascii="Arial" w:cs="Arial" w:eastAsia="Arial" w:hAnsi="Arial"/>
                <w:sz w:val="17"/>
                <w:szCs w:val="17"/>
                <w:color w:val="auto"/>
              </w:rPr>
              <w:t>We do not have term limits for directors as we believe implementing term limitations may prevent the Board</w:t>
            </w:r>
          </w:p>
        </w:tc>
      </w:tr>
      <w:tr>
        <w:trPr>
          <w:trHeight w:val="205"/>
        </w:trPr>
        <w:tc>
          <w:tcPr>
            <w:tcW w:w="2740" w:type="dxa"/>
            <w:vAlign w:val="bottom"/>
            <w:shd w:val="clear" w:color="auto" w:fill="E5E7EF"/>
          </w:tcPr>
          <w:p>
            <w:pPr>
              <w:spacing w:after="0"/>
              <w:rPr>
                <w:sz w:val="17"/>
                <w:szCs w:val="17"/>
                <w:color w:val="auto"/>
              </w:rPr>
            </w:pPr>
          </w:p>
        </w:tc>
        <w:tc>
          <w:tcPr>
            <w:tcW w:w="8500" w:type="dxa"/>
            <w:vAlign w:val="bottom"/>
            <w:shd w:val="clear" w:color="auto" w:fill="E5E7EF"/>
          </w:tcPr>
          <w:p>
            <w:pPr>
              <w:ind w:left="20"/>
              <w:spacing w:after="0"/>
              <w:rPr>
                <w:sz w:val="20"/>
                <w:szCs w:val="20"/>
                <w:color w:val="auto"/>
              </w:rPr>
            </w:pPr>
            <w:r>
              <w:rPr>
                <w:rFonts w:ascii="Arial" w:cs="Arial" w:eastAsia="Arial" w:hAnsi="Arial"/>
                <w:sz w:val="17"/>
                <w:szCs w:val="17"/>
                <w:color w:val="auto"/>
              </w:rPr>
              <w:t>from taking advantage of insight that longer tenure brings.</w:t>
            </w:r>
          </w:p>
        </w:tc>
      </w:tr>
      <w:tr>
        <w:trPr>
          <w:trHeight w:val="256"/>
        </w:trPr>
        <w:tc>
          <w:tcPr>
            <w:tcW w:w="2740" w:type="dxa"/>
            <w:vAlign w:val="bottom"/>
            <w:shd w:val="clear" w:color="auto" w:fill="E5E7EF"/>
          </w:tcPr>
          <w:p>
            <w:pPr>
              <w:ind w:left="100"/>
              <w:spacing w:after="0"/>
              <w:rPr>
                <w:sz w:val="20"/>
                <w:szCs w:val="20"/>
                <w:color w:val="auto"/>
              </w:rPr>
            </w:pPr>
            <w:r>
              <w:rPr>
                <w:rFonts w:ascii="Arial" w:cs="Arial" w:eastAsia="Arial" w:hAnsi="Arial"/>
                <w:sz w:val="16"/>
                <w:szCs w:val="16"/>
                <w:color w:val="002E6D"/>
              </w:rPr>
              <w:t>Employment Change</w:t>
            </w:r>
          </w:p>
        </w:tc>
        <w:tc>
          <w:tcPr>
            <w:tcW w:w="8500" w:type="dxa"/>
            <w:vAlign w:val="bottom"/>
            <w:shd w:val="clear" w:color="auto" w:fill="E5E7EF"/>
          </w:tcPr>
          <w:p>
            <w:pPr>
              <w:ind w:left="20"/>
              <w:spacing w:after="0"/>
              <w:rPr>
                <w:sz w:val="20"/>
                <w:szCs w:val="20"/>
                <w:color w:val="auto"/>
              </w:rPr>
            </w:pPr>
            <w:r>
              <w:rPr>
                <w:rFonts w:ascii="Arial" w:cs="Arial" w:eastAsia="Arial" w:hAnsi="Arial"/>
                <w:sz w:val="17"/>
                <w:szCs w:val="17"/>
                <w:color w:val="auto"/>
              </w:rPr>
              <w:t>Directors should expect to resign upon any significant change in principal employment or responsibilities.</w:t>
            </w:r>
          </w:p>
        </w:tc>
      </w:tr>
      <w:tr>
        <w:trPr>
          <w:trHeight w:val="268"/>
        </w:trPr>
        <w:tc>
          <w:tcPr>
            <w:tcW w:w="2740" w:type="dxa"/>
            <w:vAlign w:val="bottom"/>
            <w:tcBorders>
              <w:bottom w:val="single" w:sz="8" w:color="E5E7EF"/>
            </w:tcBorders>
            <w:shd w:val="clear" w:color="auto" w:fill="E5E7EF"/>
          </w:tcPr>
          <w:p>
            <w:pPr>
              <w:ind w:left="100"/>
              <w:spacing w:after="0"/>
              <w:rPr>
                <w:sz w:val="20"/>
                <w:szCs w:val="20"/>
                <w:color w:val="auto"/>
              </w:rPr>
            </w:pPr>
            <w:r>
              <w:rPr>
                <w:rFonts w:ascii="Arial" w:cs="Arial" w:eastAsia="Arial" w:hAnsi="Arial"/>
                <w:sz w:val="16"/>
                <w:szCs w:val="16"/>
                <w:color w:val="002E6D"/>
              </w:rPr>
              <w:t>Failed Election</w:t>
            </w:r>
          </w:p>
        </w:tc>
        <w:tc>
          <w:tcPr>
            <w:tcW w:w="850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7"/>
                <w:szCs w:val="17"/>
                <w:color w:val="auto"/>
              </w:rPr>
              <w:t>Directors must offer to resign as a result of a failed stockholder vote under majority voting policy.</w:t>
            </w:r>
          </w:p>
        </w:tc>
      </w:tr>
      <w:tr>
        <w:trPr>
          <w:trHeight w:val="744"/>
        </w:trPr>
        <w:tc>
          <w:tcPr>
            <w:tcW w:w="2740" w:type="dxa"/>
            <w:vAlign w:val="bottom"/>
          </w:tcPr>
          <w:p>
            <w:pPr>
              <w:ind w:left="20"/>
              <w:spacing w:after="0"/>
              <w:rPr>
                <w:sz w:val="20"/>
                <w:szCs w:val="20"/>
                <w:color w:val="auto"/>
              </w:rPr>
            </w:pPr>
            <w:r>
              <w:rPr>
                <w:rFonts w:ascii="Arial" w:cs="Arial" w:eastAsia="Arial" w:hAnsi="Arial"/>
                <w:sz w:val="14"/>
                <w:szCs w:val="14"/>
                <w:b w:val="1"/>
                <w:bCs w:val="1"/>
                <w:color w:val="808080"/>
              </w:rPr>
              <w:t>18</w:t>
            </w:r>
          </w:p>
        </w:tc>
        <w:tc>
          <w:tcPr>
            <w:tcW w:w="8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-197485</wp:posOffset>
            </wp:positionV>
            <wp:extent cx="969010" cy="222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22" w:name="page23"/>
    <w:bookmarkEnd w:id="22"/>
    <w:p>
      <w:pPr>
        <w:spacing w:after="0"/>
        <w:rPr>
          <w:sz w:val="20"/>
          <w:szCs w:val="20"/>
          <w:color w:val="auto"/>
        </w:rPr>
      </w:pPr>
      <w:r>
        <w:rPr>
          <w:rFonts w:ascii="Arial" w:cs="Arial" w:eastAsia="Arial" w:hAnsi="Arial"/>
          <w:sz w:val="43"/>
          <w:szCs w:val="43"/>
          <w:color w:val="002E6D"/>
        </w:rPr>
        <w:t>Corporate Governance</w:t>
      </w:r>
    </w:p>
    <w:p>
      <w:pPr>
        <w:spacing w:after="0" w:line="23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Lockheed Martin believes good governance is integral to achieving long-term stockholder value. The Board’s primary role is to oversee management and represent the interests of stockholders. Directors are expected to attend Board meetings, the meetings of the committees on which they serve and the annual meeting of stockholders. The Board and its committees regularly schedule and hold executive sessions without any members of management present. Between meetings, directors interact with the Chairman, President and CEO, the independent Lead Director and other members of management and are available to provide advice and counsel to management.</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475C90"/>
        </w:rPr>
        <w:t>Independent Lead Director</w:t>
      </w:r>
    </w:p>
    <w:p>
      <w:pPr>
        <w:spacing w:after="0" w:line="1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Board believes that having a strong, independent Lead Director role is important to sound corporate governance. In accordance with our Bylaws and Governance Guidelines, the independent members of the Board annually elect one of the independent directors to serve as the Lead Director by the affirmative vote of a majority of the directors who have been determined to be "independent" for purposes of the New York Stock Exchange (NYSE) listing standards. Daniel F. Akerson has served as the independent Lead Director since April 2019. The Board has structured the role of the independent Lead Director to further enhance the functioning of the Board and with sufficient authority to serve as a counterbalance to management. The responsibilities of the role, as specified in the Bylaws include to:</w:t>
      </w:r>
    </w:p>
    <w:p>
      <w:pPr>
        <w:spacing w:after="0" w:line="99" w:lineRule="exact"/>
        <w:rPr>
          <w:sz w:val="20"/>
          <w:szCs w:val="20"/>
          <w:color w:val="auto"/>
        </w:rPr>
      </w:pPr>
    </w:p>
    <w:p>
      <w:pPr>
        <w:ind w:left="340" w:right="400" w:hanging="251"/>
        <w:spacing w:after="0" w:line="276" w:lineRule="auto"/>
        <w:tabs>
          <w:tab w:leader="none" w:pos="333" w:val="left"/>
        </w:tabs>
        <w:numPr>
          <w:ilvl w:val="0"/>
          <w:numId w:val="35"/>
        </w:numPr>
        <w:rPr>
          <w:rFonts w:ascii="Arial" w:cs="Arial" w:eastAsia="Arial" w:hAnsi="Arial"/>
          <w:sz w:val="16"/>
          <w:szCs w:val="16"/>
          <w:color w:val="012E6C"/>
        </w:rPr>
      </w:pPr>
      <w:r>
        <w:rPr>
          <w:rFonts w:ascii="Arial" w:cs="Arial" w:eastAsia="Arial" w:hAnsi="Arial"/>
          <w:sz w:val="17"/>
          <w:szCs w:val="17"/>
          <w:color w:val="auto"/>
        </w:rPr>
        <w:t>preside as chair at Board meetings while in executive sessions of the non-management members of the Board or executive sessions of the independent directors or if the Chairman is not present;</w:t>
      </w:r>
    </w:p>
    <w:p>
      <w:pPr>
        <w:spacing w:after="0" w:line="90" w:lineRule="exact"/>
        <w:rPr>
          <w:rFonts w:ascii="Arial" w:cs="Arial" w:eastAsia="Arial" w:hAnsi="Arial"/>
          <w:sz w:val="16"/>
          <w:szCs w:val="16"/>
          <w:color w:val="012E6C"/>
        </w:rPr>
      </w:pPr>
    </w:p>
    <w:p>
      <w:pPr>
        <w:ind w:left="340" w:right="320" w:hanging="251"/>
        <w:spacing w:after="0" w:line="276" w:lineRule="auto"/>
        <w:tabs>
          <w:tab w:leader="none" w:pos="333" w:val="left"/>
        </w:tabs>
        <w:numPr>
          <w:ilvl w:val="0"/>
          <w:numId w:val="35"/>
        </w:numPr>
        <w:rPr>
          <w:rFonts w:ascii="Arial" w:cs="Arial" w:eastAsia="Arial" w:hAnsi="Arial"/>
          <w:sz w:val="16"/>
          <w:szCs w:val="16"/>
          <w:color w:val="012E6C"/>
        </w:rPr>
      </w:pPr>
      <w:r>
        <w:rPr>
          <w:rFonts w:ascii="Arial" w:cs="Arial" w:eastAsia="Arial" w:hAnsi="Arial"/>
          <w:sz w:val="17"/>
          <w:szCs w:val="17"/>
          <w:color w:val="auto"/>
        </w:rPr>
        <w:t>determine the frequency and timing of executive sessions of non-management directors and report to the Chairman and CEO on all relevant matters arising from those sessions, and invite the Chairman and CEO to join the executive session for further discussion as appropriate;</w:t>
      </w:r>
    </w:p>
    <w:p>
      <w:pPr>
        <w:spacing w:after="0" w:line="90" w:lineRule="exact"/>
        <w:rPr>
          <w:rFonts w:ascii="Arial" w:cs="Arial" w:eastAsia="Arial" w:hAnsi="Arial"/>
          <w:sz w:val="16"/>
          <w:szCs w:val="16"/>
          <w:color w:val="012E6C"/>
        </w:rPr>
      </w:pPr>
    </w:p>
    <w:p>
      <w:pPr>
        <w:ind w:left="340" w:right="540" w:hanging="251"/>
        <w:spacing w:after="0" w:line="276" w:lineRule="auto"/>
        <w:tabs>
          <w:tab w:leader="none" w:pos="333" w:val="left"/>
        </w:tabs>
        <w:numPr>
          <w:ilvl w:val="0"/>
          <w:numId w:val="35"/>
        </w:numPr>
        <w:rPr>
          <w:rFonts w:ascii="Arial" w:cs="Arial" w:eastAsia="Arial" w:hAnsi="Arial"/>
          <w:sz w:val="16"/>
          <w:szCs w:val="16"/>
          <w:color w:val="012E6C"/>
        </w:rPr>
      </w:pPr>
      <w:r>
        <w:rPr>
          <w:rFonts w:ascii="Arial" w:cs="Arial" w:eastAsia="Arial" w:hAnsi="Arial"/>
          <w:sz w:val="17"/>
          <w:szCs w:val="17"/>
          <w:color w:val="auto"/>
        </w:rPr>
        <w:t>consult with the Chairman and committee chairs regarding the topics for and schedules of the meetings of the Board and committees and approve the topics for and schedules of Board meetings;</w:t>
      </w:r>
    </w:p>
    <w:p>
      <w:pPr>
        <w:spacing w:after="0" w:line="90" w:lineRule="exact"/>
        <w:rPr>
          <w:rFonts w:ascii="Arial" w:cs="Arial" w:eastAsia="Arial" w:hAnsi="Arial"/>
          <w:sz w:val="16"/>
          <w:szCs w:val="16"/>
          <w:color w:val="012E6C"/>
        </w:rPr>
      </w:pPr>
    </w:p>
    <w:p>
      <w:pPr>
        <w:ind w:left="340" w:right="60" w:hanging="251"/>
        <w:spacing w:after="0" w:line="276" w:lineRule="auto"/>
        <w:tabs>
          <w:tab w:leader="none" w:pos="333" w:val="left"/>
        </w:tabs>
        <w:numPr>
          <w:ilvl w:val="0"/>
          <w:numId w:val="35"/>
        </w:numPr>
        <w:rPr>
          <w:rFonts w:ascii="Arial" w:cs="Arial" w:eastAsia="Arial" w:hAnsi="Arial"/>
          <w:sz w:val="16"/>
          <w:szCs w:val="16"/>
          <w:color w:val="012E6C"/>
        </w:rPr>
      </w:pPr>
      <w:r>
        <w:rPr>
          <w:rFonts w:ascii="Arial" w:cs="Arial" w:eastAsia="Arial" w:hAnsi="Arial"/>
          <w:sz w:val="17"/>
          <w:szCs w:val="17"/>
          <w:color w:val="auto"/>
        </w:rPr>
        <w:t>review and approve all Board and committee agendas (in addition to each committee chair) and provide input to management on the scope and quality of information sent to the Board;</w:t>
      </w:r>
    </w:p>
    <w:p>
      <w:pPr>
        <w:spacing w:after="0" w:line="90" w:lineRule="exact"/>
        <w:rPr>
          <w:rFonts w:ascii="Arial" w:cs="Arial" w:eastAsia="Arial" w:hAnsi="Arial"/>
          <w:sz w:val="16"/>
          <w:szCs w:val="16"/>
          <w:color w:val="012E6C"/>
        </w:rPr>
      </w:pPr>
    </w:p>
    <w:p>
      <w:pPr>
        <w:ind w:left="320" w:hanging="231"/>
        <w:spacing w:after="0"/>
        <w:tabs>
          <w:tab w:leader="none" w:pos="320" w:val="left"/>
        </w:tabs>
        <w:numPr>
          <w:ilvl w:val="0"/>
          <w:numId w:val="35"/>
        </w:numPr>
        <w:rPr>
          <w:rFonts w:ascii="Arial" w:cs="Arial" w:eastAsia="Arial" w:hAnsi="Arial"/>
          <w:sz w:val="16"/>
          <w:szCs w:val="16"/>
          <w:color w:val="012E6C"/>
        </w:rPr>
      </w:pPr>
      <w:r>
        <w:rPr>
          <w:rFonts w:ascii="Arial" w:cs="Arial" w:eastAsia="Arial" w:hAnsi="Arial"/>
          <w:sz w:val="17"/>
          <w:szCs w:val="17"/>
          <w:color w:val="auto"/>
        </w:rPr>
        <w:t>assist with recruitment of director candidates and, along with the Chairman, extend invitations to potential directors to join the Board;</w:t>
      </w:r>
    </w:p>
    <w:p>
      <w:pPr>
        <w:spacing w:after="0" w:line="128" w:lineRule="exact"/>
        <w:rPr>
          <w:rFonts w:ascii="Arial" w:cs="Arial" w:eastAsia="Arial" w:hAnsi="Arial"/>
          <w:sz w:val="16"/>
          <w:szCs w:val="16"/>
          <w:color w:val="012E6C"/>
        </w:rPr>
      </w:pPr>
    </w:p>
    <w:p>
      <w:pPr>
        <w:ind w:left="320" w:hanging="231"/>
        <w:spacing w:after="0"/>
        <w:tabs>
          <w:tab w:leader="none" w:pos="320" w:val="left"/>
        </w:tabs>
        <w:numPr>
          <w:ilvl w:val="0"/>
          <w:numId w:val="35"/>
        </w:numPr>
        <w:rPr>
          <w:rFonts w:ascii="Arial" w:cs="Arial" w:eastAsia="Arial" w:hAnsi="Arial"/>
          <w:sz w:val="16"/>
          <w:szCs w:val="16"/>
          <w:color w:val="012E6C"/>
        </w:rPr>
      </w:pPr>
      <w:r>
        <w:rPr>
          <w:rFonts w:ascii="Arial" w:cs="Arial" w:eastAsia="Arial" w:hAnsi="Arial"/>
          <w:sz w:val="17"/>
          <w:szCs w:val="17"/>
          <w:color w:val="auto"/>
        </w:rPr>
        <w:t>act as liaison between the Board and management and among the directors and the committees of the Board;</w:t>
      </w:r>
    </w:p>
    <w:p>
      <w:pPr>
        <w:spacing w:after="0" w:line="128" w:lineRule="exact"/>
        <w:rPr>
          <w:rFonts w:ascii="Arial" w:cs="Arial" w:eastAsia="Arial" w:hAnsi="Arial"/>
          <w:sz w:val="16"/>
          <w:szCs w:val="16"/>
          <w:color w:val="012E6C"/>
        </w:rPr>
      </w:pPr>
    </w:p>
    <w:p>
      <w:pPr>
        <w:ind w:left="320" w:hanging="231"/>
        <w:spacing w:after="0"/>
        <w:tabs>
          <w:tab w:leader="none" w:pos="320" w:val="left"/>
        </w:tabs>
        <w:numPr>
          <w:ilvl w:val="0"/>
          <w:numId w:val="35"/>
        </w:numPr>
        <w:rPr>
          <w:rFonts w:ascii="Arial" w:cs="Arial" w:eastAsia="Arial" w:hAnsi="Arial"/>
          <w:sz w:val="16"/>
          <w:szCs w:val="16"/>
          <w:color w:val="012E6C"/>
        </w:rPr>
      </w:pPr>
      <w:r>
        <w:rPr>
          <w:rFonts w:ascii="Arial" w:cs="Arial" w:eastAsia="Arial" w:hAnsi="Arial"/>
          <w:sz w:val="17"/>
          <w:szCs w:val="17"/>
          <w:color w:val="auto"/>
        </w:rPr>
        <w:t>serve as an ex-officio member of each committee if not otherwise a member of the committee;</w:t>
      </w:r>
    </w:p>
    <w:p>
      <w:pPr>
        <w:spacing w:after="0" w:line="128" w:lineRule="exact"/>
        <w:rPr>
          <w:rFonts w:ascii="Arial" w:cs="Arial" w:eastAsia="Arial" w:hAnsi="Arial"/>
          <w:sz w:val="16"/>
          <w:szCs w:val="16"/>
          <w:color w:val="012E6C"/>
        </w:rPr>
      </w:pPr>
    </w:p>
    <w:p>
      <w:pPr>
        <w:ind w:left="320" w:hanging="231"/>
        <w:spacing w:after="0"/>
        <w:tabs>
          <w:tab w:leader="none" w:pos="320" w:val="left"/>
        </w:tabs>
        <w:numPr>
          <w:ilvl w:val="0"/>
          <w:numId w:val="35"/>
        </w:numPr>
        <w:rPr>
          <w:rFonts w:ascii="Arial" w:cs="Arial" w:eastAsia="Arial" w:hAnsi="Arial"/>
          <w:sz w:val="16"/>
          <w:szCs w:val="16"/>
          <w:color w:val="012E6C"/>
        </w:rPr>
      </w:pPr>
      <w:r>
        <w:rPr>
          <w:rFonts w:ascii="Arial" w:cs="Arial" w:eastAsia="Arial" w:hAnsi="Arial"/>
          <w:sz w:val="17"/>
          <w:szCs w:val="17"/>
          <w:color w:val="auto"/>
        </w:rPr>
        <w:t>serve as the point of contact for stockholders and others to communicate with the Board;</w:t>
      </w:r>
    </w:p>
    <w:p>
      <w:pPr>
        <w:spacing w:after="0" w:line="128" w:lineRule="exact"/>
        <w:rPr>
          <w:rFonts w:ascii="Arial" w:cs="Arial" w:eastAsia="Arial" w:hAnsi="Arial"/>
          <w:sz w:val="16"/>
          <w:szCs w:val="16"/>
          <w:color w:val="012E6C"/>
        </w:rPr>
      </w:pPr>
    </w:p>
    <w:p>
      <w:pPr>
        <w:ind w:left="320" w:hanging="231"/>
        <w:spacing w:after="0"/>
        <w:tabs>
          <w:tab w:leader="none" w:pos="320" w:val="left"/>
        </w:tabs>
        <w:numPr>
          <w:ilvl w:val="0"/>
          <w:numId w:val="35"/>
        </w:numPr>
        <w:rPr>
          <w:rFonts w:ascii="Arial" w:cs="Arial" w:eastAsia="Arial" w:hAnsi="Arial"/>
          <w:sz w:val="16"/>
          <w:szCs w:val="16"/>
          <w:color w:val="012E6C"/>
        </w:rPr>
      </w:pPr>
      <w:r>
        <w:rPr>
          <w:rFonts w:ascii="Arial" w:cs="Arial" w:eastAsia="Arial" w:hAnsi="Arial"/>
          <w:sz w:val="17"/>
          <w:szCs w:val="17"/>
          <w:color w:val="auto"/>
        </w:rPr>
        <w:t>recommend to the Board and committees the retention of advisors and consultants who report directly to the Board;</w:t>
      </w:r>
    </w:p>
    <w:p>
      <w:pPr>
        <w:spacing w:after="0" w:line="128" w:lineRule="exact"/>
        <w:rPr>
          <w:rFonts w:ascii="Arial" w:cs="Arial" w:eastAsia="Arial" w:hAnsi="Arial"/>
          <w:sz w:val="16"/>
          <w:szCs w:val="16"/>
          <w:color w:val="012E6C"/>
        </w:rPr>
      </w:pPr>
    </w:p>
    <w:p>
      <w:pPr>
        <w:ind w:left="320" w:hanging="231"/>
        <w:spacing w:after="0"/>
        <w:tabs>
          <w:tab w:leader="none" w:pos="320" w:val="left"/>
        </w:tabs>
        <w:numPr>
          <w:ilvl w:val="0"/>
          <w:numId w:val="35"/>
        </w:numPr>
        <w:rPr>
          <w:rFonts w:ascii="Arial" w:cs="Arial" w:eastAsia="Arial" w:hAnsi="Arial"/>
          <w:sz w:val="16"/>
          <w:szCs w:val="16"/>
          <w:color w:val="012E6C"/>
        </w:rPr>
      </w:pPr>
      <w:r>
        <w:rPr>
          <w:rFonts w:ascii="Arial" w:cs="Arial" w:eastAsia="Arial" w:hAnsi="Arial"/>
          <w:sz w:val="17"/>
          <w:szCs w:val="17"/>
          <w:color w:val="auto"/>
        </w:rPr>
        <w:t>call a special meeting of the Board or of the independent directors at any time, at any place and for any purpose; and</w:t>
      </w:r>
    </w:p>
    <w:p>
      <w:pPr>
        <w:spacing w:after="0" w:line="128" w:lineRule="exact"/>
        <w:rPr>
          <w:rFonts w:ascii="Arial" w:cs="Arial" w:eastAsia="Arial" w:hAnsi="Arial"/>
          <w:sz w:val="16"/>
          <w:szCs w:val="16"/>
          <w:color w:val="012E6C"/>
        </w:rPr>
      </w:pPr>
    </w:p>
    <w:p>
      <w:pPr>
        <w:ind w:left="320" w:hanging="231"/>
        <w:spacing w:after="0"/>
        <w:tabs>
          <w:tab w:leader="none" w:pos="320" w:val="left"/>
        </w:tabs>
        <w:numPr>
          <w:ilvl w:val="0"/>
          <w:numId w:val="35"/>
        </w:numPr>
        <w:rPr>
          <w:rFonts w:ascii="Arial" w:cs="Arial" w:eastAsia="Arial" w:hAnsi="Arial"/>
          <w:sz w:val="16"/>
          <w:szCs w:val="16"/>
          <w:color w:val="012E6C"/>
        </w:rPr>
      </w:pPr>
      <w:r>
        <w:rPr>
          <w:rFonts w:ascii="Arial" w:cs="Arial" w:eastAsia="Arial" w:hAnsi="Arial"/>
          <w:sz w:val="17"/>
          <w:szCs w:val="17"/>
          <w:color w:val="auto"/>
        </w:rPr>
        <w:t>perform all other duties as may be assigned by the Board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19</w:t>
      </w:r>
    </w:p>
    <w:p>
      <w:pPr>
        <w:sectPr>
          <w:pgSz w:w="11900" w:h="16838" w:orient="portrait"/>
          <w:cols w:equalWidth="0" w:num="1">
            <w:col w:w="11220"/>
          </w:cols>
          <w:pgMar w:left="320" w:top="1340" w:right="35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00347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534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34160"/>
                    </a:xfrm>
                    <a:prstGeom prst="rect">
                      <a:avLst/>
                    </a:prstGeom>
                    <a:noFill/>
                  </pic:spPr>
                </pic:pic>
              </a:graphicData>
            </a:graphic>
          </wp:anchor>
        </w:drawing>
      </w:r>
    </w:p>
    <w:p>
      <w:pPr>
        <w:sectPr>
          <w:pgSz w:w="11900" w:h="16838" w:orient="portrait"/>
          <w:cols w:equalWidth="0" w:num="1">
            <w:col w:w="11200"/>
          </w:cols>
          <w:pgMar w:left="320" w:top="60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9"/>
          <w:szCs w:val="29"/>
          <w:color w:val="002E6D"/>
          <w:shd w:val="clear" w:color="auto" w:fill="E5E7EF"/>
        </w:rPr>
        <w:t>Message from the Independent Lead Director</w:t>
      </w:r>
    </w:p>
    <w:p>
      <w:pPr>
        <w:spacing w:after="0" w:line="69" w:lineRule="exact"/>
        <w:rPr>
          <w:sz w:val="20"/>
          <w:szCs w:val="20"/>
          <w:color w:val="auto"/>
        </w:rPr>
      </w:pPr>
    </w:p>
    <w:p>
      <w:pPr>
        <w:ind w:left="20"/>
        <w:spacing w:after="0" w:line="250" w:lineRule="auto"/>
        <w:rPr>
          <w:sz w:val="20"/>
          <w:szCs w:val="20"/>
          <w:color w:val="auto"/>
        </w:rPr>
      </w:pPr>
      <w:r>
        <w:rPr>
          <w:rFonts w:ascii="Arial" w:cs="Arial" w:eastAsia="Arial" w:hAnsi="Arial"/>
          <w:sz w:val="17"/>
          <w:szCs w:val="17"/>
          <w:color w:val="auto"/>
          <w:shd w:val="clear" w:color="auto" w:fill="E5E7EF"/>
        </w:rPr>
        <w:t>I have served as Lead Director since April 2019 and in that role also chair the independent Nominating and Corporate Governance Committee. Since 2019 we have added two new independent directors to the Board. In 2019, Debra L. Reed-Klages became a director, bringing valuable chief executive officer experience as well as expertise in risk management and environmental sustainability. In early 2020, Retired Chairman of the Joint Chiefs of Staff General Joseph F. Dunford, Jr. joined our Board bringing additional valuable insight of our core customer, including customer experience with our programs and technologies. They have both already been tremendous assets to the Board. Ensuring that we continue to benefit from diverse perspectives in the boardroom continues to be an important element of our corporate governa</w:t>
      </w:r>
      <w:r>
        <w:rPr>
          <w:rFonts w:ascii="Arial" w:cs="Arial" w:eastAsia="Arial" w:hAnsi="Arial"/>
          <w:sz w:val="17"/>
          <w:szCs w:val="17"/>
          <w:color w:val="auto"/>
        </w:rPr>
        <w:t>nce framework.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Leadership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9660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966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auto"/>
        </w:rPr>
        <w:t>Daniel F. Akerson, Independent Lead Director</w:t>
      </w:r>
    </w:p>
    <w:p>
      <w:pPr>
        <w:spacing w:after="0" w:line="559" w:lineRule="exact"/>
        <w:rPr>
          <w:sz w:val="20"/>
          <w:szCs w:val="20"/>
          <w:color w:val="auto"/>
        </w:rPr>
      </w:pPr>
    </w:p>
    <w:p>
      <w:pPr>
        <w:sectPr>
          <w:pgSz w:w="11900" w:h="16838" w:orient="portrait"/>
          <w:cols w:equalWidth="0" w:num="2">
            <w:col w:w="8380" w:space="180"/>
            <w:col w:w="2640"/>
          </w:cols>
          <w:pgMar w:left="320" w:top="609" w:right="379" w:bottom="1440" w:gutter="0" w:footer="0" w:header="0"/>
          <w:type w:val="continuous"/>
        </w:sectPr>
      </w:pPr>
    </w:p>
    <w:p>
      <w:pPr>
        <w:ind w:left="20" w:right="20"/>
        <w:spacing w:after="0" w:line="268" w:lineRule="auto"/>
        <w:rPr>
          <w:sz w:val="20"/>
          <w:szCs w:val="20"/>
          <w:color w:val="auto"/>
        </w:rPr>
      </w:pPr>
      <w:r>
        <w:rPr>
          <w:rFonts w:ascii="Arial" w:cs="Arial" w:eastAsia="Arial" w:hAnsi="Arial"/>
          <w:sz w:val="17"/>
          <w:szCs w:val="17"/>
          <w:color w:val="auto"/>
          <w:shd w:val="clear" w:color="auto" w:fill="E5E7EF"/>
        </w:rPr>
        <w:t xml:space="preserve">One of the Board's most important responsibilities is succession planning and choosing the right CEO to lead the Corporation. A great deal of Board focus and attention went into the selection of James D. Taiclet as the Chairman, President and CEO to </w:t>
      </w:r>
      <w:r>
        <w:rPr>
          <w:rFonts w:ascii="Arial" w:cs="Arial" w:eastAsia="Arial" w:hAnsi="Arial"/>
          <w:sz w:val="17"/>
          <w:szCs w:val="17"/>
          <w:color w:val="auto"/>
        </w:rPr>
        <w:t>lead the Corporation following Marillyn</w:t>
      </w:r>
      <w:r>
        <w:rPr>
          <w:rFonts w:ascii="Arial" w:cs="Arial" w:eastAsia="Arial" w:hAnsi="Arial"/>
          <w:sz w:val="17"/>
          <w:szCs w:val="17"/>
          <w:color w:val="auto"/>
          <w:shd w:val="clear" w:color="auto" w:fill="E5E7EF"/>
        </w:rPr>
        <w:t xml:space="preserve"> Hewson's decision to retire. I have worked closely with Jim and Marillyn during the transition and we have received positive feedback from employees, investors and other key stakeholders on the transition.</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Board Response to COVID-19</w:t>
      </w:r>
    </w:p>
    <w:p>
      <w:pPr>
        <w:spacing w:after="0" w:line="203" w:lineRule="exact"/>
        <w:rPr>
          <w:sz w:val="20"/>
          <w:szCs w:val="20"/>
          <w:color w:val="auto"/>
        </w:rPr>
      </w:pPr>
    </w:p>
    <w:p>
      <w:pPr>
        <w:ind w:left="20" w:right="480"/>
        <w:spacing w:after="0" w:line="268" w:lineRule="auto"/>
        <w:rPr>
          <w:sz w:val="20"/>
          <w:szCs w:val="20"/>
          <w:color w:val="auto"/>
        </w:rPr>
      </w:pPr>
      <w:r>
        <w:rPr>
          <w:rFonts w:ascii="Arial" w:cs="Arial" w:eastAsia="Arial" w:hAnsi="Arial"/>
          <w:sz w:val="17"/>
          <w:szCs w:val="17"/>
          <w:color w:val="auto"/>
        </w:rPr>
        <w:t>During 2020, the Board has been actively engaged in overseeing management's response to COVID-19. The Board receives updates at least monthly and it has been a recurring discussion topic at Board meetings. The Board approved an increase to the Corporation's 2020 charitable contributions budget in support of COVID-19 efforts. The Audit Committee has been closely monitoring potential risks related to COVID-19, including ensuring management had the resources needed for a successful year-end audit, and the Nominating and Corporate Governance Committee has continued to review the effect of COVID-19 on employee safety and health.</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Continued Independent Oversight and Engagement</w:t>
      </w:r>
    </w:p>
    <w:p>
      <w:pPr>
        <w:spacing w:after="0" w:line="189" w:lineRule="exact"/>
        <w:rPr>
          <w:sz w:val="20"/>
          <w:szCs w:val="20"/>
          <w:color w:val="auto"/>
        </w:rPr>
      </w:pPr>
    </w:p>
    <w:p>
      <w:pPr>
        <w:ind w:left="20" w:right="20"/>
        <w:spacing w:after="0" w:line="250" w:lineRule="auto"/>
        <w:rPr>
          <w:sz w:val="20"/>
          <w:szCs w:val="20"/>
          <w:color w:val="auto"/>
        </w:rPr>
      </w:pPr>
      <w:r>
        <w:rPr>
          <w:rFonts w:ascii="Arial" w:cs="Arial" w:eastAsia="Arial" w:hAnsi="Arial"/>
          <w:sz w:val="17"/>
          <w:szCs w:val="17"/>
          <w:color w:val="auto"/>
        </w:rPr>
        <w:t xml:space="preserve">Each year, our Bylaws and Corporate Governance Guidelines mandate that the independent members of the Board elect an independent director to serve as the Lead Director by the affirmative vote of a majority of the independent directors, meaning those who have been determined to be “independent” for purposes of the New York Stock Exchange listing standards. I am honored to have been selected again to serve in this role for 2021. I look forward to continuing to work closely with our Chairman, President and CEO and contributing to our Board’s strong oversight as Lead Director and to engagement with stockholders. I welcome your comments. Stockholders and other interested parties may communicate with me by email at </w:t>
      </w:r>
      <w:r>
        <w:rPr>
          <w:rFonts w:ascii="Arial" w:cs="Arial" w:eastAsia="Arial" w:hAnsi="Arial"/>
          <w:sz w:val="17"/>
          <w:szCs w:val="17"/>
          <w:i w:val="1"/>
          <w:iCs w:val="1"/>
          <w:color w:val="auto"/>
        </w:rPr>
        <w:t>Lead.Director@lmco.com</w:t>
      </w:r>
      <w:r>
        <w:rPr>
          <w:rFonts w:ascii="Arial" w:cs="Arial" w:eastAsia="Arial" w:hAnsi="Arial"/>
          <w:sz w:val="17"/>
          <w:szCs w:val="17"/>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color w:val="475C90"/>
        </w:rPr>
        <w:t>Board Leadership Structure</w:t>
      </w:r>
    </w:p>
    <w:p>
      <w:pPr>
        <w:spacing w:after="0" w:line="96"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Board believes that it must be independent and must provide strong and effective oversight. The Board also believes that the independent Board members should have the flexibility to respond to changing circumstances and choose the board leadership structure that best fits the then-current situation. As a result, the roles of the Chairman and the CEO have been split from time to time to facilitate leadership transitions, while at other times the roles have been combined.</w:t>
      </w:r>
    </w:p>
    <w:p>
      <w:pPr>
        <w:spacing w:after="0" w:line="7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consultation with the Board, on March 12, 2020, Ms. Hewson announced her plans to step down as President and CEO of the Corporation, subject to approval of the Board. Ms. Hewson expressed her willingness to serve as Executive Chairman of the Board to assist in the transition. The Board reviewed its leadership structure in connection with Ms. Hewson's announcement to step down as President and CEO. The Board determined that the transition to the new President and CEO would be best accomplished by having Ms. Hewson serve as Executive Chairman to assist in the transition effective June 15, 2020. This resulted in a separation of the roles of Chairman and CEO during 2020. Ms. Hewson served in the Executive Chairman role until March 1, 2021, when she retired from the Board.</w:t>
      </w:r>
    </w:p>
    <w:p>
      <w:pPr>
        <w:spacing w:after="0" w:line="88"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Effective March 1, 2021, the independent directors elected President and CEO James D. Taiclet as Chairman, President and CEO. As it does annually, the Board of Directors reviewed the Corporation's leadership structure, including benchmarking data of the leadership structure of other large companies and industry peers and stockholder proposal trends for separating the roles. At present, the Board believes that the combination of the roles, along with the robust authority given to the experienced independent Lead Director, Dan Akerson, effectively maintains independent oversight of management. The Board consists entirely of independent directors, other than Mr. Taiclet, and exercises a strong, independent oversight function through frequent executive sessions, independent Board committees and having a strong independent Lead Director with clearly delineated and comprehensive duties. The Board believes there is value in presenting a single face to our customers through the combined Chairman and CEO role and that this structure and having the Board and management operate under the unified leadership of the highly experienced Mr. Taiclet best positions the Corporation to successfully implement its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263525</wp:posOffset>
            </wp:positionV>
            <wp:extent cx="969010"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20</w:t>
      </w:r>
    </w:p>
    <w:p>
      <w:pPr>
        <w:sectPr>
          <w:pgSz w:w="11900" w:h="16838" w:orient="portrait"/>
          <w:cols w:equalWidth="0" w:num="1">
            <w:col w:w="11200"/>
          </w:cols>
          <w:pgMar w:left="320" w:top="609" w:right="37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54"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independent directors will continue to review the leadership structure on an ongoing basis, at least annually, to provide effective risk management and to ensure that it continues to meet the needs of the Corporation and supports the generation of stockholder value over the long-term. Information regarding the CEO transition is provided under the caption "Talent Management and Succession Planning" on page 24.</w:t>
      </w:r>
    </w:p>
    <w:p>
      <w:pPr>
        <w:spacing w:after="0" w:line="98" w:lineRule="exact"/>
        <w:rPr>
          <w:sz w:val="20"/>
          <w:szCs w:val="20"/>
          <w:color w:val="auto"/>
        </w:rPr>
      </w:pPr>
    </w:p>
    <w:p>
      <w:pPr>
        <w:spacing w:after="0"/>
        <w:rPr>
          <w:sz w:val="20"/>
          <w:szCs w:val="20"/>
          <w:color w:val="auto"/>
        </w:rPr>
      </w:pPr>
      <w:r>
        <w:rPr>
          <w:rFonts w:ascii="Arial" w:cs="Arial" w:eastAsia="Arial" w:hAnsi="Arial"/>
          <w:sz w:val="29"/>
          <w:szCs w:val="29"/>
          <w:color w:val="002E6D"/>
        </w:rPr>
        <w:t>Executive Sessions</w:t>
      </w:r>
    </w:p>
    <w:p>
      <w:pPr>
        <w:spacing w:after="0" w:line="123"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Generally, each meeting agenda of the Board and each committee includes an executive session of the non-management directors. The Governance Guidelines require that at least three Board meetings per year will include an executive session of the non-management directors. In each case, these sessions include a discussion of the performance of the CEO. The independent Lead Director presides during the executive sessions of the Board, and will report the results to the Chairman and CEO on all relevant matters, or invite the Chairman and CEO to join the executive session for further discussion, as appropriate. If the group of non-management directors includes directors who are not independent directors, at least one executive session including only independent directors will be scheduled each year. The respective chairman of each committee presides during the committee executive sessions.</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02E6D"/>
        </w:rPr>
        <w:t>Committees of the Board of Directors</w:t>
      </w:r>
    </w:p>
    <w:p>
      <w:pPr>
        <w:spacing w:after="0" w:line="12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 xml:space="preserve">The Board has four standing committees: Audit, Classified Business and Security (CBS Committee), Management Development and Compensation (Compensation Committee) and Nominating and Corporate Governance (Governance Committee). Based on Board feedback and the recommendation of the Governance Committee, effective September 25, 2020, the Executive Committee, which was not being used, was eliminated. The Board considered survey data which showed that four standing committees is most prevalent among our peer companies. Charters for each committee are available on the Corporation’s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 In addition to these committees, the Board may establish other standing or special committees as may be necessary to carry out its responsibilities. Descriptions of each of the standing Committees are set forth below.</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475C9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3728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37287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160"/>
        <w:spacing w:after="0"/>
        <w:rPr>
          <w:sz w:val="20"/>
          <w:szCs w:val="20"/>
          <w:color w:val="auto"/>
        </w:rPr>
      </w:pPr>
      <w:r>
        <w:rPr>
          <w:rFonts w:ascii="Arial" w:cs="Arial" w:eastAsia="Arial" w:hAnsi="Arial"/>
          <w:sz w:val="20"/>
          <w:szCs w:val="20"/>
          <w:color w:val="002E6D"/>
          <w:shd w:val="clear" w:color="auto" w:fill="E5E7EF"/>
        </w:rPr>
        <w:t>Members:</w:t>
      </w:r>
    </w:p>
    <w:p>
      <w:pPr>
        <w:spacing w:after="0" w:line="40" w:lineRule="exact"/>
        <w:rPr>
          <w:sz w:val="20"/>
          <w:szCs w:val="20"/>
          <w:color w:val="auto"/>
        </w:rPr>
      </w:pPr>
    </w:p>
    <w:p>
      <w:pPr>
        <w:ind w:left="160" w:right="1120"/>
        <w:spacing w:after="0" w:line="305" w:lineRule="auto"/>
        <w:rPr>
          <w:sz w:val="20"/>
          <w:szCs w:val="20"/>
          <w:color w:val="auto"/>
        </w:rPr>
      </w:pPr>
      <w:r>
        <w:rPr>
          <w:rFonts w:ascii="Arial" w:cs="Arial" w:eastAsia="Arial" w:hAnsi="Arial"/>
          <w:sz w:val="19"/>
          <w:szCs w:val="19"/>
          <w:color w:val="002E6D"/>
          <w:shd w:val="clear" w:color="auto" w:fill="E5E7EF"/>
        </w:rPr>
        <w:t>Thomas J. Falk, Chair David B. Burritt James O. Ellis, Jr. Ilene S. Gordon Debra L. Reed-Klages</w:t>
      </w:r>
    </w:p>
    <w:p>
      <w:pPr>
        <w:spacing w:after="0" w:line="67"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shd w:val="clear" w:color="auto" w:fill="E5E7EF"/>
        </w:rPr>
        <w:t>All Audit Committee members are independent within the meaning of the NYSE listing standards, applicable SEC regulations and our Governance Guidelines and each has accounting and related financial management expertise sufficient to be considered financially literate within the meaning of the NYSE listing standards. The Board has determined that Messrs. Burritt and Falk and Mss. Gordon and Reed-Klages are qualified audit committee financial experts within the meaning of applicable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2168525" cy="2228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6852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tabs>
          <w:tab w:leader="none" w:pos="5460" w:val="left"/>
        </w:tabs>
        <w:rPr>
          <w:sz w:val="20"/>
          <w:szCs w:val="20"/>
          <w:color w:val="auto"/>
        </w:rPr>
      </w:pPr>
      <w:r>
        <w:rPr>
          <w:rFonts w:ascii="Arial" w:cs="Arial" w:eastAsia="Arial" w:hAnsi="Arial"/>
          <w:sz w:val="20"/>
          <w:szCs w:val="20"/>
          <w:color w:val="002E6D"/>
        </w:rPr>
        <w:t>2020 Focus Areas</w:t>
      </w:r>
      <w:r>
        <w:rPr>
          <w:sz w:val="20"/>
          <w:szCs w:val="20"/>
          <w:color w:val="auto"/>
        </w:rPr>
        <w:tab/>
      </w:r>
      <w:r>
        <w:rPr>
          <w:rFonts w:ascii="Arial" w:cs="Arial" w:eastAsia="Arial" w:hAnsi="Arial"/>
          <w:sz w:val="19"/>
          <w:szCs w:val="19"/>
          <w:color w:val="002E6D"/>
        </w:rPr>
        <w:t>Meetings in 2020: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87630</wp:posOffset>
            </wp:positionV>
            <wp:extent cx="48260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274" w:lineRule="exact"/>
        <w:rPr>
          <w:sz w:val="20"/>
          <w:szCs w:val="20"/>
          <w:color w:val="auto"/>
        </w:rPr>
      </w:pPr>
    </w:p>
    <w:p>
      <w:pPr>
        <w:ind w:left="240" w:right="1960" w:hanging="162"/>
        <w:spacing w:after="0" w:line="276" w:lineRule="auto"/>
        <w:tabs>
          <w:tab w:leader="none" w:pos="205" w:val="left"/>
        </w:tabs>
        <w:numPr>
          <w:ilvl w:val="0"/>
          <w:numId w:val="36"/>
        </w:numPr>
        <w:rPr>
          <w:rFonts w:ascii="Arial" w:cs="Arial" w:eastAsia="Arial" w:hAnsi="Arial"/>
          <w:sz w:val="17"/>
          <w:szCs w:val="17"/>
          <w:color w:val="002E6D"/>
        </w:rPr>
      </w:pPr>
      <w:r>
        <w:rPr>
          <w:rFonts w:ascii="Arial" w:cs="Arial" w:eastAsia="Arial" w:hAnsi="Arial"/>
          <w:sz w:val="17"/>
          <w:szCs w:val="17"/>
          <w:color w:val="auto"/>
        </w:rPr>
        <w:t>Monitoring and Assessing Potential Accounting and Financial Reporting Impacts from COVID-19</w:t>
      </w:r>
    </w:p>
    <w:p>
      <w:pPr>
        <w:spacing w:after="0" w:line="90" w:lineRule="exact"/>
        <w:rPr>
          <w:rFonts w:ascii="Arial" w:cs="Arial" w:eastAsia="Arial" w:hAnsi="Arial"/>
          <w:sz w:val="17"/>
          <w:szCs w:val="17"/>
          <w:color w:val="002E6D"/>
        </w:rPr>
      </w:pPr>
    </w:p>
    <w:p>
      <w:pPr>
        <w:ind w:left="200" w:hanging="122"/>
        <w:spacing w:after="0"/>
        <w:tabs>
          <w:tab w:leader="none" w:pos="200" w:val="left"/>
        </w:tabs>
        <w:numPr>
          <w:ilvl w:val="0"/>
          <w:numId w:val="36"/>
        </w:numPr>
        <w:rPr>
          <w:rFonts w:ascii="Arial" w:cs="Arial" w:eastAsia="Arial" w:hAnsi="Arial"/>
          <w:sz w:val="17"/>
          <w:szCs w:val="17"/>
          <w:color w:val="002E6D"/>
        </w:rPr>
      </w:pPr>
      <w:r>
        <w:rPr>
          <w:rFonts w:ascii="Arial" w:cs="Arial" w:eastAsia="Arial" w:hAnsi="Arial"/>
          <w:sz w:val="17"/>
          <w:szCs w:val="17"/>
          <w:color w:val="auto"/>
        </w:rPr>
        <w:t>Enterprise Risk Management and 2020 Audit Plan</w:t>
      </w:r>
    </w:p>
    <w:p>
      <w:pPr>
        <w:spacing w:after="0" w:line="128" w:lineRule="exact"/>
        <w:rPr>
          <w:rFonts w:ascii="Arial" w:cs="Arial" w:eastAsia="Arial" w:hAnsi="Arial"/>
          <w:sz w:val="17"/>
          <w:szCs w:val="17"/>
          <w:color w:val="002E6D"/>
        </w:rPr>
      </w:pPr>
    </w:p>
    <w:p>
      <w:pPr>
        <w:ind w:left="200" w:hanging="122"/>
        <w:spacing w:after="0"/>
        <w:tabs>
          <w:tab w:leader="none" w:pos="200" w:val="left"/>
        </w:tabs>
        <w:numPr>
          <w:ilvl w:val="0"/>
          <w:numId w:val="36"/>
        </w:numPr>
        <w:rPr>
          <w:rFonts w:ascii="Arial" w:cs="Arial" w:eastAsia="Arial" w:hAnsi="Arial"/>
          <w:sz w:val="17"/>
          <w:szCs w:val="17"/>
          <w:color w:val="002E6D"/>
        </w:rPr>
      </w:pPr>
      <w:r>
        <w:rPr>
          <w:rFonts w:ascii="Arial" w:cs="Arial" w:eastAsia="Arial" w:hAnsi="Arial"/>
          <w:sz w:val="17"/>
          <w:szCs w:val="17"/>
          <w:color w:val="auto"/>
        </w:rPr>
        <w:t>Oversight of 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93980</wp:posOffset>
            </wp:positionV>
            <wp:extent cx="48260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002E6D"/>
        </w:rPr>
        <w:t>Roles and Responsibilities of the Committee</w:t>
      </w:r>
    </w:p>
    <w:p>
      <w:pPr>
        <w:spacing w:after="0" w:line="13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Audit Committee assists the Board in fulfilling its oversight responsibilities relating to the financial condition of the Corporation, the integrity of the financial statements and compliance with legal and regulatory requirements. The Audit Committee has oversight of the Corporation’s internal audit plan and reviews risks and opportunities to management's long-term strategy as identified by the Corporation's enterprise risk management processes. It is directly responsible for the appointment, compensation, retention, oversight and termination of the Corporation's independent auditors, Ernst &amp; Young LLP (Ernst &amp; Young). The Audit Committee also reviews the allocation of resources, the Corporation’s financial condition and capital structure and policies regarding derivatives. The Audit Committee meets privately with management, the Senior Vice President, Ethics and Enterprise Assurance, and Ernst &amp; Young. The functions of the Audit Committee are further described in the “Audit Committee Report” on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736600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3240" w:space="420"/>
            <w:col w:w="7580"/>
          </w:cols>
          <w:pgMar w:left="320" w:top="6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21</w:t>
      </w:r>
    </w:p>
    <w:p>
      <w:pPr>
        <w:sectPr>
          <w:pgSz w:w="11900" w:h="16838" w:orient="portrait"/>
          <w:cols w:equalWidth="0" w:num="1">
            <w:col w:w="11240"/>
          </w:cols>
          <w:pgMar w:left="320" w:top="60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color w:val="475C90"/>
        </w:rPr>
        <w:t>Classified Business and 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2768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768600"/>
                    </a:xfrm>
                    <a:prstGeom prst="rect">
                      <a:avLst/>
                    </a:prstGeom>
                    <a:noFill/>
                  </pic:spPr>
                </pic:pic>
              </a:graphicData>
            </a:graphic>
          </wp:anchor>
        </w:drawing>
      </w:r>
    </w:p>
    <w:p>
      <w:pPr>
        <w:sectPr>
          <w:pgSz w:w="11900" w:h="16838" w:orient="portrait"/>
          <w:cols w:equalWidth="0" w:num="1">
            <w:col w:w="11180"/>
          </w:cols>
          <w:pgMar w:left="320" w:top="609" w:right="3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color w:val="002E6D"/>
        </w:rPr>
        <w:t>Members</w:t>
      </w:r>
      <w:r>
        <w:rPr>
          <w:rFonts w:ascii="Arial" w:cs="Arial" w:eastAsia="Arial" w:hAnsi="Arial"/>
          <w:sz w:val="25"/>
          <w:szCs w:val="25"/>
          <w:color w:val="002E6D"/>
          <w:vertAlign w:val="superscript"/>
        </w:rPr>
        <w:t>1</w:t>
      </w:r>
      <w:r>
        <w:rPr>
          <w:rFonts w:ascii="Arial" w:cs="Arial" w:eastAsia="Arial" w:hAnsi="Arial"/>
          <w:sz w:val="20"/>
          <w:szCs w:val="20"/>
          <w:color w:val="002E6D"/>
        </w:rPr>
        <w:t>:</w:t>
      </w:r>
    </w:p>
    <w:p>
      <w:pPr>
        <w:spacing w:after="0" w:line="1" w:lineRule="exact"/>
        <w:rPr>
          <w:sz w:val="20"/>
          <w:szCs w:val="20"/>
          <w:color w:val="auto"/>
        </w:rPr>
      </w:pPr>
    </w:p>
    <w:p>
      <w:pPr>
        <w:ind w:left="160" w:right="1020"/>
        <w:spacing w:after="0" w:line="288" w:lineRule="auto"/>
        <w:rPr>
          <w:sz w:val="20"/>
          <w:szCs w:val="20"/>
          <w:color w:val="auto"/>
        </w:rPr>
      </w:pPr>
      <w:r>
        <w:rPr>
          <w:rFonts w:ascii="Arial" w:cs="Arial" w:eastAsia="Arial" w:hAnsi="Arial"/>
          <w:sz w:val="20"/>
          <w:szCs w:val="20"/>
          <w:color w:val="002E6D"/>
        </w:rPr>
        <w:t>James O. Ellis, Jr., Chair Bruce A. Carlson Joseph F. Dunford, Jr. Jeh C. Johnson</w:t>
      </w:r>
    </w:p>
    <w:p>
      <w:pPr>
        <w:spacing w:after="0" w:line="190" w:lineRule="exact"/>
        <w:rPr>
          <w:sz w:val="20"/>
          <w:szCs w:val="20"/>
          <w:color w:val="auto"/>
        </w:rPr>
      </w:pPr>
    </w:p>
    <w:p>
      <w:pPr>
        <w:ind w:left="160" w:right="180"/>
        <w:spacing w:after="0" w:line="268" w:lineRule="auto"/>
        <w:rPr>
          <w:sz w:val="20"/>
          <w:szCs w:val="20"/>
          <w:color w:val="auto"/>
        </w:rPr>
      </w:pPr>
      <w:r>
        <w:rPr>
          <w:rFonts w:ascii="Arial" w:cs="Arial" w:eastAsia="Arial" w:hAnsi="Arial"/>
          <w:sz w:val="17"/>
          <w:szCs w:val="17"/>
          <w:color w:val="002E6D"/>
        </w:rPr>
        <w:t>All members of the CBS Committee are independent within the meaning of the NYSE listing standards and our Governance Guidelines and hold high-level security clearances.</w:t>
      </w:r>
    </w:p>
    <w:p>
      <w:pPr>
        <w:spacing w:after="0" w:line="200" w:lineRule="exact"/>
        <w:rPr>
          <w:sz w:val="20"/>
          <w:szCs w:val="20"/>
          <w:color w:val="auto"/>
        </w:rPr>
      </w:pPr>
    </w:p>
    <w:p>
      <w:pPr>
        <w:spacing w:after="0" w:line="364" w:lineRule="exact"/>
        <w:rPr>
          <w:sz w:val="20"/>
          <w:szCs w:val="20"/>
          <w:color w:val="auto"/>
        </w:rPr>
      </w:pPr>
    </w:p>
    <w:p>
      <w:pPr>
        <w:ind w:left="400" w:hanging="158"/>
        <w:spacing w:after="0" w:line="236" w:lineRule="auto"/>
        <w:tabs>
          <w:tab w:leader="none" w:pos="404" w:val="left"/>
        </w:tabs>
        <w:numPr>
          <w:ilvl w:val="0"/>
          <w:numId w:val="37"/>
        </w:numPr>
        <w:rPr>
          <w:rFonts w:ascii="Arial" w:cs="Arial" w:eastAsia="Arial" w:hAnsi="Arial"/>
          <w:sz w:val="21"/>
          <w:szCs w:val="21"/>
          <w:color w:val="002E6D"/>
          <w:vertAlign w:val="superscript"/>
        </w:rPr>
      </w:pPr>
      <w:r>
        <w:rPr>
          <w:rFonts w:ascii="Arial" w:cs="Arial" w:eastAsia="Arial" w:hAnsi="Arial"/>
          <w:sz w:val="16"/>
          <w:szCs w:val="16"/>
          <w:color w:val="002E6D"/>
        </w:rPr>
        <w:t>Mr. Taiclet served on the Committee until March 2020; and Mr. Dunford joined in February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tabs>
          <w:tab w:leader="none" w:pos="5460" w:val="left"/>
        </w:tabs>
        <w:rPr>
          <w:sz w:val="20"/>
          <w:szCs w:val="20"/>
          <w:color w:val="auto"/>
        </w:rPr>
      </w:pPr>
      <w:r>
        <w:rPr>
          <w:rFonts w:ascii="Arial" w:cs="Arial" w:eastAsia="Arial" w:hAnsi="Arial"/>
          <w:sz w:val="20"/>
          <w:szCs w:val="20"/>
          <w:color w:val="002E6D"/>
        </w:rPr>
        <w:t>2020 Focus Areas</w:t>
      </w:r>
      <w:r>
        <w:rPr>
          <w:sz w:val="20"/>
          <w:szCs w:val="20"/>
          <w:color w:val="auto"/>
        </w:rPr>
        <w:tab/>
      </w:r>
      <w:r>
        <w:rPr>
          <w:rFonts w:ascii="Arial" w:cs="Arial" w:eastAsia="Arial" w:hAnsi="Arial"/>
          <w:sz w:val="19"/>
          <w:szCs w:val="19"/>
          <w:color w:val="002E6D"/>
        </w:rPr>
        <w:t>Meetings in 2020: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87630</wp:posOffset>
            </wp:positionV>
            <wp:extent cx="48260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74" w:lineRule="exact"/>
        <w:rPr>
          <w:sz w:val="20"/>
          <w:szCs w:val="20"/>
          <w:color w:val="auto"/>
        </w:rPr>
      </w:pPr>
    </w:p>
    <w:p>
      <w:pPr>
        <w:ind w:left="200" w:hanging="122"/>
        <w:spacing w:after="0"/>
        <w:tabs>
          <w:tab w:leader="none" w:pos="200" w:val="left"/>
        </w:tabs>
        <w:numPr>
          <w:ilvl w:val="0"/>
          <w:numId w:val="38"/>
        </w:numPr>
        <w:rPr>
          <w:rFonts w:ascii="Arial" w:cs="Arial" w:eastAsia="Arial" w:hAnsi="Arial"/>
          <w:sz w:val="17"/>
          <w:szCs w:val="17"/>
          <w:color w:val="002E6D"/>
        </w:rPr>
      </w:pPr>
      <w:r>
        <w:rPr>
          <w:rFonts w:ascii="Arial" w:cs="Arial" w:eastAsia="Arial" w:hAnsi="Arial"/>
          <w:sz w:val="17"/>
          <w:szCs w:val="17"/>
          <w:color w:val="auto"/>
        </w:rPr>
        <w:t>Supply Chain Cybersecurity Risk Mitigation and Technical Solutions</w:t>
      </w:r>
    </w:p>
    <w:p>
      <w:pPr>
        <w:spacing w:after="0" w:line="128" w:lineRule="exact"/>
        <w:rPr>
          <w:rFonts w:ascii="Arial" w:cs="Arial" w:eastAsia="Arial" w:hAnsi="Arial"/>
          <w:sz w:val="17"/>
          <w:szCs w:val="17"/>
          <w:color w:val="002E6D"/>
        </w:rPr>
      </w:pPr>
    </w:p>
    <w:p>
      <w:pPr>
        <w:ind w:left="200" w:hanging="122"/>
        <w:spacing w:after="0"/>
        <w:tabs>
          <w:tab w:leader="none" w:pos="200" w:val="left"/>
        </w:tabs>
        <w:numPr>
          <w:ilvl w:val="0"/>
          <w:numId w:val="38"/>
        </w:numPr>
        <w:rPr>
          <w:rFonts w:ascii="Arial" w:cs="Arial" w:eastAsia="Arial" w:hAnsi="Arial"/>
          <w:sz w:val="17"/>
          <w:szCs w:val="17"/>
          <w:color w:val="002E6D"/>
        </w:rPr>
      </w:pPr>
      <w:r>
        <w:rPr>
          <w:rFonts w:ascii="Arial" w:cs="Arial" w:eastAsia="Arial" w:hAnsi="Arial"/>
          <w:sz w:val="17"/>
          <w:szCs w:val="17"/>
          <w:color w:val="auto"/>
        </w:rPr>
        <w:t>Oversight of Risks Related to Classified Programs</w:t>
      </w:r>
    </w:p>
    <w:p>
      <w:pPr>
        <w:spacing w:after="0" w:line="128" w:lineRule="exact"/>
        <w:rPr>
          <w:rFonts w:ascii="Arial" w:cs="Arial" w:eastAsia="Arial" w:hAnsi="Arial"/>
          <w:sz w:val="17"/>
          <w:szCs w:val="17"/>
          <w:color w:val="002E6D"/>
        </w:rPr>
      </w:pPr>
    </w:p>
    <w:p>
      <w:pPr>
        <w:ind w:left="200" w:hanging="122"/>
        <w:spacing w:after="0"/>
        <w:tabs>
          <w:tab w:leader="none" w:pos="200" w:val="left"/>
        </w:tabs>
        <w:numPr>
          <w:ilvl w:val="0"/>
          <w:numId w:val="38"/>
        </w:numPr>
        <w:rPr>
          <w:rFonts w:ascii="Arial" w:cs="Arial" w:eastAsia="Arial" w:hAnsi="Arial"/>
          <w:sz w:val="17"/>
          <w:szCs w:val="17"/>
          <w:color w:val="002E6D"/>
        </w:rPr>
      </w:pPr>
      <w:r>
        <w:rPr>
          <w:rFonts w:ascii="Arial" w:cs="Arial" w:eastAsia="Arial" w:hAnsi="Arial"/>
          <w:sz w:val="17"/>
          <w:szCs w:val="17"/>
          <w:color w:val="auto"/>
        </w:rPr>
        <w:t>Security of Personnel, Facilities and Data (including classified cybersecurity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25400</wp:posOffset>
            </wp:positionV>
            <wp:extent cx="48260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002E6D"/>
        </w:rPr>
        <w:t>Roles and Responsibilities of the Committee</w:t>
      </w:r>
    </w:p>
    <w:p>
      <w:pPr>
        <w:spacing w:after="0" w:line="11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CBS Committee assists the Board in fulfilling its oversight responsibilities relating to the Corporation’s classified business activities and the security of personnel, facilities and data (including classified cybersecurity matters). The CBS Committee consists of directors who possess the appropriate security clearance credentials, at least one of whom must be a member of the Audit Committee, none of whom are officers or employees of the Corporation and all of whom are free from any relationship that, in the opinion of the Board, would interfere with the exercise of independent judgment as a member of the CBS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323215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7" w:lineRule="exact"/>
        <w:rPr>
          <w:sz w:val="20"/>
          <w:szCs w:val="20"/>
          <w:color w:val="auto"/>
        </w:rPr>
      </w:pPr>
    </w:p>
    <w:p>
      <w:pPr>
        <w:sectPr>
          <w:pgSz w:w="11900" w:h="16838" w:orient="portrait"/>
          <w:cols w:equalWidth="0" w:num="2">
            <w:col w:w="3340" w:space="320"/>
            <w:col w:w="7520"/>
          </w:cols>
          <w:pgMar w:left="320" w:top="609" w:right="39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color w:val="475C90"/>
        </w:rPr>
        <w:t>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35229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522980"/>
                    </a:xfrm>
                    <a:prstGeom prst="rect">
                      <a:avLst/>
                    </a:prstGeom>
                    <a:noFill/>
                  </pic:spPr>
                </pic:pic>
              </a:graphicData>
            </a:graphic>
          </wp:anchor>
        </w:drawing>
      </w:r>
    </w:p>
    <w:p>
      <w:pPr>
        <w:sectPr>
          <w:pgSz w:w="11900" w:h="16838" w:orient="portrait"/>
          <w:cols w:equalWidth="0" w:num="1">
            <w:col w:w="11180"/>
          </w:cols>
          <w:pgMar w:left="320" w:top="609" w:right="39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002E6D"/>
        </w:rPr>
        <w:t>Members</w:t>
      </w:r>
      <w:r>
        <w:rPr>
          <w:rFonts w:ascii="Arial" w:cs="Arial" w:eastAsia="Arial" w:hAnsi="Arial"/>
          <w:sz w:val="25"/>
          <w:szCs w:val="25"/>
          <w:color w:val="002E6D"/>
          <w:vertAlign w:val="superscript"/>
        </w:rPr>
        <w:t>1</w:t>
      </w:r>
      <w:r>
        <w:rPr>
          <w:rFonts w:ascii="Arial" w:cs="Arial" w:eastAsia="Arial" w:hAnsi="Arial"/>
          <w:sz w:val="20"/>
          <w:szCs w:val="20"/>
          <w:color w:val="002E6D"/>
        </w:rPr>
        <w: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002E6D"/>
        </w:rPr>
        <w:t>Ilene S. Gordon, Chair</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20"/>
          <w:szCs w:val="20"/>
          <w:color w:val="002E6D"/>
        </w:rPr>
        <w:t>Thomas J. Falk</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20"/>
          <w:szCs w:val="20"/>
          <w:color w:val="002E6D"/>
        </w:rPr>
        <w:t>Vicki A. Hollub</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20"/>
          <w:szCs w:val="20"/>
          <w:color w:val="002E6D"/>
        </w:rPr>
        <w:t>Debra L. Reed-Klages</w:t>
      </w:r>
    </w:p>
    <w:p>
      <w:pPr>
        <w:spacing w:after="0" w:line="388" w:lineRule="exact"/>
        <w:rPr>
          <w:sz w:val="20"/>
          <w:szCs w:val="20"/>
          <w:color w:val="auto"/>
        </w:rPr>
      </w:pPr>
    </w:p>
    <w:p>
      <w:pPr>
        <w:ind w:left="160" w:right="200"/>
        <w:spacing w:after="0" w:line="268" w:lineRule="auto"/>
        <w:rPr>
          <w:sz w:val="20"/>
          <w:szCs w:val="20"/>
          <w:color w:val="auto"/>
        </w:rPr>
      </w:pPr>
      <w:r>
        <w:rPr>
          <w:rFonts w:ascii="Arial" w:cs="Arial" w:eastAsia="Arial" w:hAnsi="Arial"/>
          <w:sz w:val="17"/>
          <w:szCs w:val="17"/>
          <w:color w:val="002E6D"/>
        </w:rPr>
        <w:t>All members of the Compensation Committee are independent within the meaning of the NYSE listing standards, applicable SEC regulations and our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 w:hanging="158"/>
        <w:spacing w:after="0" w:line="224" w:lineRule="auto"/>
        <w:tabs>
          <w:tab w:leader="none" w:pos="404" w:val="left"/>
        </w:tabs>
        <w:numPr>
          <w:ilvl w:val="0"/>
          <w:numId w:val="39"/>
        </w:numPr>
        <w:rPr>
          <w:rFonts w:ascii="Arial" w:cs="Arial" w:eastAsia="Arial" w:hAnsi="Arial"/>
          <w:sz w:val="21"/>
          <w:szCs w:val="21"/>
          <w:color w:val="002E6D"/>
          <w:vertAlign w:val="superscript"/>
        </w:rPr>
      </w:pPr>
      <w:r>
        <w:rPr>
          <w:rFonts w:ascii="Arial" w:cs="Arial" w:eastAsia="Arial" w:hAnsi="Arial"/>
          <w:sz w:val="16"/>
          <w:szCs w:val="16"/>
          <w:color w:val="002E6D"/>
        </w:rPr>
        <w:t>Mr. Taiclet served on the Committee until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998220</wp:posOffset>
            </wp:positionV>
            <wp:extent cx="969010" cy="2228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tabs>
          <w:tab w:leader="none" w:pos="5460" w:val="left"/>
        </w:tabs>
        <w:rPr>
          <w:sz w:val="20"/>
          <w:szCs w:val="20"/>
          <w:color w:val="auto"/>
        </w:rPr>
      </w:pPr>
      <w:r>
        <w:rPr>
          <w:rFonts w:ascii="Arial" w:cs="Arial" w:eastAsia="Arial" w:hAnsi="Arial"/>
          <w:sz w:val="20"/>
          <w:szCs w:val="20"/>
          <w:color w:val="002E6D"/>
        </w:rPr>
        <w:t>2020 Focus Areas</w:t>
      </w:r>
      <w:r>
        <w:rPr>
          <w:sz w:val="20"/>
          <w:szCs w:val="20"/>
          <w:color w:val="auto"/>
        </w:rPr>
        <w:tab/>
      </w:r>
      <w:r>
        <w:rPr>
          <w:rFonts w:ascii="Arial" w:cs="Arial" w:eastAsia="Arial" w:hAnsi="Arial"/>
          <w:sz w:val="19"/>
          <w:szCs w:val="19"/>
          <w:color w:val="002E6D"/>
        </w:rPr>
        <w:t>Meetings in 2020: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87630</wp:posOffset>
            </wp:positionV>
            <wp:extent cx="48260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74" w:lineRule="exact"/>
        <w:rPr>
          <w:sz w:val="20"/>
          <w:szCs w:val="20"/>
          <w:color w:val="auto"/>
        </w:rPr>
      </w:pPr>
    </w:p>
    <w:p>
      <w:pPr>
        <w:ind w:left="200" w:hanging="122"/>
        <w:spacing w:after="0"/>
        <w:tabs>
          <w:tab w:leader="none" w:pos="200" w:val="left"/>
        </w:tabs>
        <w:numPr>
          <w:ilvl w:val="0"/>
          <w:numId w:val="40"/>
        </w:numPr>
        <w:rPr>
          <w:rFonts w:ascii="Arial" w:cs="Arial" w:eastAsia="Arial" w:hAnsi="Arial"/>
          <w:sz w:val="17"/>
          <w:szCs w:val="17"/>
          <w:color w:val="002E6D"/>
        </w:rPr>
      </w:pPr>
      <w:r>
        <w:rPr>
          <w:rFonts w:ascii="Arial" w:cs="Arial" w:eastAsia="Arial" w:hAnsi="Arial"/>
          <w:sz w:val="17"/>
          <w:szCs w:val="17"/>
          <w:color w:val="auto"/>
        </w:rPr>
        <w:t>CEO Transition and Other Leadership Changes</w:t>
      </w:r>
    </w:p>
    <w:p>
      <w:pPr>
        <w:spacing w:after="0" w:line="128" w:lineRule="exact"/>
        <w:rPr>
          <w:rFonts w:ascii="Arial" w:cs="Arial" w:eastAsia="Arial" w:hAnsi="Arial"/>
          <w:sz w:val="17"/>
          <w:szCs w:val="17"/>
          <w:color w:val="002E6D"/>
        </w:rPr>
      </w:pPr>
    </w:p>
    <w:p>
      <w:pPr>
        <w:ind w:left="200" w:hanging="122"/>
        <w:spacing w:after="0"/>
        <w:tabs>
          <w:tab w:leader="none" w:pos="200" w:val="left"/>
        </w:tabs>
        <w:numPr>
          <w:ilvl w:val="0"/>
          <w:numId w:val="40"/>
        </w:numPr>
        <w:rPr>
          <w:rFonts w:ascii="Arial" w:cs="Arial" w:eastAsia="Arial" w:hAnsi="Arial"/>
          <w:sz w:val="17"/>
          <w:szCs w:val="17"/>
          <w:color w:val="002E6D"/>
        </w:rPr>
      </w:pPr>
      <w:r>
        <w:rPr>
          <w:rFonts w:ascii="Arial" w:cs="Arial" w:eastAsia="Arial" w:hAnsi="Arial"/>
          <w:sz w:val="17"/>
          <w:szCs w:val="17"/>
          <w:color w:val="auto"/>
        </w:rPr>
        <w:t>Talent Management and Succession Planning</w:t>
      </w:r>
    </w:p>
    <w:p>
      <w:pPr>
        <w:spacing w:after="0" w:line="128" w:lineRule="exact"/>
        <w:rPr>
          <w:rFonts w:ascii="Arial" w:cs="Arial" w:eastAsia="Arial" w:hAnsi="Arial"/>
          <w:sz w:val="17"/>
          <w:szCs w:val="17"/>
          <w:color w:val="002E6D"/>
        </w:rPr>
      </w:pPr>
    </w:p>
    <w:p>
      <w:pPr>
        <w:ind w:left="200" w:hanging="122"/>
        <w:spacing w:after="0"/>
        <w:tabs>
          <w:tab w:leader="none" w:pos="200" w:val="left"/>
        </w:tabs>
        <w:numPr>
          <w:ilvl w:val="0"/>
          <w:numId w:val="40"/>
        </w:numPr>
        <w:rPr>
          <w:rFonts w:ascii="Arial" w:cs="Arial" w:eastAsia="Arial" w:hAnsi="Arial"/>
          <w:sz w:val="17"/>
          <w:szCs w:val="17"/>
          <w:color w:val="002E6D"/>
        </w:rPr>
      </w:pPr>
      <w:r>
        <w:rPr>
          <w:rFonts w:ascii="Arial" w:cs="Arial" w:eastAsia="Arial" w:hAnsi="Arial"/>
          <w:sz w:val="17"/>
          <w:szCs w:val="17"/>
          <w:color w:val="auto"/>
        </w:rPr>
        <w:t>Human Capital Governance and Workforce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93980</wp:posOffset>
            </wp:positionV>
            <wp:extent cx="48260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002E6D"/>
        </w:rPr>
        <w:t>Roles and Responsibilities of the Committee</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Compensation Committee reviews and approves the corporate goals and objectives relevant to the compensation of the CEO and other elected officers, evaluates the performance of the CEO and, either as a committee or together with the other independent members of the Board, determines and approves the compensation philosophy and levels for the CEO and other executive officers. The Compensation Committee does not delegate its responsibilities with respect to compensation that is specific to the executive officers. For other employees and for broad-based compensation plans, the Compensation Committee may delegate authority to the CEO or the Senior Vice President, Human Resources, subject to certain annual limits.</w:t>
      </w:r>
    </w:p>
    <w:p>
      <w:pPr>
        <w:spacing w:after="0" w:line="103"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Additional information regarding the role of the Compensation Committee and our compensation practices and procedures is provided under the captions “Compensation Committee Report” on page 39, “Compensation Discussion and Analysis (CD&amp;A)” beginning on page 40 and “Other Compensation Matters” on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281305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320"/>
            <w:col w:w="7520"/>
          </w:cols>
          <w:pgMar w:left="320" w:top="60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22</w:t>
      </w:r>
    </w:p>
    <w:p>
      <w:pPr>
        <w:sectPr>
          <w:pgSz w:w="11900" w:h="16838" w:orient="portrait"/>
          <w:cols w:equalWidth="0" w:num="1">
            <w:col w:w="11180"/>
          </w:cols>
          <w:pgMar w:left="320" w:top="609" w:right="39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color w:val="475C90"/>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36772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67728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002E6D"/>
          <w:shd w:val="clear" w:color="auto" w:fill="E5E7EF"/>
        </w:rPr>
        <w:t>Members</w:t>
      </w:r>
      <w:r>
        <w:rPr>
          <w:rFonts w:ascii="Arial" w:cs="Arial" w:eastAsia="Arial" w:hAnsi="Arial"/>
          <w:sz w:val="25"/>
          <w:szCs w:val="25"/>
          <w:color w:val="002E6D"/>
          <w:vertAlign w:val="superscript"/>
          <w:shd w:val="clear" w:color="auto" w:fill="E5E7EF"/>
        </w:rPr>
        <w:t>1</w:t>
      </w:r>
      <w:r>
        <w:rPr>
          <w:rFonts w:ascii="Arial" w:cs="Arial" w:eastAsia="Arial" w:hAnsi="Arial"/>
          <w:sz w:val="20"/>
          <w:szCs w:val="20"/>
          <w:color w:val="002E6D"/>
          <w:shd w:val="clear" w:color="auto" w:fill="E5E7EF"/>
        </w:rPr>
        <w:t>:</w:t>
      </w:r>
    </w:p>
    <w:p>
      <w:pPr>
        <w:spacing w:after="0" w:line="1" w:lineRule="exact"/>
        <w:rPr>
          <w:sz w:val="20"/>
          <w:szCs w:val="20"/>
          <w:color w:val="auto"/>
        </w:rPr>
      </w:pPr>
    </w:p>
    <w:p>
      <w:pPr>
        <w:ind w:left="160" w:right="840"/>
        <w:spacing w:after="0" w:line="286" w:lineRule="auto"/>
        <w:rPr>
          <w:sz w:val="20"/>
          <w:szCs w:val="20"/>
          <w:color w:val="auto"/>
        </w:rPr>
      </w:pPr>
      <w:r>
        <w:rPr>
          <w:rFonts w:ascii="Arial" w:cs="Arial" w:eastAsia="Arial" w:hAnsi="Arial"/>
          <w:sz w:val="20"/>
          <w:szCs w:val="20"/>
          <w:color w:val="002E6D"/>
          <w:shd w:val="clear" w:color="auto" w:fill="E5E7EF"/>
        </w:rPr>
        <w:t>Daniel F. Akerson, Chair David B. Burritt Bruce A. Carlson Joseph F. Dunford, Jr. Vicki A. Hollub Jeh C. Johnson</w:t>
      </w:r>
    </w:p>
    <w:p>
      <w:pPr>
        <w:spacing w:after="0" w:line="297"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002E6D"/>
          <w:shd w:val="clear" w:color="auto" w:fill="E5E7EF"/>
        </w:rPr>
        <w:t>All members of the Governance Committee are independent within the meaning of the NYSE listing standards, applicable SEC regulations and our Governance Guidelines.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0" w:hanging="158"/>
        <w:spacing w:after="0"/>
        <w:tabs>
          <w:tab w:leader="none" w:pos="400" w:val="left"/>
        </w:tabs>
        <w:numPr>
          <w:ilvl w:val="0"/>
          <w:numId w:val="41"/>
        </w:numPr>
        <w:rPr>
          <w:rFonts w:ascii="Arial" w:cs="Arial" w:eastAsia="Arial" w:hAnsi="Arial"/>
          <w:sz w:val="21"/>
          <w:szCs w:val="21"/>
          <w:color w:val="012E6C"/>
          <w:vertAlign w:val="superscript"/>
        </w:rPr>
      </w:pPr>
      <w:r>
        <w:rPr>
          <w:rFonts w:ascii="Arial" w:cs="Arial" w:eastAsia="Arial" w:hAnsi="Arial"/>
          <w:sz w:val="16"/>
          <w:szCs w:val="16"/>
          <w:color w:val="012E6C"/>
        </w:rPr>
        <w:t>Mr. Dunford joined in February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tabs>
          <w:tab w:leader="none" w:pos="5460" w:val="left"/>
        </w:tabs>
        <w:rPr>
          <w:sz w:val="20"/>
          <w:szCs w:val="20"/>
          <w:color w:val="auto"/>
        </w:rPr>
      </w:pPr>
      <w:r>
        <w:rPr>
          <w:rFonts w:ascii="Arial" w:cs="Arial" w:eastAsia="Arial" w:hAnsi="Arial"/>
          <w:sz w:val="20"/>
          <w:szCs w:val="20"/>
          <w:color w:val="002E6D"/>
        </w:rPr>
        <w:t>2020 Focus Areas</w:t>
      </w:r>
      <w:r>
        <w:rPr>
          <w:sz w:val="20"/>
          <w:szCs w:val="20"/>
          <w:color w:val="auto"/>
        </w:rPr>
        <w:tab/>
      </w:r>
      <w:r>
        <w:rPr>
          <w:rFonts w:ascii="Arial" w:cs="Arial" w:eastAsia="Arial" w:hAnsi="Arial"/>
          <w:sz w:val="19"/>
          <w:szCs w:val="19"/>
          <w:color w:val="002E6D"/>
        </w:rPr>
        <w:t>Meetings in 2020: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87630</wp:posOffset>
            </wp:positionV>
            <wp:extent cx="48260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274" w:lineRule="exact"/>
        <w:rPr>
          <w:sz w:val="20"/>
          <w:szCs w:val="20"/>
          <w:color w:val="auto"/>
        </w:rPr>
      </w:pPr>
    </w:p>
    <w:p>
      <w:pPr>
        <w:ind w:left="200" w:hanging="122"/>
        <w:spacing w:after="0"/>
        <w:tabs>
          <w:tab w:leader="none" w:pos="200" w:val="left"/>
        </w:tabs>
        <w:numPr>
          <w:ilvl w:val="0"/>
          <w:numId w:val="42"/>
        </w:numPr>
        <w:rPr>
          <w:rFonts w:ascii="Arial" w:cs="Arial" w:eastAsia="Arial" w:hAnsi="Arial"/>
          <w:sz w:val="17"/>
          <w:szCs w:val="17"/>
          <w:color w:val="002E6D"/>
        </w:rPr>
      </w:pPr>
      <w:r>
        <w:rPr>
          <w:rFonts w:ascii="Arial" w:cs="Arial" w:eastAsia="Arial" w:hAnsi="Arial"/>
          <w:sz w:val="17"/>
          <w:szCs w:val="17"/>
          <w:color w:val="auto"/>
        </w:rPr>
        <w:t>Oversight of Environmental, Social and Governance Matters</w:t>
      </w:r>
    </w:p>
    <w:p>
      <w:pPr>
        <w:spacing w:after="0" w:line="128" w:lineRule="exact"/>
        <w:rPr>
          <w:rFonts w:ascii="Arial" w:cs="Arial" w:eastAsia="Arial" w:hAnsi="Arial"/>
          <w:sz w:val="17"/>
          <w:szCs w:val="17"/>
          <w:color w:val="002E6D"/>
        </w:rPr>
      </w:pPr>
    </w:p>
    <w:p>
      <w:pPr>
        <w:ind w:left="240" w:right="100" w:hanging="162"/>
        <w:spacing w:after="0" w:line="276" w:lineRule="auto"/>
        <w:tabs>
          <w:tab w:leader="none" w:pos="205" w:val="left"/>
        </w:tabs>
        <w:numPr>
          <w:ilvl w:val="0"/>
          <w:numId w:val="42"/>
        </w:numPr>
        <w:rPr>
          <w:rFonts w:ascii="Arial" w:cs="Arial" w:eastAsia="Arial" w:hAnsi="Arial"/>
          <w:sz w:val="17"/>
          <w:szCs w:val="17"/>
          <w:color w:val="002E6D"/>
        </w:rPr>
      </w:pPr>
      <w:r>
        <w:rPr>
          <w:rFonts w:ascii="Arial" w:cs="Arial" w:eastAsia="Arial" w:hAnsi="Arial"/>
          <w:sz w:val="17"/>
          <w:szCs w:val="17"/>
          <w:color w:val="auto"/>
        </w:rPr>
        <w:t>COVID-19 Efforts Related to Crisis Management, Business Continuity and Employee Safety and Health</w:t>
      </w:r>
    </w:p>
    <w:p>
      <w:pPr>
        <w:spacing w:after="0" w:line="90" w:lineRule="exact"/>
        <w:rPr>
          <w:rFonts w:ascii="Arial" w:cs="Arial" w:eastAsia="Arial" w:hAnsi="Arial"/>
          <w:sz w:val="17"/>
          <w:szCs w:val="17"/>
          <w:color w:val="002E6D"/>
        </w:rPr>
      </w:pPr>
    </w:p>
    <w:p>
      <w:pPr>
        <w:ind w:left="200" w:hanging="122"/>
        <w:spacing w:after="0"/>
        <w:tabs>
          <w:tab w:leader="none" w:pos="200" w:val="left"/>
        </w:tabs>
        <w:numPr>
          <w:ilvl w:val="0"/>
          <w:numId w:val="42"/>
        </w:numPr>
        <w:rPr>
          <w:rFonts w:ascii="Arial" w:cs="Arial" w:eastAsia="Arial" w:hAnsi="Arial"/>
          <w:sz w:val="17"/>
          <w:szCs w:val="17"/>
          <w:color w:val="002E6D"/>
        </w:rPr>
      </w:pPr>
      <w:r>
        <w:rPr>
          <w:rFonts w:ascii="Arial" w:cs="Arial" w:eastAsia="Arial" w:hAnsi="Arial"/>
          <w:sz w:val="17"/>
          <w:szCs w:val="17"/>
          <w:color w:val="auto"/>
        </w:rPr>
        <w:t>Revisions to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93980</wp:posOffset>
            </wp:positionV>
            <wp:extent cx="48260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002E6D"/>
        </w:rPr>
        <w:t>Roles and Responsibilities of the Committee</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The Governance Committee develops and implements policies and practices relating to corporate governance, including our Governance Guidelines. The Governance Committee assists the Board by selecting candidates to be nominated to the Board, making recommendations concerning the composition of Board committees and overseeing the annual evaluation of the Board and its committees.</w:t>
      </w:r>
    </w:p>
    <w:p>
      <w:pPr>
        <w:spacing w:after="0" w:line="9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Governance Committee reviews and recommends to the Board the compensation of directors. Our executive officers do not play a role in determining director pay other than to gather publicly available information.</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The Governance Committee assists the Board in fulfilling its oversight efforts in corporate responsibility, corporate culture, human rights, environmental stewardship, political contributions, ethical business practices, community outreach, philanthropy, diversity, inclusion and equal opportunity, sustainability, and employee safety and health. The Governance Committee monitors compliance and recommends changes to our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90805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520"/>
            <w:col w:w="7580"/>
          </w:cols>
          <w:pgMar w:left="320" w:top="609"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002E6D"/>
        </w:rPr>
        <w:t>Board Role and Responsibilities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475C90"/>
        </w:rPr>
        <w:t>Board Role in Strategic Planning</w:t>
      </w:r>
    </w:p>
    <w:p>
      <w:pPr>
        <w:spacing w:after="0" w:line="123"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Board is involved in strategic planning and review throughout the year. Every September the Board meets in a half-day session dedicated to a discussion of the Corporation’s strategy, one-year plan and three-year long-range plan. The President and CEO regularly reviews developments against the Corporation’s strategic framework at Board meetings and provides updates between regularly scheduled sessions as necessary. This schedule corresponds to management’s annual schedule for developing the long-range plan and provides the Board with the opportunity to provide input while the long-range plan is being developed and to monitor progress on the plan. In addition:</w:t>
      </w:r>
    </w:p>
    <w:p>
      <w:pPr>
        <w:spacing w:after="0" w:line="43" w:lineRule="exact"/>
        <w:rPr>
          <w:sz w:val="20"/>
          <w:szCs w:val="20"/>
          <w:color w:val="auto"/>
        </w:rPr>
      </w:pPr>
    </w:p>
    <w:p>
      <w:pPr>
        <w:ind w:left="260" w:right="420" w:hanging="171"/>
        <w:spacing w:after="0" w:line="276" w:lineRule="auto"/>
        <w:tabs>
          <w:tab w:leader="none" w:pos="225" w:val="left"/>
        </w:tabs>
        <w:numPr>
          <w:ilvl w:val="0"/>
          <w:numId w:val="43"/>
        </w:numPr>
        <w:rPr>
          <w:rFonts w:ascii="Arial" w:cs="Arial" w:eastAsia="Arial" w:hAnsi="Arial"/>
          <w:sz w:val="17"/>
          <w:szCs w:val="17"/>
          <w:color w:val="012E6C"/>
        </w:rPr>
      </w:pPr>
      <w:r>
        <w:rPr>
          <w:rFonts w:ascii="Arial" w:cs="Arial" w:eastAsia="Arial" w:hAnsi="Arial"/>
          <w:sz w:val="17"/>
          <w:szCs w:val="17"/>
          <w:color w:val="auto"/>
        </w:rPr>
        <w:t>the Board (or the appropriate committee) reviews the progress and challenges to the Corporation’s strategy and approves specific initiatives, including acquisitions and divestitures over a certain monetary threshold;</w:t>
      </w:r>
    </w:p>
    <w:p>
      <w:pPr>
        <w:spacing w:after="0" w:line="36" w:lineRule="exact"/>
        <w:rPr>
          <w:rFonts w:ascii="Arial" w:cs="Arial" w:eastAsia="Arial" w:hAnsi="Arial"/>
          <w:sz w:val="17"/>
          <w:szCs w:val="17"/>
          <w:color w:val="012E6C"/>
        </w:rPr>
      </w:pPr>
    </w:p>
    <w:p>
      <w:pPr>
        <w:ind w:left="260" w:right="60" w:hanging="171"/>
        <w:spacing w:after="0" w:line="276" w:lineRule="auto"/>
        <w:tabs>
          <w:tab w:leader="none" w:pos="225" w:val="left"/>
        </w:tabs>
        <w:numPr>
          <w:ilvl w:val="0"/>
          <w:numId w:val="43"/>
        </w:numPr>
        <w:rPr>
          <w:rFonts w:ascii="Arial" w:cs="Arial" w:eastAsia="Arial" w:hAnsi="Arial"/>
          <w:sz w:val="17"/>
          <w:szCs w:val="17"/>
          <w:color w:val="012E6C"/>
        </w:rPr>
      </w:pPr>
      <w:r>
        <w:rPr>
          <w:rFonts w:ascii="Arial" w:cs="Arial" w:eastAsia="Arial" w:hAnsi="Arial"/>
          <w:sz w:val="17"/>
          <w:szCs w:val="17"/>
          <w:color w:val="auto"/>
        </w:rPr>
        <w:t>the Board (or the appropriate committee) reviews trends identified as significant risks and topical items of strategic interest such as human capital strategy and cybersecurity on a regular basis;</w:t>
      </w:r>
    </w:p>
    <w:p>
      <w:pPr>
        <w:spacing w:after="0" w:line="36" w:lineRule="exact"/>
        <w:rPr>
          <w:rFonts w:ascii="Arial" w:cs="Arial" w:eastAsia="Arial" w:hAnsi="Arial"/>
          <w:sz w:val="17"/>
          <w:szCs w:val="17"/>
          <w:color w:val="012E6C"/>
        </w:rPr>
      </w:pPr>
    </w:p>
    <w:p>
      <w:pPr>
        <w:ind w:left="260" w:right="100" w:hanging="171"/>
        <w:spacing w:after="0" w:line="276" w:lineRule="auto"/>
        <w:tabs>
          <w:tab w:leader="none" w:pos="225" w:val="left"/>
        </w:tabs>
        <w:numPr>
          <w:ilvl w:val="0"/>
          <w:numId w:val="43"/>
        </w:numPr>
        <w:rPr>
          <w:rFonts w:ascii="Arial" w:cs="Arial" w:eastAsia="Arial" w:hAnsi="Arial"/>
          <w:sz w:val="17"/>
          <w:szCs w:val="17"/>
          <w:color w:val="012E6C"/>
        </w:rPr>
      </w:pPr>
      <w:r>
        <w:rPr>
          <w:rFonts w:ascii="Arial" w:cs="Arial" w:eastAsia="Arial" w:hAnsi="Arial"/>
          <w:sz w:val="17"/>
          <w:szCs w:val="17"/>
          <w:color w:val="auto"/>
        </w:rPr>
        <w:t>generally, at least annually, the Board meets at a Corporation facility where directors can tour the operations and engage directly with employees and experience first-hand the Corporation's culture; and</w:t>
      </w:r>
    </w:p>
    <w:p>
      <w:pPr>
        <w:spacing w:after="0" w:line="36" w:lineRule="exact"/>
        <w:rPr>
          <w:rFonts w:ascii="Arial" w:cs="Arial" w:eastAsia="Arial" w:hAnsi="Arial"/>
          <w:sz w:val="17"/>
          <w:szCs w:val="17"/>
          <w:color w:val="012E6C"/>
        </w:rPr>
      </w:pPr>
    </w:p>
    <w:p>
      <w:pPr>
        <w:ind w:left="260" w:right="700" w:hanging="171"/>
        <w:spacing w:after="0" w:line="276" w:lineRule="auto"/>
        <w:tabs>
          <w:tab w:leader="none" w:pos="225" w:val="left"/>
        </w:tabs>
        <w:numPr>
          <w:ilvl w:val="0"/>
          <w:numId w:val="43"/>
        </w:numPr>
        <w:rPr>
          <w:rFonts w:ascii="Arial" w:cs="Arial" w:eastAsia="Arial" w:hAnsi="Arial"/>
          <w:sz w:val="17"/>
          <w:szCs w:val="17"/>
          <w:color w:val="012E6C"/>
        </w:rPr>
      </w:pPr>
      <w:r>
        <w:rPr>
          <w:rFonts w:ascii="Arial" w:cs="Arial" w:eastAsia="Arial" w:hAnsi="Arial"/>
          <w:sz w:val="17"/>
          <w:szCs w:val="17"/>
          <w:color w:val="auto"/>
        </w:rPr>
        <w:t>each business segment executive vice president presents an operations review to the Board and each business segment financial officer presents a financial review to the Audit Committee on a rotating basis.</w:t>
      </w:r>
    </w:p>
    <w:p>
      <w:pPr>
        <w:spacing w:after="0" w:line="200" w:lineRule="exact"/>
        <w:rPr>
          <w:sz w:val="20"/>
          <w:szCs w:val="20"/>
          <w:color w:val="auto"/>
        </w:rPr>
      </w:pPr>
    </w:p>
    <w:p>
      <w:pPr>
        <w:spacing w:after="0" w:line="396"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23</w:t>
      </w:r>
    </w:p>
    <w:p>
      <w:pPr>
        <w:sectPr>
          <w:pgSz w:w="11900" w:h="16838" w:orient="portrait"/>
          <w:cols w:equalWidth="0" w:num="1">
            <w:col w:w="11240"/>
          </w:cols>
          <w:pgMar w:left="320" w:top="60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Enterprise Risk Management</w:t>
      </w:r>
    </w:p>
    <w:p>
      <w:pPr>
        <w:spacing w:after="0" w:line="123"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Our risk management philosophy is to balance risk and reward within the risk tolerance of management and the Board, taking into account the Corporation's operations and long-term strategy. This is accomplished through risk management practices, our core values and our Code of Conduct, each of which reinforces a risk transparent culture. The Board and its committees receive risk updates throughout the year. Executive management provides updates on risks managed at the Enterprise level. Business segment management provides updates on risks to individual business segment objectives. Additional information regarding the Board's role in enterprise risk management is provided on page 33.</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475C90"/>
        </w:rPr>
        <w:t>Cybersecurity</w:t>
      </w:r>
    </w:p>
    <w:p>
      <w:pPr>
        <w:spacing w:after="0" w:line="1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Cybersecurity is included in the Corporation’s enterprise risk management process and is overseen by the Board. The Board receives a briefing from senior leadership on cybersecurity and information security twice a year or more frequently as needed (either orally or in writing). The Classified Business and Security Committee also is briefed by senior management on the security of classified cyber data and information and the security of suppliers and the global supply chain within the Corporation’s classified business. Lockheed Martin takes a variety of precautions to protect our systems and data, including that of our customers and third parties, which includes threat detection and cybersecurity mitigation plans. Lockheed Martin provides annual training for our employees on the protection of sensitive information and on how to identify and prevent a successful “phishing” attack. We also have a corporate-wide counterintelligence and insider threat detection program to proactively identify external and internal threats and mitigate these threats in a timely manner. Lockheed Martin maintains an enterprise ISO 27001 certification which undergoes annual surveillance auditing and recertification every three years. We are prepared to obtain an independent, third party Cybersecurity Maturity Model Certification (CMMC), which is a requirement for companies doing business with the U.S. Department of Defense, as soon as the auditing bodies are available.</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475C90"/>
        </w:rPr>
        <w:t>Talent Management and Succession Planning</w:t>
      </w:r>
    </w:p>
    <w:p>
      <w:pPr>
        <w:spacing w:after="0" w:line="123"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Management has established semi-annual talent reviews. During these reviews, the executive leadership team discusses succession plans for key positions and identifies top talent for development in future leadership roles. Our Board is actively engaged in management succession planning. CEO succession planning discussions are led by the independent Lead Director and the Board members have direct access to and interaction with members of senior management and high potential future leaders as part of this succession planning. This includes informal and one-on-one settings to enable directors to personally assess potential candidates and cultivate future leaders.</w:t>
      </w:r>
    </w:p>
    <w:p>
      <w:pPr>
        <w:spacing w:after="0" w:line="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CEO Transition</w:t>
      </w:r>
      <w:r>
        <w:rPr>
          <w:rFonts w:ascii="Arial" w:cs="Arial" w:eastAsia="Arial" w:hAnsi="Arial"/>
          <w:sz w:val="17"/>
          <w:szCs w:val="17"/>
          <w:color w:val="auto"/>
        </w:rPr>
        <w:t>. In consultation with the Board, in March 2020, Ms. Hewson announced her plans to step down from the position of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CEO, subject to the approval of a successor by the Board. After a review of the possible candidates previously discussed by the Board over the past several years and taking into account the recommendation of Ms. Hewson, the Board, under the leadership of the independent Lead Director, elected James D. Taiclet to succeed Ms. Hewson as President and Chief Executive Officer of the Corporation, effective June 15, 2020. The Board also appointed Ms. Hewson to serve as Executive Chairman of the Board, effective June 15, 2020, to ensure a smooth and disciplined transition. Mr. Taiclet had been a Board member since 2018 and was an experienced chief executive, Gulf War veteran and military pilot, and the Board viewed him as the best candidate to lead the Corporation. Effective March 1, 2021, Ms. Hewson stepped down as Executive Chairman and the Board elected Mr. Taiclet Chairman, President and CEO.</w:t>
      </w:r>
    </w:p>
    <w:p>
      <w:pPr>
        <w:spacing w:after="0" w:line="7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COO Appointment</w:t>
      </w:r>
      <w:r>
        <w:rPr>
          <w:rFonts w:ascii="Arial" w:cs="Arial" w:eastAsia="Arial" w:hAnsi="Arial"/>
          <w:sz w:val="17"/>
          <w:szCs w:val="17"/>
          <w:color w:val="auto"/>
        </w:rPr>
        <w:t>. Upon the recommendation of Ms. Hewson and taking into account prior Board reviews of management talent and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in March 2020, the Board under the leadership of the independent Lead Director also elected Frank A. St. John, who was serving as Executive Vice President, Rotary and Mission Systems, as Chief Operating Officer (COO) of the Corporation and Stephanie C. Hill, who was serving as Senior Vice President, Enterprise Business Transformation, as Executive Vice President, Rotary and Mission Systems. The Board agreed that these executives had the potential to be strong and successful leaders for the Corporation. The appointments were effective on June 15, 2020.</w:t>
      </w:r>
    </w:p>
    <w:p>
      <w:pPr>
        <w:spacing w:after="0" w:line="92"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Board of Directors maintains a succession plan for the CEO and other key members of management and has a contingency plan if the CEO were to depart unexpectedly.</w:t>
      </w:r>
    </w:p>
    <w:p>
      <w:pPr>
        <w:spacing w:after="0" w:line="9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Corporation has a corporate policy imposing a mandatory retirement age of 65 for all executive officers other than the CEO. The CEO’s tenure is at the discretion of the Board, which is free to consider all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258445</wp:posOffset>
            </wp:positionV>
            <wp:extent cx="969010" cy="2228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24</w:t>
      </w:r>
    </w:p>
    <w:p>
      <w:pPr>
        <w:sectPr>
          <w:pgSz w:w="11900" w:h="16838" w:orient="portrait"/>
          <w:cols w:equalWidth="0" w:num="1">
            <w:col w:w="11240"/>
          </w:cols>
          <w:pgMar w:left="320" w:top="609"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25"/>
          <w:szCs w:val="25"/>
          <w:color w:val="475C90"/>
        </w:rPr>
        <w:t>Board Oversight of People Strategy</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2"/>
          <w:szCs w:val="22"/>
          <w:color w:val="475C90"/>
        </w:rPr>
        <w:t>Our People Strategy</w:t>
      </w:r>
    </w:p>
    <w:p>
      <w:pPr>
        <w:spacing w:after="0" w:line="98" w:lineRule="exact"/>
        <w:rPr>
          <w:sz w:val="20"/>
          <w:szCs w:val="20"/>
          <w:color w:val="auto"/>
        </w:rPr>
      </w:pPr>
    </w:p>
    <w:p>
      <w:pPr>
        <w:ind w:left="20" w:right="800"/>
        <w:spacing w:after="0" w:line="254" w:lineRule="auto"/>
        <w:rPr>
          <w:sz w:val="20"/>
          <w:szCs w:val="20"/>
          <w:color w:val="auto"/>
        </w:rPr>
      </w:pPr>
      <w:r>
        <w:rPr>
          <w:rFonts w:ascii="Arial" w:cs="Arial" w:eastAsia="Arial" w:hAnsi="Arial"/>
          <w:sz w:val="17"/>
          <w:szCs w:val="17"/>
          <w:color w:val="auto"/>
        </w:rPr>
        <w:t>Human capital is a critical business asset at Lockheed Martin. Due to the specialized nature of our business, our performance depends on identifying, attracting, developing, motivating, and retaining a highly skilled workforce in multiple areas, including: engineering, science, manufacturing, information technology, cybersecurity, business development and strategy and management.</w:t>
      </w:r>
    </w:p>
    <w:p>
      <w:pPr>
        <w:spacing w:after="0" w:line="95" w:lineRule="exact"/>
        <w:rPr>
          <w:sz w:val="20"/>
          <w:szCs w:val="20"/>
          <w:color w:val="auto"/>
        </w:rPr>
      </w:pPr>
    </w:p>
    <w:p>
      <w:pPr>
        <w:ind w:left="20" w:right="180"/>
        <w:spacing w:after="0" w:line="250" w:lineRule="auto"/>
        <w:rPr>
          <w:sz w:val="20"/>
          <w:szCs w:val="20"/>
          <w:color w:val="auto"/>
        </w:rPr>
      </w:pPr>
      <w:r>
        <w:rPr>
          <w:rFonts w:ascii="Arial" w:cs="Arial" w:eastAsia="Arial" w:hAnsi="Arial"/>
          <w:sz w:val="17"/>
          <w:szCs w:val="17"/>
          <w:color w:val="auto"/>
        </w:rPr>
        <w:t>The Board of Directors is actively engaged in the oversight of human capital management and strategy. Our human capital management strategy, which we refer to as our people strategy, is tightly aligned with our business needs and technology strategy. In order to ensure that we achieve our human capital objectives, we regularly conduct an employee engagement survey to gauge employee satisfaction and to understand the effectiveness of our employee and compensation programs. The Board reviews these survey results. The Senior Vice President, Human Resources, updates the Board on the Corporation’s people strategy on an annual basis. Board members also are active partners in the development of our workforce, engaging and spending time with our high-potential leaders at Board meetings and other events.</w:t>
      </w:r>
    </w:p>
    <w:p>
      <w:pPr>
        <w:spacing w:after="0" w:line="101" w:lineRule="exact"/>
        <w:rPr>
          <w:sz w:val="20"/>
          <w:szCs w:val="20"/>
          <w:color w:val="auto"/>
        </w:rPr>
      </w:pPr>
    </w:p>
    <w:p>
      <w:pPr>
        <w:ind w:left="20" w:right="80"/>
        <w:spacing w:after="0" w:line="251" w:lineRule="auto"/>
        <w:rPr>
          <w:sz w:val="20"/>
          <w:szCs w:val="20"/>
          <w:color w:val="auto"/>
        </w:rPr>
      </w:pPr>
      <w:r>
        <w:rPr>
          <w:rFonts w:ascii="Arial" w:cs="Arial" w:eastAsia="Arial" w:hAnsi="Arial"/>
          <w:sz w:val="17"/>
          <w:szCs w:val="17"/>
          <w:color w:val="auto"/>
        </w:rPr>
        <w:t>During 2020, our human capital efforts were focused on accelerating the transformation of our technology for workforce management through investments in upgraded systems and processes, and continuing to increase our agility to meet the quickly changing needs of the business, considering the challenges of the global pandemic and social and political unrest. We use a variety of human capital measures in managing our business, including: workforce demographics; diversity metrics with respect to representation, attrition, hiring, promotions and leadership; and talent management metrics including retention rates of top talent and hiring metrics.</w:t>
      </w:r>
    </w:p>
    <w:p>
      <w:pPr>
        <w:spacing w:after="0" w:line="98" w:lineRule="exact"/>
        <w:rPr>
          <w:sz w:val="20"/>
          <w:szCs w:val="20"/>
          <w:color w:val="auto"/>
        </w:rPr>
      </w:pPr>
    </w:p>
    <w:p>
      <w:pPr>
        <w:ind w:left="20" w:right="140"/>
        <w:spacing w:after="0" w:line="254" w:lineRule="auto"/>
        <w:rPr>
          <w:sz w:val="20"/>
          <w:szCs w:val="20"/>
          <w:color w:val="auto"/>
        </w:rPr>
      </w:pPr>
      <w:r>
        <w:rPr>
          <w:rFonts w:ascii="Arial" w:cs="Arial" w:eastAsia="Arial" w:hAnsi="Arial"/>
          <w:sz w:val="17"/>
          <w:szCs w:val="17"/>
          <w:color w:val="auto"/>
        </w:rPr>
        <w:t>We streamlined the people strategy in 2020 to focus on three key priorities: Maximize Talent; Advance Technology; and Optimize Culture. We have developed a scalable strategy that endures the unprecedented past year of COVID-19 and social unrest. In 2021 and beyond, we will continue to execute on the Lockheed Martin people strategy and its three strategic imperatives to accelerate transformation.</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shd w:val="clear" w:color="auto" w:fill="002E6D"/>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shd w:val="clear" w:color="auto" w:fill="002E6D"/>
          </w:tcPr>
          <w:p>
            <w:pPr>
              <w:spacing w:after="0"/>
              <w:rPr>
                <w:sz w:val="16"/>
                <w:szCs w:val="16"/>
                <w:color w:val="auto"/>
              </w:rPr>
            </w:pPr>
          </w:p>
        </w:tc>
        <w:tc>
          <w:tcPr>
            <w:tcW w:w="300" w:type="dxa"/>
            <w:vAlign w:val="bottom"/>
          </w:tcPr>
          <w:p>
            <w:pPr>
              <w:spacing w:after="0"/>
              <w:rPr>
                <w:sz w:val="16"/>
                <w:szCs w:val="16"/>
                <w:color w:val="auto"/>
              </w:rPr>
            </w:pPr>
          </w:p>
        </w:tc>
        <w:tc>
          <w:tcPr>
            <w:tcW w:w="3580" w:type="dxa"/>
            <w:vAlign w:val="bottom"/>
            <w:shd w:val="clear" w:color="auto" w:fill="002E6D"/>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00" w:type="dxa"/>
            <w:vAlign w:val="bottom"/>
            <w:shd w:val="clear" w:color="auto" w:fill="E4E6EF"/>
          </w:tcPr>
          <w:p>
            <w:pPr>
              <w:ind w:left="820"/>
              <w:spacing w:after="0"/>
              <w:rPr>
                <w:sz w:val="20"/>
                <w:szCs w:val="20"/>
                <w:color w:val="auto"/>
              </w:rPr>
            </w:pPr>
            <w:r>
              <w:rPr>
                <w:rFonts w:ascii="Arial" w:cs="Arial" w:eastAsia="Arial" w:hAnsi="Arial"/>
                <w:sz w:val="17"/>
                <w:szCs w:val="17"/>
                <w:color w:val="auto"/>
              </w:rPr>
              <w:t>Maximize</w:t>
            </w:r>
          </w:p>
        </w:tc>
        <w:tc>
          <w:tcPr>
            <w:tcW w:w="300" w:type="dxa"/>
            <w:vAlign w:val="bottom"/>
          </w:tcPr>
          <w:p>
            <w:pPr>
              <w:spacing w:after="0"/>
              <w:rPr>
                <w:sz w:val="24"/>
                <w:szCs w:val="24"/>
                <w:color w:val="auto"/>
              </w:rPr>
            </w:pPr>
          </w:p>
        </w:tc>
        <w:tc>
          <w:tcPr>
            <w:tcW w:w="3560" w:type="dxa"/>
            <w:vAlign w:val="bottom"/>
            <w:shd w:val="clear" w:color="auto" w:fill="E4E6EF"/>
          </w:tcPr>
          <w:p>
            <w:pPr>
              <w:ind w:left="880"/>
              <w:spacing w:after="0"/>
              <w:rPr>
                <w:sz w:val="20"/>
                <w:szCs w:val="20"/>
                <w:color w:val="auto"/>
              </w:rPr>
            </w:pPr>
            <w:r>
              <w:rPr>
                <w:rFonts w:ascii="Arial" w:cs="Arial" w:eastAsia="Arial" w:hAnsi="Arial"/>
                <w:sz w:val="17"/>
                <w:szCs w:val="17"/>
                <w:color w:val="auto"/>
              </w:rPr>
              <w:t>Advance</w:t>
            </w:r>
          </w:p>
        </w:tc>
        <w:tc>
          <w:tcPr>
            <w:tcW w:w="300" w:type="dxa"/>
            <w:vAlign w:val="bottom"/>
          </w:tcPr>
          <w:p>
            <w:pPr>
              <w:spacing w:after="0"/>
              <w:rPr>
                <w:sz w:val="24"/>
                <w:szCs w:val="24"/>
                <w:color w:val="auto"/>
              </w:rPr>
            </w:pPr>
          </w:p>
        </w:tc>
        <w:tc>
          <w:tcPr>
            <w:tcW w:w="3580" w:type="dxa"/>
            <w:vAlign w:val="bottom"/>
            <w:shd w:val="clear" w:color="auto" w:fill="E4E6EF"/>
          </w:tcPr>
          <w:p>
            <w:pPr>
              <w:ind w:left="800"/>
              <w:spacing w:after="0"/>
              <w:rPr>
                <w:sz w:val="20"/>
                <w:szCs w:val="20"/>
                <w:color w:val="auto"/>
              </w:rPr>
            </w:pPr>
            <w:r>
              <w:rPr>
                <w:rFonts w:ascii="Arial" w:cs="Arial" w:eastAsia="Arial" w:hAnsi="Arial"/>
                <w:sz w:val="17"/>
                <w:szCs w:val="17"/>
                <w:color w:val="auto"/>
              </w:rPr>
              <w:t>Optimize</w:t>
            </w:r>
          </w:p>
        </w:tc>
        <w:tc>
          <w:tcPr>
            <w:tcW w:w="0" w:type="dxa"/>
            <w:vAlign w:val="bottom"/>
          </w:tcPr>
          <w:p>
            <w:pPr>
              <w:spacing w:after="0"/>
              <w:rPr>
                <w:sz w:val="1"/>
                <w:szCs w:val="1"/>
                <w:color w:val="auto"/>
              </w:rPr>
            </w:pPr>
          </w:p>
        </w:tc>
      </w:tr>
      <w:tr>
        <w:trPr>
          <w:trHeight w:val="205"/>
        </w:trPr>
        <w:tc>
          <w:tcPr>
            <w:tcW w:w="3500" w:type="dxa"/>
            <w:vAlign w:val="bottom"/>
            <w:shd w:val="clear" w:color="auto" w:fill="E4E6EF"/>
          </w:tcPr>
          <w:p>
            <w:pPr>
              <w:ind w:left="820"/>
              <w:spacing w:after="0"/>
              <w:rPr>
                <w:sz w:val="20"/>
                <w:szCs w:val="20"/>
                <w:color w:val="auto"/>
              </w:rPr>
            </w:pPr>
            <w:r>
              <w:rPr>
                <w:rFonts w:ascii="Arial" w:cs="Arial" w:eastAsia="Arial" w:hAnsi="Arial"/>
                <w:sz w:val="17"/>
                <w:szCs w:val="17"/>
                <w:color w:val="auto"/>
              </w:rPr>
              <w:t>Talent</w:t>
            </w:r>
          </w:p>
        </w:tc>
        <w:tc>
          <w:tcPr>
            <w:tcW w:w="300" w:type="dxa"/>
            <w:vAlign w:val="bottom"/>
          </w:tcPr>
          <w:p>
            <w:pPr>
              <w:spacing w:after="0"/>
              <w:rPr>
                <w:sz w:val="17"/>
                <w:szCs w:val="17"/>
                <w:color w:val="auto"/>
              </w:rPr>
            </w:pPr>
          </w:p>
        </w:tc>
        <w:tc>
          <w:tcPr>
            <w:tcW w:w="3560" w:type="dxa"/>
            <w:vAlign w:val="bottom"/>
            <w:shd w:val="clear" w:color="auto" w:fill="E4E6EF"/>
          </w:tcPr>
          <w:p>
            <w:pPr>
              <w:ind w:left="880"/>
              <w:spacing w:after="0"/>
              <w:rPr>
                <w:sz w:val="20"/>
                <w:szCs w:val="20"/>
                <w:color w:val="auto"/>
              </w:rPr>
            </w:pPr>
            <w:r>
              <w:rPr>
                <w:rFonts w:ascii="Arial" w:cs="Arial" w:eastAsia="Arial" w:hAnsi="Arial"/>
                <w:sz w:val="17"/>
                <w:szCs w:val="17"/>
                <w:color w:val="auto"/>
              </w:rPr>
              <w:t>Technology</w:t>
            </w:r>
          </w:p>
        </w:tc>
        <w:tc>
          <w:tcPr>
            <w:tcW w:w="300" w:type="dxa"/>
            <w:vAlign w:val="bottom"/>
          </w:tcPr>
          <w:p>
            <w:pPr>
              <w:spacing w:after="0"/>
              <w:rPr>
                <w:sz w:val="17"/>
                <w:szCs w:val="17"/>
                <w:color w:val="auto"/>
              </w:rPr>
            </w:pPr>
          </w:p>
        </w:tc>
        <w:tc>
          <w:tcPr>
            <w:tcW w:w="3580" w:type="dxa"/>
            <w:vAlign w:val="bottom"/>
            <w:shd w:val="clear" w:color="auto" w:fill="E4E6EF"/>
          </w:tcPr>
          <w:p>
            <w:pPr>
              <w:ind w:left="800"/>
              <w:spacing w:after="0"/>
              <w:rPr>
                <w:sz w:val="20"/>
                <w:szCs w:val="20"/>
                <w:color w:val="auto"/>
              </w:rPr>
            </w:pPr>
            <w:r>
              <w:rPr>
                <w:rFonts w:ascii="Arial" w:cs="Arial" w:eastAsia="Arial" w:hAnsi="Arial"/>
                <w:sz w:val="17"/>
                <w:szCs w:val="17"/>
                <w:color w:val="auto"/>
              </w:rPr>
              <w:t>Culture</w:t>
            </w:r>
          </w:p>
        </w:tc>
        <w:tc>
          <w:tcPr>
            <w:tcW w:w="0" w:type="dxa"/>
            <w:vAlign w:val="bottom"/>
          </w:tcPr>
          <w:p>
            <w:pPr>
              <w:spacing w:after="0"/>
              <w:rPr>
                <w:sz w:val="1"/>
                <w:szCs w:val="1"/>
                <w:color w:val="auto"/>
              </w:rPr>
            </w:pPr>
          </w:p>
        </w:tc>
      </w:tr>
      <w:tr>
        <w:trPr>
          <w:trHeight w:val="519"/>
        </w:trPr>
        <w:tc>
          <w:tcPr>
            <w:tcW w:w="3500" w:type="dxa"/>
            <w:vAlign w:val="bottom"/>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Acquire and Retain Top Diverse Talent at All</w:t>
            </w:r>
          </w:p>
        </w:tc>
        <w:tc>
          <w:tcPr>
            <w:tcW w:w="300" w:type="dxa"/>
            <w:vAlign w:val="bottom"/>
          </w:tcPr>
          <w:p>
            <w:pPr>
              <w:spacing w:after="0"/>
              <w:rPr>
                <w:sz w:val="24"/>
                <w:szCs w:val="24"/>
                <w:color w:val="auto"/>
              </w:rPr>
            </w:pPr>
          </w:p>
        </w:tc>
        <w:tc>
          <w:tcPr>
            <w:tcW w:w="3560" w:type="dxa"/>
            <w:vAlign w:val="bottom"/>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Upgrade Systems to Improve HR Process</w:t>
            </w:r>
          </w:p>
        </w:tc>
        <w:tc>
          <w:tcPr>
            <w:tcW w:w="300" w:type="dxa"/>
            <w:vAlign w:val="bottom"/>
          </w:tcPr>
          <w:p>
            <w:pPr>
              <w:spacing w:after="0"/>
              <w:rPr>
                <w:sz w:val="24"/>
                <w:szCs w:val="24"/>
                <w:color w:val="auto"/>
              </w:rPr>
            </w:pPr>
          </w:p>
        </w:tc>
        <w:tc>
          <w:tcPr>
            <w:tcW w:w="3580" w:type="dxa"/>
            <w:vAlign w:val="bottom"/>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Strengthen Inclusive Engagement, Diversity</w:t>
            </w:r>
          </w:p>
        </w:tc>
        <w:tc>
          <w:tcPr>
            <w:tcW w:w="0" w:type="dxa"/>
            <w:vAlign w:val="bottom"/>
          </w:tcPr>
          <w:p>
            <w:pPr>
              <w:spacing w:after="0"/>
              <w:rPr>
                <w:sz w:val="1"/>
                <w:szCs w:val="1"/>
                <w:color w:val="auto"/>
              </w:rPr>
            </w:pPr>
          </w:p>
        </w:tc>
      </w:tr>
      <w:tr>
        <w:trPr>
          <w:trHeight w:val="195"/>
        </w:trPr>
        <w:tc>
          <w:tcPr>
            <w:tcW w:w="3500" w:type="dxa"/>
            <w:vAlign w:val="bottom"/>
            <w:shd w:val="clear" w:color="auto" w:fill="E4E6EF"/>
          </w:tcPr>
          <w:p>
            <w:pPr>
              <w:ind w:left="300"/>
              <w:spacing w:after="0"/>
              <w:rPr>
                <w:sz w:val="20"/>
                <w:szCs w:val="20"/>
                <w:color w:val="auto"/>
              </w:rPr>
            </w:pPr>
            <w:r>
              <w:rPr>
                <w:rFonts w:ascii="Arial" w:cs="Arial" w:eastAsia="Arial" w:hAnsi="Arial"/>
                <w:sz w:val="16"/>
                <w:szCs w:val="16"/>
                <w:color w:val="auto"/>
              </w:rPr>
              <w:t>Levels</w:t>
            </w:r>
          </w:p>
        </w:tc>
        <w:tc>
          <w:tcPr>
            <w:tcW w:w="300" w:type="dxa"/>
            <w:vAlign w:val="bottom"/>
          </w:tcPr>
          <w:p>
            <w:pPr>
              <w:spacing w:after="0"/>
              <w:rPr>
                <w:sz w:val="16"/>
                <w:szCs w:val="16"/>
                <w:color w:val="auto"/>
              </w:rPr>
            </w:pPr>
          </w:p>
        </w:tc>
        <w:tc>
          <w:tcPr>
            <w:tcW w:w="3560" w:type="dxa"/>
            <w:vAlign w:val="bottom"/>
            <w:shd w:val="clear" w:color="auto" w:fill="E4E6EF"/>
          </w:tcPr>
          <w:p>
            <w:pPr>
              <w:ind w:left="300"/>
              <w:spacing w:after="0"/>
              <w:rPr>
                <w:sz w:val="20"/>
                <w:szCs w:val="20"/>
                <w:color w:val="auto"/>
              </w:rPr>
            </w:pPr>
            <w:r>
              <w:rPr>
                <w:rFonts w:ascii="Arial" w:cs="Arial" w:eastAsia="Arial" w:hAnsi="Arial"/>
                <w:sz w:val="16"/>
                <w:szCs w:val="16"/>
                <w:color w:val="auto"/>
              </w:rPr>
              <w:t>Efficiency</w:t>
            </w:r>
          </w:p>
        </w:tc>
        <w:tc>
          <w:tcPr>
            <w:tcW w:w="300" w:type="dxa"/>
            <w:vAlign w:val="bottom"/>
          </w:tcPr>
          <w:p>
            <w:pPr>
              <w:spacing w:after="0"/>
              <w:rPr>
                <w:sz w:val="16"/>
                <w:szCs w:val="16"/>
                <w:color w:val="auto"/>
              </w:rPr>
            </w:pPr>
          </w:p>
        </w:tc>
        <w:tc>
          <w:tcPr>
            <w:tcW w:w="3580" w:type="dxa"/>
            <w:vAlign w:val="bottom"/>
            <w:shd w:val="clear" w:color="auto" w:fill="E4E6EF"/>
          </w:tcPr>
          <w:p>
            <w:pPr>
              <w:ind w:left="300"/>
              <w:spacing w:after="0"/>
              <w:rPr>
                <w:sz w:val="20"/>
                <w:szCs w:val="20"/>
                <w:color w:val="auto"/>
              </w:rPr>
            </w:pPr>
            <w:r>
              <w:rPr>
                <w:rFonts w:ascii="Arial" w:cs="Arial" w:eastAsia="Arial" w:hAnsi="Arial"/>
                <w:sz w:val="16"/>
                <w:szCs w:val="16"/>
                <w:color w:val="auto"/>
              </w:rPr>
              <w:t>and Belonging</w:t>
            </w:r>
          </w:p>
        </w:tc>
        <w:tc>
          <w:tcPr>
            <w:tcW w:w="0" w:type="dxa"/>
            <w:vAlign w:val="bottom"/>
          </w:tcPr>
          <w:p>
            <w:pPr>
              <w:spacing w:after="0"/>
              <w:rPr>
                <w:sz w:val="1"/>
                <w:szCs w:val="1"/>
                <w:color w:val="auto"/>
              </w:rPr>
            </w:pPr>
          </w:p>
        </w:tc>
      </w:tr>
      <w:tr>
        <w:trPr>
          <w:trHeight w:val="264"/>
        </w:trPr>
        <w:tc>
          <w:tcPr>
            <w:tcW w:w="3500" w:type="dxa"/>
            <w:vAlign w:val="bottom"/>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Upskill Technical Talent to Match Strategic</w:t>
            </w:r>
          </w:p>
        </w:tc>
        <w:tc>
          <w:tcPr>
            <w:tcW w:w="300" w:type="dxa"/>
            <w:vAlign w:val="bottom"/>
          </w:tcPr>
          <w:p>
            <w:pPr>
              <w:spacing w:after="0"/>
              <w:rPr>
                <w:sz w:val="22"/>
                <w:szCs w:val="22"/>
                <w:color w:val="auto"/>
              </w:rPr>
            </w:pPr>
          </w:p>
        </w:tc>
        <w:tc>
          <w:tcPr>
            <w:tcW w:w="3560" w:type="dxa"/>
            <w:vAlign w:val="bottom"/>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Enhance People Analytics and Data Driven</w:t>
            </w:r>
          </w:p>
        </w:tc>
        <w:tc>
          <w:tcPr>
            <w:tcW w:w="300" w:type="dxa"/>
            <w:vAlign w:val="bottom"/>
          </w:tcPr>
          <w:p>
            <w:pPr>
              <w:spacing w:after="0"/>
              <w:rPr>
                <w:sz w:val="22"/>
                <w:szCs w:val="22"/>
                <w:color w:val="auto"/>
              </w:rPr>
            </w:pPr>
          </w:p>
        </w:tc>
        <w:tc>
          <w:tcPr>
            <w:tcW w:w="3580" w:type="dxa"/>
            <w:vAlign w:val="bottom"/>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LMForward the Workplace (a multi-faceted</w:t>
            </w:r>
          </w:p>
        </w:tc>
        <w:tc>
          <w:tcPr>
            <w:tcW w:w="0" w:type="dxa"/>
            <w:vAlign w:val="bottom"/>
          </w:tcPr>
          <w:p>
            <w:pPr>
              <w:spacing w:after="0"/>
              <w:rPr>
                <w:sz w:val="1"/>
                <w:szCs w:val="1"/>
                <w:color w:val="auto"/>
              </w:rPr>
            </w:pPr>
          </w:p>
        </w:tc>
      </w:tr>
      <w:tr>
        <w:trPr>
          <w:trHeight w:val="189"/>
        </w:trPr>
        <w:tc>
          <w:tcPr>
            <w:tcW w:w="3500" w:type="dxa"/>
            <w:vAlign w:val="bottom"/>
            <w:shd w:val="clear" w:color="auto" w:fill="E4E6EF"/>
          </w:tcPr>
          <w:p>
            <w:pPr>
              <w:ind w:left="300"/>
              <w:spacing w:after="0"/>
              <w:rPr>
                <w:sz w:val="20"/>
                <w:szCs w:val="20"/>
                <w:color w:val="auto"/>
              </w:rPr>
            </w:pPr>
            <w:r>
              <w:rPr>
                <w:rFonts w:ascii="Arial" w:cs="Arial" w:eastAsia="Arial" w:hAnsi="Arial"/>
                <w:sz w:val="16"/>
                <w:szCs w:val="16"/>
                <w:color w:val="auto"/>
              </w:rPr>
              <w:t>Shift To 21st Century Warfare</w:t>
            </w:r>
          </w:p>
        </w:tc>
        <w:tc>
          <w:tcPr>
            <w:tcW w:w="300" w:type="dxa"/>
            <w:vAlign w:val="bottom"/>
          </w:tcPr>
          <w:p>
            <w:pPr>
              <w:spacing w:after="0"/>
              <w:rPr>
                <w:sz w:val="16"/>
                <w:szCs w:val="16"/>
                <w:color w:val="auto"/>
              </w:rPr>
            </w:pPr>
          </w:p>
        </w:tc>
        <w:tc>
          <w:tcPr>
            <w:tcW w:w="3560" w:type="dxa"/>
            <w:vAlign w:val="bottom"/>
            <w:shd w:val="clear" w:color="auto" w:fill="E4E6EF"/>
          </w:tcPr>
          <w:p>
            <w:pPr>
              <w:ind w:left="300"/>
              <w:spacing w:after="0"/>
              <w:rPr>
                <w:sz w:val="20"/>
                <w:szCs w:val="20"/>
                <w:color w:val="auto"/>
              </w:rPr>
            </w:pPr>
            <w:r>
              <w:rPr>
                <w:rFonts w:ascii="Arial" w:cs="Arial" w:eastAsia="Arial" w:hAnsi="Arial"/>
                <w:sz w:val="16"/>
                <w:szCs w:val="16"/>
                <w:color w:val="auto"/>
              </w:rPr>
              <w:t>Solutions</w:t>
            </w:r>
          </w:p>
        </w:tc>
        <w:tc>
          <w:tcPr>
            <w:tcW w:w="300" w:type="dxa"/>
            <w:vAlign w:val="bottom"/>
          </w:tcPr>
          <w:p>
            <w:pPr>
              <w:spacing w:after="0"/>
              <w:rPr>
                <w:sz w:val="16"/>
                <w:szCs w:val="16"/>
                <w:color w:val="auto"/>
              </w:rPr>
            </w:pPr>
          </w:p>
        </w:tc>
        <w:tc>
          <w:tcPr>
            <w:tcW w:w="3580" w:type="dxa"/>
            <w:vAlign w:val="bottom"/>
            <w:shd w:val="clear" w:color="auto" w:fill="E4E6EF"/>
          </w:tcPr>
          <w:p>
            <w:pPr>
              <w:ind w:left="300"/>
              <w:spacing w:after="0"/>
              <w:rPr>
                <w:sz w:val="20"/>
                <w:szCs w:val="20"/>
                <w:color w:val="auto"/>
              </w:rPr>
            </w:pPr>
            <w:r>
              <w:rPr>
                <w:rFonts w:ascii="Arial" w:cs="Arial" w:eastAsia="Arial" w:hAnsi="Arial"/>
                <w:sz w:val="16"/>
                <w:szCs w:val="16"/>
                <w:color w:val="auto"/>
              </w:rPr>
              <w:t>initiative for long-term work solutions for 2021</w:t>
            </w:r>
          </w:p>
        </w:tc>
        <w:tc>
          <w:tcPr>
            <w:tcW w:w="0" w:type="dxa"/>
            <w:vAlign w:val="bottom"/>
          </w:tcPr>
          <w:p>
            <w:pPr>
              <w:spacing w:after="0"/>
              <w:rPr>
                <w:sz w:val="1"/>
                <w:szCs w:val="1"/>
                <w:color w:val="auto"/>
              </w:rPr>
            </w:pPr>
          </w:p>
        </w:tc>
      </w:tr>
      <w:tr>
        <w:trPr>
          <w:trHeight w:val="195"/>
        </w:trPr>
        <w:tc>
          <w:tcPr>
            <w:tcW w:w="3500" w:type="dxa"/>
            <w:vAlign w:val="bottom"/>
            <w:vMerge w:val="restart"/>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Increase Executive Successor Pipeline and</w:t>
            </w:r>
          </w:p>
        </w:tc>
        <w:tc>
          <w:tcPr>
            <w:tcW w:w="300" w:type="dxa"/>
            <w:vAlign w:val="bottom"/>
          </w:tcPr>
          <w:p>
            <w:pPr>
              <w:spacing w:after="0"/>
              <w:rPr>
                <w:sz w:val="16"/>
                <w:szCs w:val="16"/>
                <w:color w:val="auto"/>
              </w:rPr>
            </w:pPr>
          </w:p>
        </w:tc>
        <w:tc>
          <w:tcPr>
            <w:tcW w:w="3560" w:type="dxa"/>
            <w:vAlign w:val="bottom"/>
            <w:vMerge w:val="restart"/>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Utilize Artificial Intelligence to Transform</w:t>
            </w:r>
          </w:p>
        </w:tc>
        <w:tc>
          <w:tcPr>
            <w:tcW w:w="300" w:type="dxa"/>
            <w:vAlign w:val="bottom"/>
          </w:tcPr>
          <w:p>
            <w:pPr>
              <w:spacing w:after="0"/>
              <w:rPr>
                <w:sz w:val="16"/>
                <w:szCs w:val="16"/>
                <w:color w:val="auto"/>
              </w:rPr>
            </w:pPr>
          </w:p>
        </w:tc>
        <w:tc>
          <w:tcPr>
            <w:tcW w:w="3580" w:type="dxa"/>
            <w:vAlign w:val="bottom"/>
            <w:shd w:val="clear" w:color="auto" w:fill="E4E6EF"/>
          </w:tcPr>
          <w:p>
            <w:pPr>
              <w:ind w:left="300"/>
              <w:spacing w:after="0"/>
              <w:rPr>
                <w:sz w:val="20"/>
                <w:szCs w:val="20"/>
                <w:color w:val="auto"/>
              </w:rPr>
            </w:pPr>
            <w:r>
              <w:rPr>
                <w:rFonts w:ascii="Arial" w:cs="Arial" w:eastAsia="Arial" w:hAnsi="Arial"/>
                <w:sz w:val="16"/>
                <w:szCs w:val="16"/>
                <w:color w:val="auto"/>
              </w:rPr>
              <w:t>and beyond)</w:t>
            </w:r>
          </w:p>
        </w:tc>
        <w:tc>
          <w:tcPr>
            <w:tcW w:w="0" w:type="dxa"/>
            <w:vAlign w:val="bottom"/>
          </w:tcPr>
          <w:p>
            <w:pPr>
              <w:spacing w:after="0"/>
              <w:rPr>
                <w:sz w:val="1"/>
                <w:szCs w:val="1"/>
                <w:color w:val="auto"/>
              </w:rPr>
            </w:pPr>
          </w:p>
        </w:tc>
      </w:tr>
      <w:tr>
        <w:trPr>
          <w:trHeight w:val="62"/>
        </w:trPr>
        <w:tc>
          <w:tcPr>
            <w:tcW w:w="3500" w:type="dxa"/>
            <w:vAlign w:val="bottom"/>
            <w:vMerge w:val="continue"/>
            <w:shd w:val="clear" w:color="auto" w:fill="E4E6EF"/>
          </w:tcPr>
          <w:p>
            <w:pPr>
              <w:spacing w:after="0"/>
              <w:rPr>
                <w:sz w:val="5"/>
                <w:szCs w:val="5"/>
                <w:color w:val="auto"/>
              </w:rPr>
            </w:pPr>
          </w:p>
        </w:tc>
        <w:tc>
          <w:tcPr>
            <w:tcW w:w="300" w:type="dxa"/>
            <w:vAlign w:val="bottom"/>
          </w:tcPr>
          <w:p>
            <w:pPr>
              <w:spacing w:after="0"/>
              <w:rPr>
                <w:sz w:val="5"/>
                <w:szCs w:val="5"/>
                <w:color w:val="auto"/>
              </w:rPr>
            </w:pPr>
          </w:p>
        </w:tc>
        <w:tc>
          <w:tcPr>
            <w:tcW w:w="3560" w:type="dxa"/>
            <w:vAlign w:val="bottom"/>
            <w:vMerge w:val="continue"/>
            <w:shd w:val="clear" w:color="auto" w:fill="E4E6EF"/>
          </w:tcPr>
          <w:p>
            <w:pPr>
              <w:spacing w:after="0"/>
              <w:rPr>
                <w:sz w:val="5"/>
                <w:szCs w:val="5"/>
                <w:color w:val="auto"/>
              </w:rPr>
            </w:pPr>
          </w:p>
        </w:tc>
        <w:tc>
          <w:tcPr>
            <w:tcW w:w="300" w:type="dxa"/>
            <w:vAlign w:val="bottom"/>
          </w:tcPr>
          <w:p>
            <w:pPr>
              <w:spacing w:after="0"/>
              <w:rPr>
                <w:sz w:val="5"/>
                <w:szCs w:val="5"/>
                <w:color w:val="auto"/>
              </w:rPr>
            </w:pPr>
          </w:p>
        </w:tc>
        <w:tc>
          <w:tcPr>
            <w:tcW w:w="3580" w:type="dxa"/>
            <w:vAlign w:val="bottom"/>
            <w:shd w:val="clear" w:color="auto" w:fill="E4E6E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E4E6EF"/>
          </w:tcPr>
          <w:p>
            <w:pPr>
              <w:ind w:left="300"/>
              <w:spacing w:after="0"/>
              <w:rPr>
                <w:sz w:val="20"/>
                <w:szCs w:val="20"/>
                <w:color w:val="auto"/>
              </w:rPr>
            </w:pPr>
            <w:r>
              <w:rPr>
                <w:rFonts w:ascii="Arial" w:cs="Arial" w:eastAsia="Arial" w:hAnsi="Arial"/>
                <w:sz w:val="16"/>
                <w:szCs w:val="16"/>
                <w:color w:val="auto"/>
              </w:rPr>
              <w:t>Leader Readiness</w:t>
            </w:r>
          </w:p>
        </w:tc>
        <w:tc>
          <w:tcPr>
            <w:tcW w:w="300" w:type="dxa"/>
            <w:vAlign w:val="bottom"/>
          </w:tcPr>
          <w:p>
            <w:pPr>
              <w:spacing w:after="0"/>
              <w:rPr>
                <w:sz w:val="16"/>
                <w:szCs w:val="16"/>
                <w:color w:val="auto"/>
              </w:rPr>
            </w:pPr>
          </w:p>
        </w:tc>
        <w:tc>
          <w:tcPr>
            <w:tcW w:w="3560" w:type="dxa"/>
            <w:vAlign w:val="bottom"/>
            <w:shd w:val="clear" w:color="auto" w:fill="E4E6EF"/>
          </w:tcPr>
          <w:p>
            <w:pPr>
              <w:ind w:left="300"/>
              <w:spacing w:after="0"/>
              <w:rPr>
                <w:sz w:val="20"/>
                <w:szCs w:val="20"/>
                <w:color w:val="auto"/>
              </w:rPr>
            </w:pPr>
            <w:r>
              <w:rPr>
                <w:rFonts w:ascii="Arial" w:cs="Arial" w:eastAsia="Arial" w:hAnsi="Arial"/>
                <w:sz w:val="16"/>
                <w:szCs w:val="16"/>
                <w:color w:val="auto"/>
              </w:rPr>
              <w:t>Hiring Experience</w:t>
            </w:r>
          </w:p>
        </w:tc>
        <w:tc>
          <w:tcPr>
            <w:tcW w:w="300" w:type="dxa"/>
            <w:vAlign w:val="bottom"/>
          </w:tcPr>
          <w:p>
            <w:pPr>
              <w:spacing w:after="0"/>
              <w:rPr>
                <w:sz w:val="16"/>
                <w:szCs w:val="16"/>
                <w:color w:val="auto"/>
              </w:rPr>
            </w:pPr>
          </w:p>
        </w:tc>
        <w:tc>
          <w:tcPr>
            <w:tcW w:w="3580" w:type="dxa"/>
            <w:vAlign w:val="bottom"/>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Drive a Flexible Employee Experience as a</w:t>
            </w:r>
          </w:p>
        </w:tc>
        <w:tc>
          <w:tcPr>
            <w:tcW w:w="0" w:type="dxa"/>
            <w:vAlign w:val="bottom"/>
          </w:tcPr>
          <w:p>
            <w:pPr>
              <w:spacing w:after="0"/>
              <w:rPr>
                <w:sz w:val="1"/>
                <w:szCs w:val="1"/>
                <w:color w:val="auto"/>
              </w:rPr>
            </w:pPr>
          </w:p>
        </w:tc>
      </w:tr>
      <w:tr>
        <w:trPr>
          <w:trHeight w:val="195"/>
        </w:trPr>
        <w:tc>
          <w:tcPr>
            <w:tcW w:w="3500" w:type="dxa"/>
            <w:vAlign w:val="bottom"/>
            <w:vMerge w:val="restart"/>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Advance University Partnerships and</w:t>
            </w:r>
          </w:p>
        </w:tc>
        <w:tc>
          <w:tcPr>
            <w:tcW w:w="300" w:type="dxa"/>
            <w:vAlign w:val="bottom"/>
          </w:tcPr>
          <w:p>
            <w:pPr>
              <w:spacing w:after="0"/>
              <w:rPr>
                <w:sz w:val="16"/>
                <w:szCs w:val="16"/>
                <w:color w:val="auto"/>
              </w:rPr>
            </w:pPr>
          </w:p>
        </w:tc>
        <w:tc>
          <w:tcPr>
            <w:tcW w:w="3560" w:type="dxa"/>
            <w:vAlign w:val="bottom"/>
            <w:vMerge w:val="restart"/>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Leverage Technology to Eliminate Repetitive</w:t>
            </w:r>
          </w:p>
        </w:tc>
        <w:tc>
          <w:tcPr>
            <w:tcW w:w="300" w:type="dxa"/>
            <w:vAlign w:val="bottom"/>
          </w:tcPr>
          <w:p>
            <w:pPr>
              <w:spacing w:after="0"/>
              <w:rPr>
                <w:sz w:val="16"/>
                <w:szCs w:val="16"/>
                <w:color w:val="auto"/>
              </w:rPr>
            </w:pPr>
          </w:p>
        </w:tc>
        <w:tc>
          <w:tcPr>
            <w:tcW w:w="3580" w:type="dxa"/>
            <w:vAlign w:val="bottom"/>
            <w:shd w:val="clear" w:color="auto" w:fill="E4E6EF"/>
          </w:tcPr>
          <w:p>
            <w:pPr>
              <w:ind w:left="300"/>
              <w:spacing w:after="0"/>
              <w:rPr>
                <w:sz w:val="20"/>
                <w:szCs w:val="20"/>
                <w:color w:val="auto"/>
              </w:rPr>
            </w:pPr>
            <w:r>
              <w:rPr>
                <w:rFonts w:ascii="Arial" w:cs="Arial" w:eastAsia="Arial" w:hAnsi="Arial"/>
                <w:sz w:val="16"/>
                <w:szCs w:val="16"/>
                <w:color w:val="auto"/>
              </w:rPr>
              <w:t>Brand Discriminator</w:t>
            </w:r>
          </w:p>
        </w:tc>
        <w:tc>
          <w:tcPr>
            <w:tcW w:w="0" w:type="dxa"/>
            <w:vAlign w:val="bottom"/>
          </w:tcPr>
          <w:p>
            <w:pPr>
              <w:spacing w:after="0"/>
              <w:rPr>
                <w:sz w:val="1"/>
                <w:szCs w:val="1"/>
                <w:color w:val="auto"/>
              </w:rPr>
            </w:pPr>
          </w:p>
        </w:tc>
      </w:tr>
      <w:tr>
        <w:trPr>
          <w:trHeight w:val="62"/>
        </w:trPr>
        <w:tc>
          <w:tcPr>
            <w:tcW w:w="3500" w:type="dxa"/>
            <w:vAlign w:val="bottom"/>
            <w:vMerge w:val="continue"/>
            <w:shd w:val="clear" w:color="auto" w:fill="E4E6EF"/>
          </w:tcPr>
          <w:p>
            <w:pPr>
              <w:spacing w:after="0"/>
              <w:rPr>
                <w:sz w:val="5"/>
                <w:szCs w:val="5"/>
                <w:color w:val="auto"/>
              </w:rPr>
            </w:pPr>
          </w:p>
        </w:tc>
        <w:tc>
          <w:tcPr>
            <w:tcW w:w="300" w:type="dxa"/>
            <w:vAlign w:val="bottom"/>
          </w:tcPr>
          <w:p>
            <w:pPr>
              <w:spacing w:after="0"/>
              <w:rPr>
                <w:sz w:val="5"/>
                <w:szCs w:val="5"/>
                <w:color w:val="auto"/>
              </w:rPr>
            </w:pPr>
          </w:p>
        </w:tc>
        <w:tc>
          <w:tcPr>
            <w:tcW w:w="3560" w:type="dxa"/>
            <w:vAlign w:val="bottom"/>
            <w:vMerge w:val="continue"/>
            <w:shd w:val="clear" w:color="auto" w:fill="E4E6EF"/>
          </w:tcPr>
          <w:p>
            <w:pPr>
              <w:spacing w:after="0"/>
              <w:rPr>
                <w:sz w:val="5"/>
                <w:szCs w:val="5"/>
                <w:color w:val="auto"/>
              </w:rPr>
            </w:pPr>
          </w:p>
        </w:tc>
        <w:tc>
          <w:tcPr>
            <w:tcW w:w="300" w:type="dxa"/>
            <w:vAlign w:val="bottom"/>
          </w:tcPr>
          <w:p>
            <w:pPr>
              <w:spacing w:after="0"/>
              <w:rPr>
                <w:sz w:val="5"/>
                <w:szCs w:val="5"/>
                <w:color w:val="auto"/>
              </w:rPr>
            </w:pPr>
          </w:p>
        </w:tc>
        <w:tc>
          <w:tcPr>
            <w:tcW w:w="3580" w:type="dxa"/>
            <w:vAlign w:val="bottom"/>
            <w:shd w:val="clear" w:color="auto" w:fill="E4E6E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E4E6EF"/>
          </w:tcPr>
          <w:p>
            <w:pPr>
              <w:ind w:left="300"/>
              <w:spacing w:after="0"/>
              <w:rPr>
                <w:sz w:val="20"/>
                <w:szCs w:val="20"/>
                <w:color w:val="auto"/>
              </w:rPr>
            </w:pPr>
            <w:r>
              <w:rPr>
                <w:rFonts w:ascii="Arial" w:cs="Arial" w:eastAsia="Arial" w:hAnsi="Arial"/>
                <w:sz w:val="16"/>
                <w:szCs w:val="16"/>
                <w:color w:val="auto"/>
              </w:rPr>
              <w:t>Outreach</w:t>
            </w:r>
          </w:p>
        </w:tc>
        <w:tc>
          <w:tcPr>
            <w:tcW w:w="300" w:type="dxa"/>
            <w:vAlign w:val="bottom"/>
          </w:tcPr>
          <w:p>
            <w:pPr>
              <w:spacing w:after="0"/>
              <w:rPr>
                <w:sz w:val="16"/>
                <w:szCs w:val="16"/>
                <w:color w:val="auto"/>
              </w:rPr>
            </w:pPr>
          </w:p>
        </w:tc>
        <w:tc>
          <w:tcPr>
            <w:tcW w:w="3560" w:type="dxa"/>
            <w:vAlign w:val="bottom"/>
            <w:shd w:val="clear" w:color="auto" w:fill="E4E6EF"/>
          </w:tcPr>
          <w:p>
            <w:pPr>
              <w:ind w:left="300"/>
              <w:spacing w:after="0"/>
              <w:rPr>
                <w:sz w:val="20"/>
                <w:szCs w:val="20"/>
                <w:color w:val="auto"/>
              </w:rPr>
            </w:pPr>
            <w:r>
              <w:rPr>
                <w:rFonts w:ascii="Arial" w:cs="Arial" w:eastAsia="Arial" w:hAnsi="Arial"/>
                <w:sz w:val="16"/>
                <w:szCs w:val="16"/>
                <w:color w:val="auto"/>
              </w:rPr>
              <w:t>Tasks</w:t>
            </w:r>
          </w:p>
        </w:tc>
        <w:tc>
          <w:tcPr>
            <w:tcW w:w="300" w:type="dxa"/>
            <w:vAlign w:val="bottom"/>
          </w:tcPr>
          <w:p>
            <w:pPr>
              <w:spacing w:after="0"/>
              <w:rPr>
                <w:sz w:val="16"/>
                <w:szCs w:val="16"/>
                <w:color w:val="auto"/>
              </w:rPr>
            </w:pPr>
          </w:p>
        </w:tc>
        <w:tc>
          <w:tcPr>
            <w:tcW w:w="3580" w:type="dxa"/>
            <w:vAlign w:val="bottom"/>
            <w:shd w:val="clear" w:color="auto" w:fill="E4E6EF"/>
          </w:tcPr>
          <w:p>
            <w:pPr>
              <w:ind w:left="10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Advance Culture of Collaboration to Drive</w:t>
            </w:r>
          </w:p>
        </w:tc>
        <w:tc>
          <w:tcPr>
            <w:tcW w:w="0" w:type="dxa"/>
            <w:vAlign w:val="bottom"/>
          </w:tcPr>
          <w:p>
            <w:pPr>
              <w:spacing w:after="0"/>
              <w:rPr>
                <w:sz w:val="1"/>
                <w:szCs w:val="1"/>
                <w:color w:val="auto"/>
              </w:rPr>
            </w:pPr>
          </w:p>
        </w:tc>
      </w:tr>
      <w:tr>
        <w:trPr>
          <w:trHeight w:val="195"/>
        </w:trPr>
        <w:tc>
          <w:tcPr>
            <w:tcW w:w="3500" w:type="dxa"/>
            <w:vAlign w:val="bottom"/>
            <w:shd w:val="clear" w:color="auto" w:fill="E4E6EF"/>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shd w:val="clear" w:color="auto" w:fill="E4E6EF"/>
          </w:tcPr>
          <w:p>
            <w:pPr>
              <w:spacing w:after="0"/>
              <w:rPr>
                <w:sz w:val="16"/>
                <w:szCs w:val="16"/>
                <w:color w:val="auto"/>
              </w:rPr>
            </w:pPr>
          </w:p>
        </w:tc>
        <w:tc>
          <w:tcPr>
            <w:tcW w:w="300" w:type="dxa"/>
            <w:vAlign w:val="bottom"/>
          </w:tcPr>
          <w:p>
            <w:pPr>
              <w:spacing w:after="0"/>
              <w:rPr>
                <w:sz w:val="16"/>
                <w:szCs w:val="16"/>
                <w:color w:val="auto"/>
              </w:rPr>
            </w:pPr>
          </w:p>
        </w:tc>
        <w:tc>
          <w:tcPr>
            <w:tcW w:w="3580" w:type="dxa"/>
            <w:vAlign w:val="bottom"/>
            <w:shd w:val="clear" w:color="auto" w:fill="E4E6EF"/>
          </w:tcPr>
          <w:p>
            <w:pPr>
              <w:ind w:left="300"/>
              <w:spacing w:after="0"/>
              <w:rPr>
                <w:sz w:val="20"/>
                <w:szCs w:val="20"/>
                <w:color w:val="auto"/>
              </w:rPr>
            </w:pPr>
            <w:r>
              <w:rPr>
                <w:rFonts w:ascii="Arial" w:cs="Arial" w:eastAsia="Arial" w:hAnsi="Arial"/>
                <w:sz w:val="16"/>
                <w:szCs w:val="16"/>
                <w:color w:val="auto"/>
              </w:rPr>
              <w:t>Business Transformation</w:t>
            </w:r>
          </w:p>
        </w:tc>
        <w:tc>
          <w:tcPr>
            <w:tcW w:w="0" w:type="dxa"/>
            <w:vAlign w:val="bottom"/>
          </w:tcPr>
          <w:p>
            <w:pPr>
              <w:spacing w:after="0"/>
              <w:rPr>
                <w:sz w:val="1"/>
                <w:szCs w:val="1"/>
                <w:color w:val="auto"/>
              </w:rPr>
            </w:pPr>
          </w:p>
        </w:tc>
      </w:tr>
      <w:tr>
        <w:trPr>
          <w:trHeight w:val="155"/>
        </w:trPr>
        <w:tc>
          <w:tcPr>
            <w:tcW w:w="3500" w:type="dxa"/>
            <w:vAlign w:val="bottom"/>
            <w:shd w:val="clear" w:color="auto" w:fill="E4E6EF"/>
          </w:tcPr>
          <w:p>
            <w:pPr>
              <w:spacing w:after="0"/>
              <w:rPr>
                <w:sz w:val="13"/>
                <w:szCs w:val="13"/>
                <w:color w:val="auto"/>
              </w:rPr>
            </w:pPr>
          </w:p>
        </w:tc>
        <w:tc>
          <w:tcPr>
            <w:tcW w:w="300" w:type="dxa"/>
            <w:vAlign w:val="bottom"/>
          </w:tcPr>
          <w:p>
            <w:pPr>
              <w:spacing w:after="0"/>
              <w:rPr>
                <w:sz w:val="13"/>
                <w:szCs w:val="13"/>
                <w:color w:val="auto"/>
              </w:rPr>
            </w:pPr>
          </w:p>
        </w:tc>
        <w:tc>
          <w:tcPr>
            <w:tcW w:w="3560" w:type="dxa"/>
            <w:vAlign w:val="bottom"/>
            <w:shd w:val="clear" w:color="auto" w:fill="E4E6EF"/>
          </w:tcPr>
          <w:p>
            <w:pPr>
              <w:spacing w:after="0"/>
              <w:rPr>
                <w:sz w:val="13"/>
                <w:szCs w:val="13"/>
                <w:color w:val="auto"/>
              </w:rPr>
            </w:pPr>
          </w:p>
        </w:tc>
        <w:tc>
          <w:tcPr>
            <w:tcW w:w="300" w:type="dxa"/>
            <w:vAlign w:val="bottom"/>
          </w:tcPr>
          <w:p>
            <w:pPr>
              <w:spacing w:after="0"/>
              <w:rPr>
                <w:sz w:val="13"/>
                <w:szCs w:val="13"/>
                <w:color w:val="auto"/>
              </w:rPr>
            </w:pPr>
          </w:p>
        </w:tc>
        <w:tc>
          <w:tcPr>
            <w:tcW w:w="3580" w:type="dxa"/>
            <w:vAlign w:val="bottom"/>
            <w:shd w:val="clear" w:color="auto" w:fill="E4E6E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-1833880</wp:posOffset>
            </wp:positionV>
            <wp:extent cx="325755" cy="325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-1842770</wp:posOffset>
            </wp:positionV>
            <wp:extent cx="342900" cy="3429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-1825625</wp:posOffset>
            </wp:positionV>
            <wp:extent cx="299720" cy="3003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25</w:t>
      </w:r>
    </w:p>
    <w:p>
      <w:pPr>
        <w:sectPr>
          <w:pgSz w:w="11900" w:h="16838" w:orient="portrait"/>
          <w:cols w:equalWidth="0" w:num="1">
            <w:col w:w="11240"/>
          </w:cols>
          <w:pgMar w:left="320" w:top="609"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475C90"/>
        </w:rPr>
        <w:t>Workforce Diversity and Inclusion</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At Lockheed Martin, we recognize that corporate diversity, including gender, race and ethnicity, is of importance to our employees, our investors, and our broader stakeholders. Diversity and inclusion is not only a legal and social imperative, but a business imperative that we believe is a key to our future success. We believe that building a workplace where every voice is heard and every idea is welcome through fostering diversity and inclusion, we build more effective teams, encourage innovation and can better attract and retain top talent, all of which make us more competitive.</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Annually, the Board meets to review our succession strategy and leadership pipeline for key roles, including the CEO, taking into account the Corporation’s long-term corporate strategy. More broadly, the Board is regularly informed on key talent indicators for the overall workforce, including performance against diversity metrics with respect to representation, hiring, promotions, and leadership. Talent management and employee engagement metrics and goals are included in the strategic and operational performance measures in management's annual incentive program.</w:t>
      </w:r>
    </w:p>
    <w:p>
      <w:pPr>
        <w:spacing w:after="0" w:line="9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have focused our diversity and inclusion initiatives on employee recruitment, including investments in minority serving institutions and outreach, employee training and development, such as efforts focused on expanding the diverse talent pipeline, and employee engagement, including through participation in our Business Resource Groups. Our Business Resource Groups are voluntary, employee-led groups that foster a diverse and inclusive workplace aligned with our organizational mission, values, goals and business practices. Through these and other focused efforts, we have improved the diversity of our overall U.S. workforce and within leadership positions, specifically in the representation of women, people of color and people with disabilities.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Employee Profile (as of December 31, 2020):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2260" w:type="dxa"/>
            <w:vAlign w:val="bottom"/>
          </w:tcPr>
          <w:p>
            <w:pPr>
              <w:jc w:val="center"/>
              <w:ind w:left="275"/>
              <w:spacing w:after="0"/>
              <w:rPr>
                <w:sz w:val="20"/>
                <w:szCs w:val="20"/>
                <w:color w:val="auto"/>
              </w:rPr>
            </w:pPr>
            <w:r>
              <w:rPr>
                <w:rFonts w:ascii="Arial" w:cs="Arial" w:eastAsia="Arial" w:hAnsi="Arial"/>
                <w:sz w:val="17"/>
                <w:szCs w:val="17"/>
                <w:color w:val="auto"/>
              </w:rPr>
              <w:t>Women*</w:t>
            </w:r>
          </w:p>
        </w:tc>
        <w:tc>
          <w:tcPr>
            <w:tcW w:w="2500" w:type="dxa"/>
            <w:vAlign w:val="bottom"/>
          </w:tcPr>
          <w:p>
            <w:pPr>
              <w:jc w:val="center"/>
              <w:spacing w:after="0"/>
              <w:rPr>
                <w:sz w:val="20"/>
                <w:szCs w:val="20"/>
                <w:color w:val="auto"/>
              </w:rPr>
            </w:pPr>
            <w:r>
              <w:rPr>
                <w:rFonts w:ascii="Arial" w:cs="Arial" w:eastAsia="Arial" w:hAnsi="Arial"/>
                <w:sz w:val="17"/>
                <w:szCs w:val="17"/>
                <w:color w:val="auto"/>
              </w:rPr>
              <w:t>People of Color*</w:t>
            </w:r>
          </w:p>
        </w:tc>
        <w:tc>
          <w:tcPr>
            <w:tcW w:w="1880" w:type="dxa"/>
            <w:vAlign w:val="bottom"/>
          </w:tcPr>
          <w:p>
            <w:pPr>
              <w:jc w:val="center"/>
              <w:spacing w:after="0"/>
              <w:rPr>
                <w:sz w:val="20"/>
                <w:szCs w:val="20"/>
                <w:color w:val="auto"/>
              </w:rPr>
            </w:pPr>
            <w:r>
              <w:rPr>
                <w:rFonts w:ascii="Arial" w:cs="Arial" w:eastAsia="Arial" w:hAnsi="Arial"/>
                <w:sz w:val="17"/>
                <w:szCs w:val="17"/>
                <w:color w:val="auto"/>
                <w:w w:val="99"/>
              </w:rPr>
              <w:t>Veterans*</w:t>
            </w:r>
          </w:p>
        </w:tc>
        <w:tc>
          <w:tcPr>
            <w:tcW w:w="2620" w:type="dxa"/>
            <w:vAlign w:val="bottom"/>
          </w:tcPr>
          <w:p>
            <w:pPr>
              <w:jc w:val="center"/>
              <w:ind w:left="155"/>
              <w:spacing w:after="0"/>
              <w:rPr>
                <w:sz w:val="20"/>
                <w:szCs w:val="20"/>
                <w:color w:val="auto"/>
              </w:rPr>
            </w:pPr>
            <w:r>
              <w:rPr>
                <w:rFonts w:ascii="Arial" w:cs="Arial" w:eastAsia="Arial" w:hAnsi="Arial"/>
                <w:sz w:val="17"/>
                <w:szCs w:val="17"/>
                <w:color w:val="auto"/>
              </w:rPr>
              <w:t>People with Disabilities*</w:t>
            </w:r>
          </w:p>
        </w:tc>
      </w:tr>
      <w:tr>
        <w:trPr>
          <w:trHeight w:val="31"/>
        </w:trPr>
        <w:tc>
          <w:tcPr>
            <w:tcW w:w="1960" w:type="dxa"/>
            <w:vAlign w:val="bottom"/>
            <w:tcBorders>
              <w:bottom w:val="single" w:sz="8" w:color="002E60"/>
            </w:tcBorders>
          </w:tcPr>
          <w:p>
            <w:pPr>
              <w:spacing w:after="0"/>
              <w:rPr>
                <w:sz w:val="2"/>
                <w:szCs w:val="2"/>
                <w:color w:val="auto"/>
              </w:rPr>
            </w:pPr>
          </w:p>
        </w:tc>
        <w:tc>
          <w:tcPr>
            <w:tcW w:w="2260" w:type="dxa"/>
            <w:vAlign w:val="bottom"/>
            <w:tcBorders>
              <w:bottom w:val="single" w:sz="8" w:color="002E60"/>
            </w:tcBorders>
          </w:tcPr>
          <w:p>
            <w:pPr>
              <w:spacing w:after="0"/>
              <w:rPr>
                <w:sz w:val="2"/>
                <w:szCs w:val="2"/>
                <w:color w:val="auto"/>
              </w:rPr>
            </w:pPr>
          </w:p>
        </w:tc>
        <w:tc>
          <w:tcPr>
            <w:tcW w:w="2500" w:type="dxa"/>
            <w:vAlign w:val="bottom"/>
            <w:tcBorders>
              <w:bottom w:val="single" w:sz="8" w:color="002E60"/>
            </w:tcBorders>
          </w:tcPr>
          <w:p>
            <w:pPr>
              <w:spacing w:after="0"/>
              <w:rPr>
                <w:sz w:val="2"/>
                <w:szCs w:val="2"/>
                <w:color w:val="auto"/>
              </w:rPr>
            </w:pPr>
          </w:p>
        </w:tc>
        <w:tc>
          <w:tcPr>
            <w:tcW w:w="1880" w:type="dxa"/>
            <w:vAlign w:val="bottom"/>
            <w:tcBorders>
              <w:bottom w:val="single" w:sz="8" w:color="002E60"/>
            </w:tcBorders>
          </w:tcPr>
          <w:p>
            <w:pPr>
              <w:spacing w:after="0"/>
              <w:rPr>
                <w:sz w:val="2"/>
                <w:szCs w:val="2"/>
                <w:color w:val="auto"/>
              </w:rPr>
            </w:pPr>
          </w:p>
        </w:tc>
        <w:tc>
          <w:tcPr>
            <w:tcW w:w="2620" w:type="dxa"/>
            <w:vAlign w:val="bottom"/>
            <w:tcBorders>
              <w:bottom w:val="single" w:sz="8" w:color="002E60"/>
            </w:tcBorders>
          </w:tcPr>
          <w:p>
            <w:pPr>
              <w:spacing w:after="0"/>
              <w:rPr>
                <w:sz w:val="2"/>
                <w:szCs w:val="2"/>
                <w:color w:val="auto"/>
              </w:rPr>
            </w:pPr>
          </w:p>
        </w:tc>
      </w:tr>
      <w:tr>
        <w:trPr>
          <w:trHeight w:val="250"/>
        </w:trPr>
        <w:tc>
          <w:tcPr>
            <w:tcW w:w="1960" w:type="dxa"/>
            <w:vAlign w:val="bottom"/>
            <w:shd w:val="clear" w:color="auto" w:fill="E5E7EF"/>
          </w:tcPr>
          <w:p>
            <w:pPr>
              <w:ind w:left="20"/>
              <w:spacing w:after="0"/>
              <w:rPr>
                <w:sz w:val="20"/>
                <w:szCs w:val="20"/>
                <w:color w:val="auto"/>
              </w:rPr>
            </w:pPr>
            <w:r>
              <w:rPr>
                <w:rFonts w:ascii="Arial" w:cs="Arial" w:eastAsia="Arial" w:hAnsi="Arial"/>
                <w:sz w:val="17"/>
                <w:szCs w:val="17"/>
                <w:color w:val="auto"/>
              </w:rPr>
              <w:t>Overall</w:t>
            </w:r>
          </w:p>
        </w:tc>
        <w:tc>
          <w:tcPr>
            <w:tcW w:w="2260" w:type="dxa"/>
            <w:vAlign w:val="bottom"/>
            <w:shd w:val="clear" w:color="auto" w:fill="E5E7EF"/>
          </w:tcPr>
          <w:p>
            <w:pPr>
              <w:jc w:val="center"/>
              <w:ind w:left="275"/>
              <w:spacing w:after="0"/>
              <w:rPr>
                <w:sz w:val="20"/>
                <w:szCs w:val="20"/>
                <w:color w:val="auto"/>
              </w:rPr>
            </w:pPr>
            <w:r>
              <w:rPr>
                <w:rFonts w:ascii="Arial" w:cs="Arial" w:eastAsia="Arial" w:hAnsi="Arial"/>
                <w:sz w:val="17"/>
                <w:szCs w:val="17"/>
                <w:color w:val="auto"/>
                <w:w w:val="99"/>
              </w:rPr>
              <w:t>23%</w:t>
            </w:r>
          </w:p>
        </w:tc>
        <w:tc>
          <w:tcPr>
            <w:tcW w:w="2500" w:type="dxa"/>
            <w:vAlign w:val="bottom"/>
            <w:shd w:val="clear" w:color="auto" w:fill="E5E7EF"/>
          </w:tcPr>
          <w:p>
            <w:pPr>
              <w:jc w:val="center"/>
              <w:spacing w:after="0"/>
              <w:rPr>
                <w:sz w:val="20"/>
                <w:szCs w:val="20"/>
                <w:color w:val="auto"/>
              </w:rPr>
            </w:pPr>
            <w:r>
              <w:rPr>
                <w:rFonts w:ascii="Arial" w:cs="Arial" w:eastAsia="Arial" w:hAnsi="Arial"/>
                <w:sz w:val="17"/>
                <w:szCs w:val="17"/>
                <w:color w:val="auto"/>
                <w:w w:val="99"/>
              </w:rPr>
              <w:t>28%</w:t>
            </w:r>
          </w:p>
        </w:tc>
        <w:tc>
          <w:tcPr>
            <w:tcW w:w="1880" w:type="dxa"/>
            <w:vAlign w:val="bottom"/>
            <w:shd w:val="clear" w:color="auto" w:fill="E5E7EF"/>
          </w:tcPr>
          <w:p>
            <w:pPr>
              <w:jc w:val="center"/>
              <w:spacing w:after="0"/>
              <w:rPr>
                <w:sz w:val="20"/>
                <w:szCs w:val="20"/>
                <w:color w:val="auto"/>
              </w:rPr>
            </w:pPr>
            <w:r>
              <w:rPr>
                <w:rFonts w:ascii="Arial" w:cs="Arial" w:eastAsia="Arial" w:hAnsi="Arial"/>
                <w:sz w:val="17"/>
                <w:szCs w:val="17"/>
                <w:color w:val="auto"/>
                <w:w w:val="99"/>
              </w:rPr>
              <w:t>22%</w:t>
            </w:r>
          </w:p>
        </w:tc>
        <w:tc>
          <w:tcPr>
            <w:tcW w:w="2620" w:type="dxa"/>
            <w:vAlign w:val="bottom"/>
            <w:shd w:val="clear" w:color="auto" w:fill="E5E7EF"/>
          </w:tcPr>
          <w:p>
            <w:pPr>
              <w:jc w:val="center"/>
              <w:ind w:left="155"/>
              <w:spacing w:after="0"/>
              <w:rPr>
                <w:sz w:val="20"/>
                <w:szCs w:val="20"/>
                <w:color w:val="auto"/>
              </w:rPr>
            </w:pPr>
            <w:r>
              <w:rPr>
                <w:rFonts w:ascii="Arial" w:cs="Arial" w:eastAsia="Arial" w:hAnsi="Arial"/>
                <w:sz w:val="17"/>
                <w:szCs w:val="17"/>
                <w:color w:val="auto"/>
              </w:rPr>
              <w:t>9%</w:t>
            </w:r>
          </w:p>
        </w:tc>
      </w:tr>
      <w:tr>
        <w:trPr>
          <w:trHeight w:val="253"/>
        </w:trPr>
        <w:tc>
          <w:tcPr>
            <w:tcW w:w="1960" w:type="dxa"/>
            <w:vAlign w:val="bottom"/>
          </w:tcPr>
          <w:p>
            <w:pPr>
              <w:ind w:left="20"/>
              <w:spacing w:after="0"/>
              <w:rPr>
                <w:sz w:val="20"/>
                <w:szCs w:val="20"/>
                <w:color w:val="auto"/>
              </w:rPr>
            </w:pPr>
            <w:r>
              <w:rPr>
                <w:rFonts w:ascii="Arial" w:cs="Arial" w:eastAsia="Arial" w:hAnsi="Arial"/>
                <w:sz w:val="17"/>
                <w:szCs w:val="17"/>
                <w:color w:val="auto"/>
              </w:rPr>
              <w:t>Executives**</w:t>
            </w:r>
          </w:p>
        </w:tc>
        <w:tc>
          <w:tcPr>
            <w:tcW w:w="2260" w:type="dxa"/>
            <w:vAlign w:val="bottom"/>
          </w:tcPr>
          <w:p>
            <w:pPr>
              <w:jc w:val="center"/>
              <w:ind w:left="275"/>
              <w:spacing w:after="0"/>
              <w:rPr>
                <w:sz w:val="20"/>
                <w:szCs w:val="20"/>
                <w:color w:val="auto"/>
              </w:rPr>
            </w:pPr>
            <w:r>
              <w:rPr>
                <w:rFonts w:ascii="Arial" w:cs="Arial" w:eastAsia="Arial" w:hAnsi="Arial"/>
                <w:sz w:val="17"/>
                <w:szCs w:val="17"/>
                <w:color w:val="auto"/>
                <w:w w:val="99"/>
              </w:rPr>
              <w:t>22%</w:t>
            </w:r>
          </w:p>
        </w:tc>
        <w:tc>
          <w:tcPr>
            <w:tcW w:w="2500" w:type="dxa"/>
            <w:vAlign w:val="bottom"/>
          </w:tcPr>
          <w:p>
            <w:pPr>
              <w:jc w:val="center"/>
              <w:spacing w:after="0"/>
              <w:rPr>
                <w:sz w:val="20"/>
                <w:szCs w:val="20"/>
                <w:color w:val="auto"/>
              </w:rPr>
            </w:pPr>
            <w:r>
              <w:rPr>
                <w:rFonts w:ascii="Arial" w:cs="Arial" w:eastAsia="Arial" w:hAnsi="Arial"/>
                <w:sz w:val="17"/>
                <w:szCs w:val="17"/>
                <w:color w:val="auto"/>
                <w:w w:val="99"/>
              </w:rPr>
              <w:t>14%</w:t>
            </w:r>
          </w:p>
        </w:tc>
        <w:tc>
          <w:tcPr>
            <w:tcW w:w="1880" w:type="dxa"/>
            <w:vAlign w:val="bottom"/>
          </w:tcPr>
          <w:p>
            <w:pPr>
              <w:jc w:val="center"/>
              <w:spacing w:after="0"/>
              <w:rPr>
                <w:sz w:val="20"/>
                <w:szCs w:val="20"/>
                <w:color w:val="auto"/>
              </w:rPr>
            </w:pPr>
            <w:r>
              <w:rPr>
                <w:rFonts w:ascii="Arial" w:cs="Arial" w:eastAsia="Arial" w:hAnsi="Arial"/>
                <w:sz w:val="17"/>
                <w:szCs w:val="17"/>
                <w:color w:val="auto"/>
                <w:w w:val="99"/>
              </w:rPr>
              <w:t>21%</w:t>
            </w:r>
          </w:p>
        </w:tc>
        <w:tc>
          <w:tcPr>
            <w:tcW w:w="2620" w:type="dxa"/>
            <w:vAlign w:val="bottom"/>
          </w:tcPr>
          <w:p>
            <w:pPr>
              <w:jc w:val="center"/>
              <w:ind w:left="155"/>
              <w:spacing w:after="0"/>
              <w:rPr>
                <w:sz w:val="20"/>
                <w:szCs w:val="20"/>
                <w:color w:val="auto"/>
              </w:rPr>
            </w:pPr>
            <w:r>
              <w:rPr>
                <w:rFonts w:ascii="Arial" w:cs="Arial" w:eastAsia="Arial" w:hAnsi="Arial"/>
                <w:sz w:val="17"/>
                <w:szCs w:val="17"/>
                <w:color w:val="auto"/>
              </w:rPr>
              <w:t>9%</w:t>
            </w:r>
          </w:p>
        </w:tc>
      </w:tr>
      <w:tr>
        <w:trPr>
          <w:trHeight w:val="52"/>
        </w:trPr>
        <w:tc>
          <w:tcPr>
            <w:tcW w:w="1960" w:type="dxa"/>
            <w:vAlign w:val="bottom"/>
            <w:tcBorders>
              <w:bottom w:val="single" w:sz="8" w:color="002E60"/>
            </w:tcBorders>
          </w:tcPr>
          <w:p>
            <w:pPr>
              <w:spacing w:after="0"/>
              <w:rPr>
                <w:sz w:val="4"/>
                <w:szCs w:val="4"/>
                <w:color w:val="auto"/>
              </w:rPr>
            </w:pPr>
          </w:p>
        </w:tc>
        <w:tc>
          <w:tcPr>
            <w:tcW w:w="2260" w:type="dxa"/>
            <w:vAlign w:val="bottom"/>
            <w:tcBorders>
              <w:bottom w:val="single" w:sz="8" w:color="002E60"/>
            </w:tcBorders>
          </w:tcPr>
          <w:p>
            <w:pPr>
              <w:spacing w:after="0"/>
              <w:rPr>
                <w:sz w:val="4"/>
                <w:szCs w:val="4"/>
                <w:color w:val="auto"/>
              </w:rPr>
            </w:pPr>
          </w:p>
        </w:tc>
        <w:tc>
          <w:tcPr>
            <w:tcW w:w="2500" w:type="dxa"/>
            <w:vAlign w:val="bottom"/>
            <w:tcBorders>
              <w:bottom w:val="single" w:sz="8" w:color="002E60"/>
            </w:tcBorders>
          </w:tcPr>
          <w:p>
            <w:pPr>
              <w:spacing w:after="0"/>
              <w:rPr>
                <w:sz w:val="4"/>
                <w:szCs w:val="4"/>
                <w:color w:val="auto"/>
              </w:rPr>
            </w:pPr>
          </w:p>
        </w:tc>
        <w:tc>
          <w:tcPr>
            <w:tcW w:w="1880" w:type="dxa"/>
            <w:vAlign w:val="bottom"/>
            <w:tcBorders>
              <w:bottom w:val="single" w:sz="8" w:color="002E60"/>
            </w:tcBorders>
          </w:tcPr>
          <w:p>
            <w:pPr>
              <w:spacing w:after="0"/>
              <w:rPr>
                <w:sz w:val="4"/>
                <w:szCs w:val="4"/>
                <w:color w:val="auto"/>
              </w:rPr>
            </w:pPr>
          </w:p>
        </w:tc>
        <w:tc>
          <w:tcPr>
            <w:tcW w:w="2620" w:type="dxa"/>
            <w:vAlign w:val="bottom"/>
            <w:tcBorders>
              <w:bottom w:val="single" w:sz="8" w:color="002E60"/>
            </w:tcBorders>
          </w:tcPr>
          <w:p>
            <w:pPr>
              <w:spacing w:after="0"/>
              <w:rPr>
                <w:sz w:val="4"/>
                <w:szCs w:val="4"/>
                <w:color w:val="auto"/>
              </w:rPr>
            </w:pPr>
          </w:p>
        </w:tc>
      </w:tr>
    </w:tbl>
    <w:p>
      <w:pPr>
        <w:spacing w:after="0" w:line="115" w:lineRule="exact"/>
        <w:rPr>
          <w:sz w:val="20"/>
          <w:szCs w:val="20"/>
          <w:color w:val="auto"/>
        </w:rPr>
      </w:pPr>
    </w:p>
    <w:p>
      <w:pPr>
        <w:ind w:right="720"/>
        <w:spacing w:after="0" w:line="276" w:lineRule="auto"/>
        <w:rPr>
          <w:sz w:val="20"/>
          <w:szCs w:val="20"/>
          <w:color w:val="auto"/>
        </w:rPr>
      </w:pPr>
      <w:r>
        <w:rPr>
          <w:rFonts w:ascii="Arial" w:cs="Arial" w:eastAsia="Arial" w:hAnsi="Arial"/>
          <w:sz w:val="17"/>
          <w:szCs w:val="17"/>
          <w:color w:val="auto"/>
        </w:rPr>
        <w:t>*Based on employees who self-identify. Includes only U.S. employees and expatriates except for Women, which also includes local country nationals. Excludes casual workers, interns/co-ops and employees of certain subsidiaries and joint ventures.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**Executive is defined as director-level (one level below vice president) or higher.</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these diversity metrics, we also intend to make our Consolidated EEO-1 Report information available on our website beginning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2020 data, which we expect to be available later in 2021. Our 2020 achievements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254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2545715"/>
                    </a:xfrm>
                    <a:prstGeom prst="rect">
                      <a:avLst/>
                    </a:prstGeom>
                    <a:noFill/>
                  </pic:spPr>
                </pic:pic>
              </a:graphicData>
            </a:graphic>
          </wp:anchor>
        </w:drawing>
      </w:r>
    </w:p>
    <w:p>
      <w:pPr>
        <w:sectPr>
          <w:pgSz w:w="11900" w:h="16838" w:orient="portrait"/>
          <w:cols w:equalWidth="0" w:num="1">
            <w:col w:w="11220"/>
          </w:cols>
          <w:pgMar w:left="320" w:top="609"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Recruiting Top Talent:</w:t>
      </w:r>
    </w:p>
    <w:p>
      <w:pPr>
        <w:spacing w:after="0" w:line="200" w:lineRule="exact"/>
        <w:rPr>
          <w:sz w:val="20"/>
          <w:szCs w:val="20"/>
          <w:color w:val="auto"/>
        </w:rPr>
      </w:pPr>
    </w:p>
    <w:p>
      <w:pPr>
        <w:spacing w:after="0" w:line="253" w:lineRule="exact"/>
        <w:rPr>
          <w:sz w:val="20"/>
          <w:szCs w:val="20"/>
          <w:color w:val="auto"/>
        </w:rPr>
      </w:pPr>
    </w:p>
    <w:p>
      <w:pPr>
        <w:ind w:left="300" w:right="80" w:hanging="153"/>
        <w:spacing w:after="0" w:line="267" w:lineRule="auto"/>
        <w:tabs>
          <w:tab w:leader="none" w:pos="245" w:val="left"/>
        </w:tabs>
        <w:numPr>
          <w:ilvl w:val="0"/>
          <w:numId w:val="44"/>
        </w:numPr>
        <w:rPr>
          <w:rFonts w:ascii="Arial" w:cs="Arial" w:eastAsia="Arial" w:hAnsi="Arial"/>
          <w:sz w:val="17"/>
          <w:szCs w:val="17"/>
          <w:color w:val="002E6D"/>
        </w:rPr>
      </w:pPr>
      <w:r>
        <w:rPr>
          <w:rFonts w:ascii="Arial" w:cs="Arial" w:eastAsia="Arial" w:hAnsi="Arial"/>
          <w:sz w:val="17"/>
          <w:szCs w:val="17"/>
          <w:color w:val="auto"/>
        </w:rPr>
        <w:t>Improved the diversity of the workforce, specifically in the representation of women and People of Color, through focused hiring and partnerships with Minority Serving Institutions (MSIs) and external organizations</w:t>
      </w:r>
    </w:p>
    <w:p>
      <w:pPr>
        <w:spacing w:after="0" w:line="45" w:lineRule="exact"/>
        <w:rPr>
          <w:rFonts w:ascii="Arial" w:cs="Arial" w:eastAsia="Arial" w:hAnsi="Arial"/>
          <w:sz w:val="17"/>
          <w:szCs w:val="17"/>
          <w:color w:val="002E6D"/>
        </w:rPr>
      </w:pPr>
    </w:p>
    <w:p>
      <w:pPr>
        <w:ind w:left="300" w:hanging="153"/>
        <w:spacing w:after="0" w:line="268" w:lineRule="auto"/>
        <w:tabs>
          <w:tab w:leader="none" w:pos="245" w:val="left"/>
        </w:tabs>
        <w:numPr>
          <w:ilvl w:val="0"/>
          <w:numId w:val="44"/>
        </w:numPr>
        <w:rPr>
          <w:rFonts w:ascii="Arial" w:cs="Arial" w:eastAsia="Arial" w:hAnsi="Arial"/>
          <w:sz w:val="17"/>
          <w:szCs w:val="17"/>
          <w:color w:val="002E6D"/>
        </w:rPr>
      </w:pPr>
      <w:r>
        <w:rPr>
          <w:rFonts w:ascii="Arial" w:cs="Arial" w:eastAsia="Arial" w:hAnsi="Arial"/>
          <w:sz w:val="17"/>
          <w:szCs w:val="17"/>
          <w:color w:val="auto"/>
        </w:rPr>
        <w:t>Ranked #1 Top Supporters of Historically Black College &amp; University (HBCU) Engineering Institutions for 6th consecutive year</w:t>
      </w:r>
    </w:p>
    <w:p>
      <w:pPr>
        <w:spacing w:after="0" w:line="44" w:lineRule="exact"/>
        <w:rPr>
          <w:rFonts w:ascii="Arial" w:cs="Arial" w:eastAsia="Arial" w:hAnsi="Arial"/>
          <w:sz w:val="17"/>
          <w:szCs w:val="17"/>
          <w:color w:val="002E6D"/>
        </w:rPr>
      </w:pPr>
    </w:p>
    <w:p>
      <w:pPr>
        <w:ind w:left="300" w:right="60" w:hanging="153"/>
        <w:spacing w:after="0" w:line="276" w:lineRule="auto"/>
        <w:tabs>
          <w:tab w:leader="none" w:pos="245" w:val="left"/>
        </w:tabs>
        <w:numPr>
          <w:ilvl w:val="0"/>
          <w:numId w:val="44"/>
        </w:numPr>
        <w:rPr>
          <w:rFonts w:ascii="Arial" w:cs="Arial" w:eastAsia="Arial" w:hAnsi="Arial"/>
          <w:sz w:val="17"/>
          <w:szCs w:val="17"/>
          <w:color w:val="002E6D"/>
        </w:rPr>
      </w:pPr>
      <w:r>
        <w:rPr>
          <w:rFonts w:ascii="Arial" w:cs="Arial" w:eastAsia="Arial" w:hAnsi="Arial"/>
          <w:sz w:val="17"/>
          <w:szCs w:val="17"/>
          <w:color w:val="auto"/>
        </w:rPr>
        <w:t>Ranked #2 Top 50 Employers in Women Engineer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438785</wp:posOffset>
            </wp:positionV>
            <wp:extent cx="969010" cy="2228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Fostering an Inclusive Workplace:</w:t>
      </w:r>
    </w:p>
    <w:p>
      <w:pPr>
        <w:spacing w:after="0" w:line="200" w:lineRule="exact"/>
        <w:rPr>
          <w:sz w:val="20"/>
          <w:szCs w:val="20"/>
          <w:color w:val="auto"/>
        </w:rPr>
      </w:pPr>
    </w:p>
    <w:p>
      <w:pPr>
        <w:spacing w:after="0" w:line="253" w:lineRule="exact"/>
        <w:rPr>
          <w:sz w:val="20"/>
          <w:szCs w:val="20"/>
          <w:color w:val="auto"/>
        </w:rPr>
      </w:pPr>
    </w:p>
    <w:p>
      <w:pPr>
        <w:ind w:left="180" w:right="180" w:hanging="172"/>
        <w:spacing w:after="0" w:line="268" w:lineRule="auto"/>
        <w:tabs>
          <w:tab w:leader="none" w:pos="125" w:val="left"/>
        </w:tabs>
        <w:numPr>
          <w:ilvl w:val="0"/>
          <w:numId w:val="45"/>
        </w:numPr>
        <w:rPr>
          <w:rFonts w:ascii="Arial" w:cs="Arial" w:eastAsia="Arial" w:hAnsi="Arial"/>
          <w:sz w:val="17"/>
          <w:szCs w:val="17"/>
          <w:color w:val="002E6D"/>
          <w:shd w:val="clear" w:color="auto" w:fill="E5E7EF"/>
        </w:rPr>
      </w:pPr>
      <w:r>
        <w:rPr>
          <w:rFonts w:ascii="Arial" w:cs="Arial" w:eastAsia="Arial" w:hAnsi="Arial"/>
          <w:sz w:val="17"/>
          <w:szCs w:val="17"/>
          <w:color w:val="auto"/>
          <w:shd w:val="clear" w:color="auto" w:fill="E5E7EF"/>
        </w:rPr>
        <w:t>Increased employee participation in Corporation-sponsored diversity and inclusion initiatives, including Business Resource Groups, and Leadership Forums</w:t>
      </w:r>
    </w:p>
    <w:p>
      <w:pPr>
        <w:spacing w:after="0" w:line="42" w:lineRule="exact"/>
        <w:rPr>
          <w:rFonts w:ascii="Arial" w:cs="Arial" w:eastAsia="Arial" w:hAnsi="Arial"/>
          <w:sz w:val="17"/>
          <w:szCs w:val="17"/>
          <w:color w:val="002E6D"/>
          <w:shd w:val="clear" w:color="auto" w:fill="E5E7EF"/>
        </w:rPr>
      </w:pPr>
    </w:p>
    <w:p>
      <w:pPr>
        <w:ind w:left="180" w:right="20" w:hanging="172"/>
        <w:spacing w:after="0" w:line="277" w:lineRule="auto"/>
        <w:tabs>
          <w:tab w:leader="none" w:pos="125" w:val="left"/>
        </w:tabs>
        <w:numPr>
          <w:ilvl w:val="0"/>
          <w:numId w:val="45"/>
        </w:numPr>
        <w:rPr>
          <w:rFonts w:ascii="Arial" w:cs="Arial" w:eastAsia="Arial" w:hAnsi="Arial"/>
          <w:sz w:val="16"/>
          <w:szCs w:val="16"/>
          <w:color w:val="002E6D"/>
          <w:shd w:val="clear" w:color="auto" w:fill="E5E7EF"/>
        </w:rPr>
      </w:pPr>
      <w:r>
        <w:rPr>
          <w:rFonts w:ascii="Arial" w:cs="Arial" w:eastAsia="Arial" w:hAnsi="Arial"/>
          <w:sz w:val="16"/>
          <w:szCs w:val="16"/>
          <w:color w:val="auto"/>
        </w:rPr>
        <w:t>Recognized as a Best Place to Work for LGBT Equality after scoring 100% on the Human Rights Campaign’s Corporate Equality Index for 11</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consecutive year</w:t>
      </w:r>
    </w:p>
    <w:p>
      <w:pPr>
        <w:spacing w:after="0" w:line="2" w:lineRule="exact"/>
        <w:rPr>
          <w:rFonts w:ascii="Arial" w:cs="Arial" w:eastAsia="Arial" w:hAnsi="Arial"/>
          <w:sz w:val="16"/>
          <w:szCs w:val="16"/>
          <w:color w:val="002E6D"/>
          <w:shd w:val="clear" w:color="auto" w:fill="E5E7EF"/>
        </w:rPr>
      </w:pPr>
    </w:p>
    <w:p>
      <w:pPr>
        <w:ind w:left="120" w:hanging="112"/>
        <w:spacing w:after="0"/>
        <w:tabs>
          <w:tab w:leader="none" w:pos="120" w:val="left"/>
        </w:tabs>
        <w:numPr>
          <w:ilvl w:val="0"/>
          <w:numId w:val="45"/>
        </w:numPr>
        <w:rPr>
          <w:rFonts w:ascii="Arial" w:cs="Arial" w:eastAsia="Arial" w:hAnsi="Arial"/>
          <w:sz w:val="17"/>
          <w:szCs w:val="17"/>
          <w:color w:val="002E6D"/>
        </w:rPr>
      </w:pPr>
      <w:r>
        <w:rPr>
          <w:rFonts w:ascii="Arial" w:cs="Arial" w:eastAsia="Arial" w:hAnsi="Arial"/>
          <w:sz w:val="17"/>
          <w:szCs w:val="17"/>
          <w:color w:val="auto"/>
          <w:shd w:val="clear" w:color="auto" w:fill="E5E7EF"/>
        </w:rPr>
        <w:t>Recognized by Disability:IN</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shd w:val="clear" w:color="auto" w:fill="E5E7EF"/>
        </w:rPr>
        <w:t>with a score of 100 on the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shd w:val="clear" w:color="auto" w:fill="E5E7EF"/>
        </w:rPr>
        <w:t>Disability Equality Index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705"/>
        <w:spacing w:after="0"/>
        <w:rPr>
          <w:sz w:val="20"/>
          <w:szCs w:val="20"/>
          <w:color w:val="auto"/>
        </w:rPr>
      </w:pPr>
      <w:r>
        <w:rPr>
          <w:rFonts w:ascii="Arial" w:cs="Arial" w:eastAsia="Arial" w:hAnsi="Arial"/>
          <w:sz w:val="17"/>
          <w:szCs w:val="17"/>
          <w:color w:val="auto"/>
        </w:rPr>
        <w:t>Supporting STEM Education:</w:t>
      </w:r>
    </w:p>
    <w:p>
      <w:pPr>
        <w:spacing w:after="0" w:line="200" w:lineRule="exact"/>
        <w:rPr>
          <w:sz w:val="20"/>
          <w:szCs w:val="20"/>
          <w:color w:val="auto"/>
        </w:rPr>
      </w:pPr>
    </w:p>
    <w:p>
      <w:pPr>
        <w:spacing w:after="0" w:line="253" w:lineRule="exact"/>
        <w:rPr>
          <w:sz w:val="20"/>
          <w:szCs w:val="20"/>
          <w:color w:val="auto"/>
        </w:rPr>
      </w:pPr>
    </w:p>
    <w:p>
      <w:pPr>
        <w:ind w:left="165" w:right="280" w:hanging="165"/>
        <w:spacing w:after="0" w:line="268" w:lineRule="auto"/>
        <w:tabs>
          <w:tab w:leader="none" w:pos="110" w:val="left"/>
        </w:tabs>
        <w:numPr>
          <w:ilvl w:val="0"/>
          <w:numId w:val="46"/>
        </w:numPr>
        <w:rPr>
          <w:rFonts w:ascii="Arial" w:cs="Arial" w:eastAsia="Arial" w:hAnsi="Arial"/>
          <w:sz w:val="17"/>
          <w:szCs w:val="17"/>
          <w:color w:val="002E60"/>
        </w:rPr>
      </w:pPr>
      <w:r>
        <w:rPr>
          <w:rFonts w:ascii="Arial" w:cs="Arial" w:eastAsia="Arial" w:hAnsi="Arial"/>
          <w:sz w:val="17"/>
          <w:szCs w:val="17"/>
          <w:color w:val="auto"/>
        </w:rPr>
        <w:t>$1.182 million contributed to MSIs to support student development, research, summer bridge programs, STEM, pre-college programs and curriculum development</w:t>
      </w:r>
    </w:p>
    <w:p>
      <w:pPr>
        <w:spacing w:after="0" w:line="42" w:lineRule="exact"/>
        <w:rPr>
          <w:rFonts w:ascii="Arial" w:cs="Arial" w:eastAsia="Arial" w:hAnsi="Arial"/>
          <w:sz w:val="17"/>
          <w:szCs w:val="17"/>
          <w:color w:val="002E60"/>
        </w:rPr>
      </w:pPr>
    </w:p>
    <w:p>
      <w:pPr>
        <w:ind w:left="165" w:right="200" w:hanging="165"/>
        <w:spacing w:after="0" w:line="267" w:lineRule="auto"/>
        <w:tabs>
          <w:tab w:leader="none" w:pos="110" w:val="left"/>
        </w:tabs>
        <w:numPr>
          <w:ilvl w:val="0"/>
          <w:numId w:val="46"/>
        </w:numPr>
        <w:rPr>
          <w:rFonts w:ascii="Arial" w:cs="Arial" w:eastAsia="Arial" w:hAnsi="Arial"/>
          <w:sz w:val="17"/>
          <w:szCs w:val="17"/>
          <w:color w:val="002E60"/>
        </w:rPr>
      </w:pPr>
      <w:r>
        <w:rPr>
          <w:rFonts w:ascii="Arial" w:cs="Arial" w:eastAsia="Arial" w:hAnsi="Arial"/>
          <w:sz w:val="17"/>
          <w:szCs w:val="17"/>
          <w:color w:val="auto"/>
        </w:rPr>
        <w:t>Invested $1.391 million in education equality programs, including the National Society of Black Engineers, Advancing Minorities Interests in Engineering, Girls Inc, Black Engineer of the Year Awards, Ron Brown Fund and INROADS</w:t>
      </w:r>
    </w:p>
    <w:p>
      <w:pPr>
        <w:spacing w:after="0" w:line="478" w:lineRule="exact"/>
        <w:rPr>
          <w:sz w:val="20"/>
          <w:szCs w:val="20"/>
          <w:color w:val="auto"/>
        </w:rPr>
      </w:pPr>
    </w:p>
    <w:p>
      <w:pPr>
        <w:sectPr>
          <w:pgSz w:w="11900" w:h="16838" w:orient="portrait"/>
          <w:cols w:equalWidth="0" w:num="3">
            <w:col w:w="3360" w:space="600"/>
            <w:col w:w="3280" w:space="535"/>
            <w:col w:w="3445"/>
          </w:cols>
          <w:pgMar w:left="320" w:top="60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26</w:t>
      </w:r>
    </w:p>
    <w:p>
      <w:pPr>
        <w:sectPr>
          <w:pgSz w:w="11900" w:h="16838" w:orient="portrait"/>
          <w:cols w:equalWidth="0" w:num="1">
            <w:col w:w="11220"/>
          </w:cols>
          <w:pgMar w:left="320" w:top="609" w:right="35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5"/>
          <w:szCs w:val="15"/>
          <w:color w:val="00347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5974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597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5"/>
          <w:szCs w:val="25"/>
          <w:color w:val="475C90"/>
        </w:rPr>
        <w:t>Human Rights</w:t>
      </w:r>
    </w:p>
    <w:p>
      <w:pPr>
        <w:sectPr>
          <w:pgSz w:w="11900" w:h="16838" w:orient="portrait"/>
          <w:cols w:equalWidth="0" w:num="1">
            <w:col w:w="11240"/>
          </w:cols>
          <w:pgMar w:left="320" w:top="609" w:right="339" w:bottom="1440" w:gutter="0" w:footer="0" w:header="0"/>
        </w:sectPr>
      </w:pPr>
    </w:p>
    <w:p>
      <w:pPr>
        <w:spacing w:after="0" w:line="231" w:lineRule="exact"/>
        <w:rPr>
          <w:sz w:val="20"/>
          <w:szCs w:val="20"/>
          <w:color w:val="auto"/>
        </w:rPr>
      </w:pPr>
    </w:p>
    <w:p>
      <w:pPr>
        <w:ind w:left="100"/>
        <w:spacing w:after="0"/>
        <w:rPr>
          <w:sz w:val="20"/>
          <w:szCs w:val="20"/>
          <w:color w:val="auto"/>
        </w:rPr>
      </w:pPr>
      <w:r>
        <w:rPr>
          <w:rFonts w:ascii="Arial" w:cs="Arial" w:eastAsia="Arial" w:hAnsi="Arial"/>
          <w:sz w:val="22"/>
          <w:szCs w:val="22"/>
          <w:color w:val="475C90"/>
          <w:shd w:val="clear" w:color="auto" w:fill="E5E7EF"/>
        </w:rPr>
        <w:t>Our Human Rights Policy and Principles:</w:t>
      </w:r>
    </w:p>
    <w:p>
      <w:pPr>
        <w:spacing w:after="0" w:line="98" w:lineRule="exact"/>
        <w:rPr>
          <w:sz w:val="20"/>
          <w:szCs w:val="20"/>
          <w:color w:val="auto"/>
        </w:rPr>
      </w:pPr>
    </w:p>
    <w:p>
      <w:pPr>
        <w:ind w:left="100" w:right="60"/>
        <w:spacing w:after="0" w:line="248" w:lineRule="auto"/>
        <w:rPr>
          <w:sz w:val="20"/>
          <w:szCs w:val="20"/>
          <w:color w:val="auto"/>
        </w:rPr>
      </w:pPr>
      <w:r>
        <w:rPr>
          <w:rFonts w:ascii="Arial" w:cs="Arial" w:eastAsia="Arial" w:hAnsi="Arial"/>
          <w:sz w:val="17"/>
          <w:szCs w:val="17"/>
          <w:color w:val="auto"/>
        </w:rPr>
        <w:t xml:space="preserve">As outlined in our Good Corporate Citizenship and Respect for Human Rights Policy, at Lockheed Martin, we believe that respect for human rights is an essential element of being a good corporate citizen. Our commitment to respecting human rights underlies </w:t>
      </w:r>
      <w:r>
        <w:rPr>
          <w:rFonts w:ascii="Arial" w:cs="Arial" w:eastAsia="Arial" w:hAnsi="Arial"/>
          <w:sz w:val="17"/>
          <w:szCs w:val="17"/>
          <w:i w:val="1"/>
          <w:iCs w:val="1"/>
          <w:color w:val="auto"/>
        </w:rPr>
        <w:t>Setting</w:t>
      </w:r>
      <w:r>
        <w:rPr>
          <w:rFonts w:ascii="Arial" w:cs="Arial" w:eastAsia="Arial" w:hAnsi="Arial"/>
          <w:sz w:val="17"/>
          <w:szCs w:val="17"/>
          <w:color w:val="auto"/>
        </w:rPr>
        <w:t xml:space="preserve"> </w:t>
      </w:r>
      <w:r>
        <w:rPr>
          <w:rFonts w:ascii="Arial" w:cs="Arial" w:eastAsia="Arial" w:hAnsi="Arial"/>
          <w:sz w:val="17"/>
          <w:szCs w:val="17"/>
          <w:i w:val="1"/>
          <w:iCs w:val="1"/>
          <w:color w:val="auto"/>
        </w:rPr>
        <w:t>the Standard</w:t>
      </w:r>
      <w:r>
        <w:rPr>
          <w:rFonts w:ascii="Arial" w:cs="Arial" w:eastAsia="Arial" w:hAnsi="Arial"/>
          <w:sz w:val="17"/>
          <w:szCs w:val="17"/>
          <w:color w:val="auto"/>
        </w:rPr>
        <w:t>, the Lockheed Martin Code of Ethics and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and our stated values—</w:t>
      </w:r>
      <w:r>
        <w:rPr>
          <w:rFonts w:ascii="Arial" w:cs="Arial" w:eastAsia="Arial" w:hAnsi="Arial"/>
          <w:sz w:val="17"/>
          <w:szCs w:val="17"/>
          <w:i w:val="1"/>
          <w:iCs w:val="1"/>
          <w:color w:val="auto"/>
        </w:rPr>
        <w:t>Do What’s Right, Respect Others,</w:t>
      </w:r>
      <w:r>
        <w:rPr>
          <w:rFonts w:ascii="Arial" w:cs="Arial" w:eastAsia="Arial" w:hAnsi="Arial"/>
          <w:sz w:val="17"/>
          <w:szCs w:val="17"/>
          <w:color w:val="auto"/>
        </w:rPr>
        <w:t xml:space="preserve"> </w:t>
      </w:r>
      <w:r>
        <w:rPr>
          <w:rFonts w:ascii="Arial" w:cs="Arial" w:eastAsia="Arial" w:hAnsi="Arial"/>
          <w:sz w:val="17"/>
          <w:szCs w:val="17"/>
          <w:i w:val="1"/>
          <w:iCs w:val="1"/>
          <w:color w:val="auto"/>
        </w:rPr>
        <w:t>and Perform with Excellence</w:t>
      </w:r>
      <w:r>
        <w:rPr>
          <w:rFonts w:ascii="Arial" w:cs="Arial" w:eastAsia="Arial" w:hAnsi="Arial"/>
          <w:sz w:val="17"/>
          <w:szCs w:val="17"/>
          <w:color w:val="auto"/>
        </w:rPr>
        <w:t>. This commitment applies to all</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the Board, and others who represent or act for us. Our Human Rights Policy includes the following principles:</w:t>
      </w:r>
    </w:p>
    <w:p>
      <w:pPr>
        <w:spacing w:after="0" w:line="5" w:lineRule="exact"/>
        <w:rPr>
          <w:sz w:val="20"/>
          <w:szCs w:val="20"/>
          <w:color w:val="auto"/>
        </w:rPr>
      </w:pPr>
    </w:p>
    <w:p>
      <w:pPr>
        <w:ind w:left="360" w:right="600" w:hanging="253"/>
        <w:spacing w:after="0" w:line="248" w:lineRule="auto"/>
        <w:tabs>
          <w:tab w:leader="none" w:pos="325" w:val="left"/>
        </w:tabs>
        <w:numPr>
          <w:ilvl w:val="0"/>
          <w:numId w:val="47"/>
        </w:numPr>
        <w:rPr>
          <w:rFonts w:ascii="Arial" w:cs="Arial" w:eastAsia="Arial" w:hAnsi="Arial"/>
          <w:sz w:val="17"/>
          <w:szCs w:val="17"/>
          <w:color w:val="002E6D"/>
        </w:rPr>
      </w:pPr>
      <w:r>
        <w:rPr>
          <w:rFonts w:ascii="Arial" w:cs="Arial" w:eastAsia="Arial" w:hAnsi="Arial"/>
          <w:sz w:val="17"/>
          <w:szCs w:val="17"/>
          <w:color w:val="auto"/>
        </w:rPr>
        <w:t>Support human rights by treating employees with respect, promoting fair employment practices, providing fair and competitive wages and prohibiting harassment, bullying, discrimination, use of child or forced labor and trafficking in persons for any purpose.</w:t>
      </w:r>
    </w:p>
    <w:p>
      <w:pPr>
        <w:spacing w:after="0" w:line="2" w:lineRule="exact"/>
        <w:rPr>
          <w:rFonts w:ascii="Arial" w:cs="Arial" w:eastAsia="Arial" w:hAnsi="Arial"/>
          <w:sz w:val="17"/>
          <w:szCs w:val="17"/>
          <w:color w:val="002E6D"/>
        </w:rPr>
      </w:pPr>
    </w:p>
    <w:p>
      <w:pPr>
        <w:ind w:left="320" w:hanging="213"/>
        <w:spacing w:after="0"/>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Uphold the laws applying to our business, wherever we operate.</w:t>
      </w:r>
    </w:p>
    <w:p>
      <w:pPr>
        <w:spacing w:after="0" w:line="7" w:lineRule="exact"/>
        <w:rPr>
          <w:rFonts w:ascii="Arial" w:cs="Arial" w:eastAsia="Arial" w:hAnsi="Arial"/>
          <w:sz w:val="17"/>
          <w:szCs w:val="17"/>
          <w:color w:val="auto"/>
        </w:rPr>
      </w:pPr>
    </w:p>
    <w:p>
      <w:pPr>
        <w:ind w:left="360" w:right="280" w:hanging="253"/>
        <w:spacing w:after="0" w:line="248" w:lineRule="auto"/>
        <w:tabs>
          <w:tab w:leader="none" w:pos="325" w:val="left"/>
        </w:tabs>
        <w:numPr>
          <w:ilvl w:val="0"/>
          <w:numId w:val="47"/>
        </w:numPr>
        <w:rPr>
          <w:rFonts w:ascii="Arial" w:cs="Arial" w:eastAsia="Arial" w:hAnsi="Arial"/>
          <w:sz w:val="17"/>
          <w:szCs w:val="17"/>
          <w:color w:val="002E6D"/>
        </w:rPr>
      </w:pPr>
      <w:r>
        <w:rPr>
          <w:rFonts w:ascii="Arial" w:cs="Arial" w:eastAsia="Arial" w:hAnsi="Arial"/>
          <w:sz w:val="17"/>
          <w:szCs w:val="17"/>
          <w:color w:val="auto"/>
        </w:rPr>
        <w:t>Seek to minimize the negative consequences of our business activities and decisions on our stakeholders, including by minimizing harm to the environment and conserving natural resources, promoting workplace safety, ensuring accuracy and transparency in our communications and delivering high-quality products and services.</w:t>
      </w:r>
    </w:p>
    <w:p>
      <w:pPr>
        <w:spacing w:after="0" w:line="3" w:lineRule="exact"/>
        <w:rPr>
          <w:rFonts w:ascii="Arial" w:cs="Arial" w:eastAsia="Arial" w:hAnsi="Arial"/>
          <w:sz w:val="17"/>
          <w:szCs w:val="17"/>
          <w:color w:val="002E6D"/>
        </w:rPr>
      </w:pPr>
    </w:p>
    <w:p>
      <w:pPr>
        <w:ind w:left="360" w:hanging="253"/>
        <w:spacing w:after="0" w:line="250" w:lineRule="auto"/>
        <w:tabs>
          <w:tab w:leader="none" w:pos="325" w:val="left"/>
        </w:tabs>
        <w:numPr>
          <w:ilvl w:val="0"/>
          <w:numId w:val="47"/>
        </w:numPr>
        <w:rPr>
          <w:rFonts w:ascii="Arial" w:cs="Arial" w:eastAsia="Arial" w:hAnsi="Arial"/>
          <w:sz w:val="17"/>
          <w:szCs w:val="17"/>
          <w:color w:val="002E6D"/>
        </w:rPr>
      </w:pPr>
      <w:r>
        <w:rPr>
          <w:rFonts w:ascii="Arial" w:cs="Arial" w:eastAsia="Arial" w:hAnsi="Arial"/>
          <w:sz w:val="17"/>
          <w:szCs w:val="17"/>
          <w:color w:val="auto"/>
        </w:rPr>
        <w:t>Contribute to economic and social well-being by investing our resources in innovative products and services, supporting charitable, philanthropic, and social causes, participating appropriately in political affairs and public debate to advance and advocate our values (including engaging our customers to balance appropriately the sale and use of our technology against national and international interests) and promoting efforts to stop corrupt practices that interfere with markets, inhibit economic development and limit sustainable futures.</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22"/>
          <w:szCs w:val="22"/>
          <w:color w:val="475C90"/>
          <w:shd w:val="clear" w:color="auto" w:fill="E5E7EF"/>
        </w:rPr>
        <w:t>Board Oversight of Human Rights:</w:t>
      </w:r>
    </w:p>
    <w:p>
      <w:pPr>
        <w:spacing w:after="0" w:line="98" w:lineRule="exact"/>
        <w:rPr>
          <w:sz w:val="20"/>
          <w:szCs w:val="20"/>
          <w:color w:val="auto"/>
        </w:rPr>
      </w:pPr>
    </w:p>
    <w:p>
      <w:pPr>
        <w:ind w:left="100" w:right="200"/>
        <w:spacing w:after="0" w:line="250" w:lineRule="auto"/>
        <w:rPr>
          <w:sz w:val="20"/>
          <w:szCs w:val="20"/>
          <w:color w:val="auto"/>
        </w:rPr>
      </w:pPr>
      <w:r>
        <w:rPr>
          <w:rFonts w:ascii="Arial" w:cs="Arial" w:eastAsia="Arial" w:hAnsi="Arial"/>
          <w:sz w:val="17"/>
          <w:szCs w:val="17"/>
          <w:color w:val="auto"/>
        </w:rPr>
        <w:t>The Board, through the Governance Committee, reviews and monitors the Corporation’s policies and procedures regarding corporate responsibility and human rights and our compliance with related laws and regulations. Business Integrity is one of the core issues in our Sustainability Management Plan and the Governance Committee receives regular reports from our Senior Vice President, Ethics and Enterprise Assurance on how we are implementing our Sustainability Management Plan, which includes goals with respect to human rights.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475C90"/>
          <w:shd w:val="clear" w:color="auto" w:fill="E5E7EF"/>
        </w:rPr>
        <w:t>Our Human Rights Due Diligence Approach:</w:t>
      </w:r>
    </w:p>
    <w:p>
      <w:pPr>
        <w:spacing w:after="0" w:line="98" w:lineRule="exact"/>
        <w:rPr>
          <w:sz w:val="20"/>
          <w:szCs w:val="20"/>
          <w:color w:val="auto"/>
        </w:rPr>
      </w:pPr>
    </w:p>
    <w:p>
      <w:pPr>
        <w:jc w:val="both"/>
        <w:ind w:right="200"/>
        <w:spacing w:after="0" w:line="248" w:lineRule="auto"/>
        <w:rPr>
          <w:sz w:val="20"/>
          <w:szCs w:val="20"/>
          <w:color w:val="auto"/>
        </w:rPr>
      </w:pPr>
      <w:r>
        <w:rPr>
          <w:rFonts w:ascii="Arial" w:cs="Arial" w:eastAsia="Arial" w:hAnsi="Arial"/>
          <w:sz w:val="17"/>
          <w:szCs w:val="17"/>
          <w:color w:val="auto"/>
        </w:rPr>
        <w:t>Our human rights due diligence processes are embedded within our operating and decision-making practices and procedures and do not exist as a stand-alone procedure.</w:t>
      </w:r>
    </w:p>
    <w:p>
      <w:pPr>
        <w:spacing w:after="0" w:line="2" w:lineRule="exact"/>
        <w:rPr>
          <w:sz w:val="20"/>
          <w:szCs w:val="20"/>
          <w:color w:val="auto"/>
        </w:rPr>
      </w:pPr>
    </w:p>
    <w:p>
      <w:pPr>
        <w:ind w:left="240" w:right="120" w:hanging="235"/>
        <w:spacing w:after="0" w:line="248" w:lineRule="auto"/>
        <w:tabs>
          <w:tab w:leader="none" w:pos="205" w:val="left"/>
        </w:tabs>
        <w:numPr>
          <w:ilvl w:val="0"/>
          <w:numId w:val="48"/>
        </w:numPr>
        <w:rPr>
          <w:rFonts w:ascii="Arial" w:cs="Arial" w:eastAsia="Arial" w:hAnsi="Arial"/>
          <w:sz w:val="17"/>
          <w:szCs w:val="17"/>
          <w:color w:val="002E6D"/>
        </w:rPr>
      </w:pPr>
      <w:r>
        <w:rPr>
          <w:rFonts w:ascii="Arial" w:cs="Arial" w:eastAsia="Arial" w:hAnsi="Arial"/>
          <w:sz w:val="17"/>
          <w:szCs w:val="17"/>
          <w:color w:val="auto"/>
        </w:rPr>
        <w:t>We have robust procedures to ensure that new contracts meet our standards and values. Prospective commitments are reviewed to ensure that they fit our strategic direction, will uphold our reputation, and are structured for successful technical and financial performance. Each business area has implemented proposal review and approval procedures that evaluate risks, and which can result in a decision not to bid at all. Proposals that involve the pursuit of an opportunity related to certain types of products or programs that carry increased reputational risks require review of a multi-disciplinary corporate review committee that is chaired by our CFO and COO and includes our Senior Vice President, Ethics and Enterprise Assurance, who reports to the Governance Committee. In 2020, we also formed a Weapons Review Council at our Missiles and Fire Control business area. This Council thoroughly reviews products and activities that may potentially raise human rights issues.</w:t>
      </w:r>
    </w:p>
    <w:p>
      <w:pPr>
        <w:spacing w:after="0" w:line="8" w:lineRule="exact"/>
        <w:rPr>
          <w:rFonts w:ascii="Arial" w:cs="Arial" w:eastAsia="Arial" w:hAnsi="Arial"/>
          <w:sz w:val="17"/>
          <w:szCs w:val="17"/>
          <w:color w:val="002E6D"/>
        </w:rPr>
      </w:pPr>
    </w:p>
    <w:p>
      <w:pPr>
        <w:ind w:left="240" w:right="100" w:hanging="235"/>
        <w:spacing w:after="0" w:line="248" w:lineRule="auto"/>
        <w:tabs>
          <w:tab w:leader="none" w:pos="205" w:val="left"/>
        </w:tabs>
        <w:numPr>
          <w:ilvl w:val="0"/>
          <w:numId w:val="48"/>
        </w:numPr>
        <w:rPr>
          <w:rFonts w:ascii="Arial" w:cs="Arial" w:eastAsia="Arial" w:hAnsi="Arial"/>
          <w:sz w:val="17"/>
          <w:szCs w:val="17"/>
          <w:color w:val="002E6D"/>
        </w:rPr>
      </w:pPr>
      <w:r>
        <w:rPr>
          <w:rFonts w:ascii="Arial" w:cs="Arial" w:eastAsia="Arial" w:hAnsi="Arial"/>
          <w:sz w:val="17"/>
          <w:szCs w:val="17"/>
          <w:color w:val="auto"/>
        </w:rPr>
        <w:t>We conduct risk-based anti-corruption due diligence, which may be subject to audits, before entering into relationships with third parties, including consultants. We require international consultants to undergo training on our Code of Conduct and associated business conduct and anti-corruption policies. We will walk away from business rather than risk violating anti-corruption laws and our corporate values.</w:t>
      </w:r>
    </w:p>
    <w:p>
      <w:pPr>
        <w:spacing w:after="0" w:line="3" w:lineRule="exact"/>
        <w:rPr>
          <w:rFonts w:ascii="Arial" w:cs="Arial" w:eastAsia="Arial" w:hAnsi="Arial"/>
          <w:sz w:val="17"/>
          <w:szCs w:val="17"/>
          <w:color w:val="002E6D"/>
        </w:rPr>
      </w:pPr>
    </w:p>
    <w:p>
      <w:pPr>
        <w:ind w:left="240" w:right="300" w:hanging="235"/>
        <w:spacing w:after="0" w:line="248" w:lineRule="auto"/>
        <w:tabs>
          <w:tab w:leader="none" w:pos="205" w:val="left"/>
        </w:tabs>
        <w:numPr>
          <w:ilvl w:val="0"/>
          <w:numId w:val="48"/>
        </w:numPr>
        <w:rPr>
          <w:rFonts w:ascii="Arial" w:cs="Arial" w:eastAsia="Arial" w:hAnsi="Arial"/>
          <w:sz w:val="17"/>
          <w:szCs w:val="17"/>
          <w:color w:val="002E6D"/>
        </w:rPr>
      </w:pPr>
      <w:r>
        <w:rPr>
          <w:rFonts w:ascii="Arial" w:cs="Arial" w:eastAsia="Arial" w:hAnsi="Arial"/>
          <w:sz w:val="17"/>
          <w:szCs w:val="17"/>
          <w:color w:val="auto"/>
        </w:rPr>
        <w:t>Our robust trade compliance program is designed to ensure that sales of our products are conducted in accordance with all international trade laws and regulations of the U.S. and each foreign country in which we operate.</w:t>
      </w:r>
    </w:p>
    <w:p>
      <w:pPr>
        <w:spacing w:after="0" w:line="2" w:lineRule="exact"/>
        <w:rPr>
          <w:rFonts w:ascii="Arial" w:cs="Arial" w:eastAsia="Arial" w:hAnsi="Arial"/>
          <w:sz w:val="17"/>
          <w:szCs w:val="17"/>
          <w:color w:val="002E6D"/>
        </w:rPr>
      </w:pPr>
    </w:p>
    <w:p>
      <w:pPr>
        <w:ind w:left="240" w:right="320" w:hanging="235"/>
        <w:spacing w:after="0" w:line="249" w:lineRule="auto"/>
        <w:tabs>
          <w:tab w:leader="none" w:pos="205" w:val="left"/>
        </w:tabs>
        <w:numPr>
          <w:ilvl w:val="0"/>
          <w:numId w:val="48"/>
        </w:numPr>
        <w:rPr>
          <w:rFonts w:ascii="Arial" w:cs="Arial" w:eastAsia="Arial" w:hAnsi="Arial"/>
          <w:sz w:val="17"/>
          <w:szCs w:val="17"/>
          <w:color w:val="002E6D"/>
        </w:rPr>
      </w:pPr>
      <w:r>
        <w:rPr>
          <w:rFonts w:ascii="Arial" w:cs="Arial" w:eastAsia="Arial" w:hAnsi="Arial"/>
          <w:sz w:val="17"/>
          <w:szCs w:val="17"/>
          <w:color w:val="auto"/>
        </w:rPr>
        <w:t>We provide oversight of our standards and controls by providing mandatory training to our employees and trusted grievance mechanisms, providing resources and support to our suppliers, and aligning the interests of employees and suppliers within established frameworks. Formal and informal stakeholder engagement is an integral part of our business. We continue to encourage our employees, suppliers and the general public to report potential human rights violations through our anonymous ethics helpline. We also communicate our expectations to suppliers that they implement supply chain due diligence processes related to conflict minerals in their products.</w:t>
      </w:r>
    </w:p>
    <w:p>
      <w:pPr>
        <w:spacing w:after="0" w:line="274" w:lineRule="exact"/>
        <w:rPr>
          <w:sz w:val="20"/>
          <w:szCs w:val="20"/>
          <w:color w:val="auto"/>
        </w:rPr>
      </w:pPr>
    </w:p>
    <w:p>
      <w:pPr>
        <w:sectPr>
          <w:pgSz w:w="11900" w:h="16838" w:orient="portrait"/>
          <w:cols w:equalWidth="0" w:num="2">
            <w:col w:w="5400" w:space="480"/>
            <w:col w:w="5360"/>
          </w:cols>
          <w:pgMar w:left="320" w:top="609"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475C90"/>
        </w:rPr>
        <w:t>Responsible Sales</w:t>
      </w:r>
    </w:p>
    <w:p>
      <w:pPr>
        <w:spacing w:after="0" w:line="4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All of our sales – domestic, international, commercial and governmental – are subject to our Code of Ethics and Business Conduct and all applicable U.S. and foreign laws and regulations, including those related to anti-corruption, import-export control, taxation, repatriation of earnings, exchange controls and the anti-boycott provisions of the U.S. Export Controls Reform Act of 2018. We have procedures to mitigate corruption risks in all international and domestic dealings.</w:t>
      </w: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27</w:t>
      </w:r>
    </w:p>
    <w:p>
      <w:pPr>
        <w:sectPr>
          <w:pgSz w:w="11900" w:h="16838" w:orient="portrait"/>
          <w:cols w:equalWidth="0" w:num="1">
            <w:col w:w="11240"/>
          </w:cols>
          <w:pgMar w:left="320" w:top="60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Stockholder Engagement and Responsiveness</w:t>
      </w:r>
    </w:p>
    <w:p>
      <w:pPr>
        <w:spacing w:after="0" w:line="123"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The Board of Directors places great importance on regularly communicating with our stockholders to better understand their viewpoints and inform discussions in the boardroom. The Governance Committee oversees our stockholder engagement efforts on behalf of the Board. We recognize the value of building informed and meaningful relationships with our investors that promote increased transparency and accountability. Our Governance Guidelines outline our stockholder engagement program.</w:t>
      </w:r>
    </w:p>
    <w:p>
      <w:pPr>
        <w:spacing w:after="0" w:line="8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Accountability to our stockholders continues to be an important component of the Corporation’s success. At the 2020 annual meeting, an advisory, non-binding stockholder proposal to adopt the right for stockholders to act by written consent received support of more than 47 percent of the votes cast. While the majority of our stockholders rejected the proposal (for the sixth time in the past 10 years, all by the same stockholder proponent), the Board carefully considered the voting results and continued to seek investor feedback as we have done in prior years and continues to believe stockholders have an effective suite of rights to express their views, effect change between annual meetings and ensure Board accountability (see the Board of Directors Statement in Opposition to Proposal 4 on page 82).</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integrated investor outreach team, led by our Corporate Secretary's office and representatives from Sustainability and Human Resources, engages proactively with our stockholders and other key stakeholders, maintaining a year-round governance schedule as shown below. Stockholders' views are communicated to the Board throughout the year and are instrumental in the development of our governance, compensation and sustainability policies and inform our business strategy. In particular, the Board recognizes the importance of ESG topics to our stockholder base, and will continue to seek stockholder input on a range of ESG issues and practices in furtherance of enhancing long-term stockholder value.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Below is a summary of the feedback we received during 2020 off-season engagements:</w:t>
      </w:r>
    </w:p>
    <w:p>
      <w:pPr>
        <w:spacing w:after="0" w:line="102" w:lineRule="exact"/>
        <w:rPr>
          <w:sz w:val="20"/>
          <w:szCs w:val="20"/>
          <w:color w:val="auto"/>
        </w:rPr>
      </w:pPr>
    </w:p>
    <w:p>
      <w:pPr>
        <w:ind w:left="260" w:right="500" w:hanging="171"/>
        <w:spacing w:after="0" w:line="259" w:lineRule="auto"/>
        <w:tabs>
          <w:tab w:leader="none" w:pos="225" w:val="left"/>
        </w:tabs>
        <w:numPr>
          <w:ilvl w:val="0"/>
          <w:numId w:val="49"/>
        </w:numPr>
        <w:rPr>
          <w:rFonts w:ascii="Arial" w:cs="Arial" w:eastAsia="Arial" w:hAnsi="Arial"/>
          <w:sz w:val="17"/>
          <w:szCs w:val="17"/>
          <w:color w:val="002E6D"/>
        </w:rPr>
      </w:pPr>
      <w:r>
        <w:rPr>
          <w:rFonts w:ascii="Arial" w:cs="Arial" w:eastAsia="Arial" w:hAnsi="Arial"/>
          <w:sz w:val="17"/>
          <w:szCs w:val="17"/>
          <w:color w:val="auto"/>
        </w:rPr>
        <w:t>Positive feedback on the Corporation's response to COVID-19 to protect the well-being of our employees and support for our communities, suppliers and partners;</w:t>
      </w:r>
    </w:p>
    <w:p>
      <w:pPr>
        <w:spacing w:after="0" w:line="10" w:lineRule="exact"/>
        <w:rPr>
          <w:rFonts w:ascii="Arial" w:cs="Arial" w:eastAsia="Arial" w:hAnsi="Arial"/>
          <w:sz w:val="17"/>
          <w:szCs w:val="17"/>
          <w:color w:val="002E6D"/>
        </w:rPr>
      </w:pPr>
    </w:p>
    <w:p>
      <w:pPr>
        <w:ind w:left="260" w:right="80" w:hanging="171"/>
        <w:spacing w:after="0" w:line="259" w:lineRule="auto"/>
        <w:tabs>
          <w:tab w:leader="none" w:pos="225" w:val="left"/>
        </w:tabs>
        <w:numPr>
          <w:ilvl w:val="0"/>
          <w:numId w:val="49"/>
        </w:numPr>
        <w:rPr>
          <w:rFonts w:ascii="Arial" w:cs="Arial" w:eastAsia="Arial" w:hAnsi="Arial"/>
          <w:sz w:val="17"/>
          <w:szCs w:val="17"/>
          <w:color w:val="002E6D"/>
        </w:rPr>
      </w:pPr>
      <w:r>
        <w:rPr>
          <w:rFonts w:ascii="Arial" w:cs="Arial" w:eastAsia="Arial" w:hAnsi="Arial"/>
          <w:sz w:val="17"/>
          <w:szCs w:val="17"/>
          <w:color w:val="auto"/>
        </w:rPr>
        <w:t>Continued focus on Board refreshment and appreciation of diversity of ethnic background, gender, and experiences as well as the importance of maintaining alignment of directors' skillsets with our long-term strategy;</w:t>
      </w:r>
    </w:p>
    <w:p>
      <w:pPr>
        <w:spacing w:after="0" w:line="23" w:lineRule="exact"/>
        <w:rPr>
          <w:rFonts w:ascii="Arial" w:cs="Arial" w:eastAsia="Arial" w:hAnsi="Arial"/>
          <w:sz w:val="17"/>
          <w:szCs w:val="17"/>
          <w:color w:val="002E6D"/>
        </w:rPr>
      </w:pPr>
    </w:p>
    <w:p>
      <w:pPr>
        <w:ind w:left="220" w:hanging="131"/>
        <w:spacing w:after="0"/>
        <w:tabs>
          <w:tab w:leader="none" w:pos="220" w:val="left"/>
        </w:tabs>
        <w:numPr>
          <w:ilvl w:val="0"/>
          <w:numId w:val="49"/>
        </w:numPr>
        <w:rPr>
          <w:rFonts w:ascii="Arial" w:cs="Arial" w:eastAsia="Arial" w:hAnsi="Arial"/>
          <w:sz w:val="17"/>
          <w:szCs w:val="17"/>
          <w:color w:val="002E6D"/>
        </w:rPr>
      </w:pPr>
      <w:r>
        <w:rPr>
          <w:rFonts w:ascii="Arial" w:cs="Arial" w:eastAsia="Arial" w:hAnsi="Arial"/>
          <w:sz w:val="17"/>
          <w:szCs w:val="17"/>
          <w:color w:val="auto"/>
        </w:rPr>
        <w:t>Continued interest in how we determine our sustainability priorities, including climate change risks and measure progress;</w:t>
      </w:r>
    </w:p>
    <w:p>
      <w:pPr>
        <w:spacing w:after="0" w:line="47" w:lineRule="exact"/>
        <w:rPr>
          <w:rFonts w:ascii="Arial" w:cs="Arial" w:eastAsia="Arial" w:hAnsi="Arial"/>
          <w:sz w:val="17"/>
          <w:szCs w:val="17"/>
          <w:color w:val="002E6D"/>
        </w:rPr>
      </w:pPr>
    </w:p>
    <w:p>
      <w:pPr>
        <w:ind w:left="220" w:hanging="131"/>
        <w:spacing w:after="0"/>
        <w:tabs>
          <w:tab w:leader="none" w:pos="220" w:val="left"/>
        </w:tabs>
        <w:numPr>
          <w:ilvl w:val="0"/>
          <w:numId w:val="49"/>
        </w:numPr>
        <w:rPr>
          <w:rFonts w:ascii="Arial" w:cs="Arial" w:eastAsia="Arial" w:hAnsi="Arial"/>
          <w:sz w:val="17"/>
          <w:szCs w:val="17"/>
          <w:color w:val="002E6D"/>
        </w:rPr>
      </w:pPr>
      <w:r>
        <w:rPr>
          <w:rFonts w:ascii="Arial" w:cs="Arial" w:eastAsia="Arial" w:hAnsi="Arial"/>
          <w:sz w:val="17"/>
          <w:szCs w:val="17"/>
          <w:color w:val="auto"/>
        </w:rPr>
        <w:t>Understanding our people strategy, approach to human capital management and our workforce diversity efforts;</w:t>
      </w:r>
    </w:p>
    <w:p>
      <w:pPr>
        <w:spacing w:after="0" w:line="34" w:lineRule="exact"/>
        <w:rPr>
          <w:rFonts w:ascii="Arial" w:cs="Arial" w:eastAsia="Arial" w:hAnsi="Arial"/>
          <w:sz w:val="17"/>
          <w:szCs w:val="17"/>
          <w:color w:val="002E6D"/>
        </w:rPr>
      </w:pPr>
    </w:p>
    <w:p>
      <w:pPr>
        <w:ind w:left="220" w:hanging="131"/>
        <w:spacing w:after="0"/>
        <w:tabs>
          <w:tab w:leader="none" w:pos="220" w:val="left"/>
        </w:tabs>
        <w:numPr>
          <w:ilvl w:val="0"/>
          <w:numId w:val="49"/>
        </w:numPr>
        <w:rPr>
          <w:rFonts w:ascii="Arial" w:cs="Arial" w:eastAsia="Arial" w:hAnsi="Arial"/>
          <w:sz w:val="17"/>
          <w:szCs w:val="17"/>
          <w:color w:val="002E6D"/>
        </w:rPr>
      </w:pPr>
      <w:r>
        <w:rPr>
          <w:rFonts w:ascii="Arial" w:cs="Arial" w:eastAsia="Arial" w:hAnsi="Arial"/>
          <w:sz w:val="17"/>
          <w:szCs w:val="17"/>
          <w:color w:val="auto"/>
        </w:rPr>
        <w:t>Continued interest in how sustainability and diversity goals are linked to our annual incentive program with pre-set metrics and goals; and</w:t>
      </w:r>
    </w:p>
    <w:p>
      <w:pPr>
        <w:spacing w:after="0" w:line="47" w:lineRule="exact"/>
        <w:rPr>
          <w:rFonts w:ascii="Arial" w:cs="Arial" w:eastAsia="Arial" w:hAnsi="Arial"/>
          <w:sz w:val="17"/>
          <w:szCs w:val="17"/>
          <w:color w:val="002E6D"/>
        </w:rPr>
      </w:pPr>
    </w:p>
    <w:p>
      <w:pPr>
        <w:ind w:left="220" w:hanging="131"/>
        <w:spacing w:after="0"/>
        <w:tabs>
          <w:tab w:leader="none" w:pos="220" w:val="left"/>
        </w:tabs>
        <w:numPr>
          <w:ilvl w:val="0"/>
          <w:numId w:val="49"/>
        </w:numPr>
        <w:rPr>
          <w:rFonts w:ascii="Arial" w:cs="Arial" w:eastAsia="Arial" w:hAnsi="Arial"/>
          <w:sz w:val="17"/>
          <w:szCs w:val="17"/>
          <w:color w:val="002E6D"/>
        </w:rPr>
      </w:pPr>
      <w:r>
        <w:rPr>
          <w:rFonts w:ascii="Arial" w:cs="Arial" w:eastAsia="Arial" w:hAnsi="Arial"/>
          <w:sz w:val="17"/>
          <w:szCs w:val="17"/>
          <w:color w:val="auto"/>
        </w:rPr>
        <w:t>Discussion of CEO transition and succession planning.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These investor and stakeholder discussions yielded valuable feedback that was incorporated into the Board's deliberations.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09" w:right="399" w:bottom="1440" w:gutter="0" w:footer="0" w:header="0"/>
        </w:sectPr>
      </w:pPr>
    </w:p>
    <w:p>
      <w:pPr>
        <w:spacing w:after="0" w:line="164" w:lineRule="exact"/>
        <w:rPr>
          <w:sz w:val="20"/>
          <w:szCs w:val="20"/>
          <w:color w:val="auto"/>
        </w:rPr>
      </w:pPr>
    </w:p>
    <w:p>
      <w:pPr>
        <w:ind w:left="20"/>
        <w:spacing w:after="0"/>
        <w:rPr>
          <w:sz w:val="20"/>
          <w:szCs w:val="20"/>
          <w:color w:val="auto"/>
        </w:rPr>
      </w:pPr>
      <w:r>
        <w:rPr>
          <w:rFonts w:ascii="Arial" w:cs="Arial" w:eastAsia="Arial" w:hAnsi="Arial"/>
          <w:sz w:val="16"/>
          <w:szCs w:val="16"/>
          <w:color w:val="475C90"/>
        </w:rPr>
        <w:t>Stockholder Engagement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3360420" cy="1671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0420" cy="1671320"/>
                    </a:xfrm>
                    <a:prstGeom prst="rect">
                      <a:avLst/>
                    </a:prstGeom>
                    <a:noFill/>
                  </pic:spPr>
                </pic:pic>
              </a:graphicData>
            </a:graphic>
          </wp:anchor>
        </w:drawing>
      </w:r>
    </w:p>
    <w:p>
      <w:pPr>
        <w:spacing w:after="0" w:line="282" w:lineRule="exact"/>
        <w:rPr>
          <w:sz w:val="20"/>
          <w:szCs w:val="20"/>
          <w:color w:val="auto"/>
        </w:rPr>
      </w:pPr>
    </w:p>
    <w:p>
      <w:pPr>
        <w:ind w:left="1100"/>
        <w:spacing w:after="0"/>
        <w:rPr>
          <w:sz w:val="20"/>
          <w:szCs w:val="20"/>
          <w:color w:val="auto"/>
        </w:rPr>
      </w:pPr>
      <w:r>
        <w:rPr>
          <w:rFonts w:ascii="Arial" w:cs="Arial" w:eastAsia="Arial" w:hAnsi="Arial"/>
          <w:sz w:val="16"/>
          <w:szCs w:val="16"/>
          <w:color w:val="002E6D"/>
        </w:rPr>
        <w:t>Year-Round Engagement with Stockholders</w:t>
      </w:r>
    </w:p>
    <w:p>
      <w:pPr>
        <w:spacing w:after="0" w:line="118" w:lineRule="exact"/>
        <w:rPr>
          <w:sz w:val="20"/>
          <w:szCs w:val="20"/>
          <w:color w:val="auto"/>
        </w:rPr>
      </w:pPr>
    </w:p>
    <w:p>
      <w:pPr>
        <w:ind w:left="280" w:right="160" w:hanging="160"/>
        <w:spacing w:after="0" w:line="268" w:lineRule="auto"/>
        <w:tabs>
          <w:tab w:leader="none" w:pos="245" w:val="left"/>
        </w:tabs>
        <w:numPr>
          <w:ilvl w:val="0"/>
          <w:numId w:val="50"/>
        </w:numPr>
        <w:rPr>
          <w:rFonts w:ascii="Arial" w:cs="Arial" w:eastAsia="Arial" w:hAnsi="Arial"/>
          <w:sz w:val="17"/>
          <w:szCs w:val="17"/>
          <w:color w:val="002E6D"/>
        </w:rPr>
      </w:pPr>
      <w:r>
        <w:rPr>
          <w:rFonts w:ascii="Arial" w:cs="Arial" w:eastAsia="Arial" w:hAnsi="Arial"/>
          <w:sz w:val="17"/>
          <w:szCs w:val="17"/>
          <w:color w:val="auto"/>
        </w:rPr>
        <w:t>Solicit feedback on governance best practices and trends, Board composition and refreshment, executive compensation, human capital management, ESG matters and other topics of interest to stockholders</w:t>
      </w:r>
    </w:p>
    <w:p>
      <w:pPr>
        <w:spacing w:after="0" w:line="44" w:lineRule="exact"/>
        <w:rPr>
          <w:rFonts w:ascii="Arial" w:cs="Arial" w:eastAsia="Arial" w:hAnsi="Arial"/>
          <w:sz w:val="17"/>
          <w:szCs w:val="17"/>
          <w:color w:val="002E6D"/>
        </w:rPr>
      </w:pPr>
    </w:p>
    <w:p>
      <w:pPr>
        <w:ind w:left="240" w:hanging="120"/>
        <w:spacing w:after="0"/>
        <w:tabs>
          <w:tab w:leader="none" w:pos="240" w:val="left"/>
        </w:tabs>
        <w:numPr>
          <w:ilvl w:val="0"/>
          <w:numId w:val="50"/>
        </w:numPr>
        <w:rPr>
          <w:rFonts w:ascii="Arial" w:cs="Arial" w:eastAsia="Arial" w:hAnsi="Arial"/>
          <w:sz w:val="17"/>
          <w:szCs w:val="17"/>
          <w:color w:val="002E6D"/>
        </w:rPr>
      </w:pPr>
      <w:r>
        <w:rPr>
          <w:rFonts w:ascii="Arial" w:cs="Arial" w:eastAsia="Arial" w:hAnsi="Arial"/>
          <w:sz w:val="17"/>
          <w:szCs w:val="17"/>
          <w:color w:val="auto"/>
        </w:rPr>
        <w:t>Discuss stockholder proposals with proponents, if any</w:t>
      </w:r>
    </w:p>
    <w:p>
      <w:pPr>
        <w:spacing w:after="0" w:line="74" w:lineRule="exact"/>
        <w:rPr>
          <w:rFonts w:ascii="Arial" w:cs="Arial" w:eastAsia="Arial" w:hAnsi="Arial"/>
          <w:sz w:val="17"/>
          <w:szCs w:val="17"/>
          <w:color w:val="002E6D"/>
        </w:rPr>
      </w:pPr>
    </w:p>
    <w:p>
      <w:pPr>
        <w:ind w:left="280" w:right="480" w:hanging="160"/>
        <w:spacing w:after="0" w:line="276" w:lineRule="auto"/>
        <w:tabs>
          <w:tab w:leader="none" w:pos="245" w:val="left"/>
        </w:tabs>
        <w:numPr>
          <w:ilvl w:val="0"/>
          <w:numId w:val="50"/>
        </w:numPr>
        <w:rPr>
          <w:rFonts w:ascii="Arial" w:cs="Arial" w:eastAsia="Arial" w:hAnsi="Arial"/>
          <w:sz w:val="17"/>
          <w:szCs w:val="17"/>
          <w:color w:val="002E6D"/>
        </w:rPr>
      </w:pPr>
      <w:r>
        <w:rPr>
          <w:rFonts w:ascii="Arial" w:cs="Arial" w:eastAsia="Arial" w:hAnsi="Arial"/>
          <w:sz w:val="17"/>
          <w:szCs w:val="17"/>
          <w:color w:val="auto"/>
        </w:rPr>
        <w:t>Respond to investor inquiries and requests for information or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378460</wp:posOffset>
            </wp:positionV>
            <wp:extent cx="3360420" cy="1156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0420"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60"/>
        <w:spacing w:after="0"/>
        <w:rPr>
          <w:sz w:val="20"/>
          <w:szCs w:val="20"/>
          <w:color w:val="auto"/>
        </w:rPr>
      </w:pPr>
      <w:r>
        <w:rPr>
          <w:rFonts w:ascii="Arial" w:cs="Arial" w:eastAsia="Arial" w:hAnsi="Arial"/>
          <w:sz w:val="16"/>
          <w:szCs w:val="16"/>
          <w:color w:val="002E6D"/>
        </w:rPr>
        <w:t>Board Response</w:t>
      </w:r>
    </w:p>
    <w:p>
      <w:pPr>
        <w:spacing w:after="0" w:line="118" w:lineRule="exact"/>
        <w:rPr>
          <w:sz w:val="20"/>
          <w:szCs w:val="20"/>
          <w:color w:val="auto"/>
        </w:rPr>
      </w:pPr>
    </w:p>
    <w:p>
      <w:pPr>
        <w:ind w:left="280" w:right="180" w:hanging="160"/>
        <w:spacing w:after="0" w:line="270" w:lineRule="auto"/>
        <w:tabs>
          <w:tab w:leader="none" w:pos="245" w:val="left"/>
        </w:tabs>
        <w:numPr>
          <w:ilvl w:val="0"/>
          <w:numId w:val="51"/>
        </w:numPr>
        <w:rPr>
          <w:rFonts w:ascii="Arial" w:cs="Arial" w:eastAsia="Arial" w:hAnsi="Arial"/>
          <w:sz w:val="17"/>
          <w:szCs w:val="17"/>
          <w:color w:val="002E6D"/>
        </w:rPr>
      </w:pPr>
      <w:r>
        <w:rPr>
          <w:rFonts w:ascii="Arial" w:cs="Arial" w:eastAsia="Arial" w:hAnsi="Arial"/>
          <w:sz w:val="17"/>
          <w:szCs w:val="17"/>
          <w:color w:val="auto"/>
        </w:rPr>
        <w:t>Board responds, as appropriate, with continued discussions with stockholders and enhancements to policies, practices and disclosures</w:t>
      </w:r>
    </w:p>
    <w:p>
      <w:pPr>
        <w:spacing w:after="0" w:line="42" w:lineRule="exact"/>
        <w:rPr>
          <w:rFonts w:ascii="Arial" w:cs="Arial" w:eastAsia="Arial" w:hAnsi="Arial"/>
          <w:sz w:val="17"/>
          <w:szCs w:val="17"/>
          <w:color w:val="002E6D"/>
        </w:rPr>
      </w:pPr>
    </w:p>
    <w:p>
      <w:pPr>
        <w:ind w:left="280" w:right="380" w:hanging="160"/>
        <w:spacing w:after="0" w:line="276" w:lineRule="auto"/>
        <w:tabs>
          <w:tab w:leader="none" w:pos="245" w:val="left"/>
        </w:tabs>
        <w:numPr>
          <w:ilvl w:val="0"/>
          <w:numId w:val="51"/>
        </w:numPr>
        <w:rPr>
          <w:rFonts w:ascii="Arial" w:cs="Arial" w:eastAsia="Arial" w:hAnsi="Arial"/>
          <w:sz w:val="17"/>
          <w:szCs w:val="17"/>
          <w:color w:val="002E6D"/>
        </w:rPr>
      </w:pPr>
      <w:r>
        <w:rPr>
          <w:rFonts w:ascii="Arial" w:cs="Arial" w:eastAsia="Arial" w:hAnsi="Arial"/>
          <w:sz w:val="17"/>
          <w:szCs w:val="17"/>
          <w:color w:val="auto"/>
        </w:rPr>
        <w:t>Board uses stockholder feedback to enhance our disclosures, governance practices and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327025</wp:posOffset>
            </wp:positionV>
            <wp:extent cx="969010" cy="2228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20"/>
        <w:spacing w:after="0"/>
        <w:rPr>
          <w:sz w:val="20"/>
          <w:szCs w:val="20"/>
          <w:color w:val="auto"/>
        </w:rPr>
      </w:pPr>
      <w:r>
        <w:rPr>
          <w:rFonts w:ascii="Arial" w:cs="Arial" w:eastAsia="Arial" w:hAnsi="Arial"/>
          <w:sz w:val="16"/>
          <w:szCs w:val="16"/>
          <w:color w:val="002E6D"/>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-237490</wp:posOffset>
            </wp:positionV>
            <wp:extent cx="3368675" cy="1423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8675" cy="1423035"/>
                    </a:xfrm>
                    <a:prstGeom prst="rect">
                      <a:avLst/>
                    </a:prstGeom>
                    <a:noFill/>
                  </pic:spPr>
                </pic:pic>
              </a:graphicData>
            </a:graphic>
          </wp:anchor>
        </w:drawing>
      </w:r>
    </w:p>
    <w:p>
      <w:pPr>
        <w:spacing w:after="0" w:line="98" w:lineRule="exact"/>
        <w:rPr>
          <w:sz w:val="20"/>
          <w:szCs w:val="20"/>
          <w:color w:val="auto"/>
        </w:rPr>
      </w:pPr>
    </w:p>
    <w:p>
      <w:pPr>
        <w:ind w:left="160" w:right="580" w:hanging="160"/>
        <w:spacing w:after="0" w:line="276" w:lineRule="auto"/>
        <w:tabs>
          <w:tab w:leader="none" w:pos="125" w:val="left"/>
        </w:tabs>
        <w:numPr>
          <w:ilvl w:val="0"/>
          <w:numId w:val="52"/>
        </w:numPr>
        <w:rPr>
          <w:rFonts w:ascii="Arial" w:cs="Arial" w:eastAsia="Arial" w:hAnsi="Arial"/>
          <w:sz w:val="17"/>
          <w:szCs w:val="17"/>
          <w:color w:val="002E6D"/>
        </w:rPr>
      </w:pPr>
      <w:r>
        <w:rPr>
          <w:rFonts w:ascii="Arial" w:cs="Arial" w:eastAsia="Arial" w:hAnsi="Arial"/>
          <w:sz w:val="17"/>
          <w:szCs w:val="17"/>
          <w:color w:val="auto"/>
        </w:rPr>
        <w:t>Publish Annual Report, Proxy Statement and Sustainability Report</w:t>
      </w:r>
    </w:p>
    <w:p>
      <w:pPr>
        <w:spacing w:after="0" w:line="36" w:lineRule="exact"/>
        <w:rPr>
          <w:rFonts w:ascii="Arial" w:cs="Arial" w:eastAsia="Arial" w:hAnsi="Arial"/>
          <w:sz w:val="17"/>
          <w:szCs w:val="17"/>
          <w:color w:val="002E6D"/>
        </w:rPr>
      </w:pPr>
    </w:p>
    <w:p>
      <w:pPr>
        <w:ind w:left="160" w:right="120" w:hanging="160"/>
        <w:spacing w:after="0" w:line="276" w:lineRule="auto"/>
        <w:tabs>
          <w:tab w:leader="none" w:pos="125" w:val="left"/>
        </w:tabs>
        <w:numPr>
          <w:ilvl w:val="0"/>
          <w:numId w:val="52"/>
        </w:numPr>
        <w:rPr>
          <w:rFonts w:ascii="Arial" w:cs="Arial" w:eastAsia="Arial" w:hAnsi="Arial"/>
          <w:sz w:val="17"/>
          <w:szCs w:val="17"/>
          <w:color w:val="002E6D"/>
        </w:rPr>
      </w:pPr>
      <w:r>
        <w:rPr>
          <w:rFonts w:ascii="Arial" w:cs="Arial" w:eastAsia="Arial" w:hAnsi="Arial"/>
          <w:sz w:val="17"/>
          <w:szCs w:val="17"/>
          <w:color w:val="auto"/>
        </w:rPr>
        <w:t>Specific engagements with stockholders about the voting matters to be addressed at the annual meeting in April</w:t>
      </w:r>
    </w:p>
    <w:p>
      <w:pPr>
        <w:spacing w:after="0" w:line="36" w:lineRule="exact"/>
        <w:rPr>
          <w:rFonts w:ascii="Arial" w:cs="Arial" w:eastAsia="Arial" w:hAnsi="Arial"/>
          <w:sz w:val="17"/>
          <w:szCs w:val="17"/>
          <w:color w:val="002E6D"/>
        </w:rPr>
      </w:pPr>
    </w:p>
    <w:p>
      <w:pPr>
        <w:ind w:left="160" w:right="820" w:hanging="160"/>
        <w:spacing w:after="0" w:line="276" w:lineRule="auto"/>
        <w:tabs>
          <w:tab w:leader="none" w:pos="125" w:val="left"/>
        </w:tabs>
        <w:numPr>
          <w:ilvl w:val="0"/>
          <w:numId w:val="52"/>
        </w:numPr>
        <w:rPr>
          <w:rFonts w:ascii="Arial" w:cs="Arial" w:eastAsia="Arial" w:hAnsi="Arial"/>
          <w:sz w:val="17"/>
          <w:szCs w:val="17"/>
          <w:color w:val="002E6D"/>
        </w:rPr>
      </w:pPr>
      <w:r>
        <w:rPr>
          <w:rFonts w:ascii="Arial" w:cs="Arial" w:eastAsia="Arial" w:hAnsi="Arial"/>
          <w:sz w:val="17"/>
          <w:szCs w:val="17"/>
          <w:color w:val="auto"/>
        </w:rPr>
        <w:t>Receive and publish voting results for management and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-640715</wp:posOffset>
            </wp:positionV>
            <wp:extent cx="3660140" cy="23145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60140" cy="231457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-640715</wp:posOffset>
            </wp:positionV>
            <wp:extent cx="3660140" cy="2314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601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360"/>
        <w:spacing w:after="0"/>
        <w:rPr>
          <w:sz w:val="20"/>
          <w:szCs w:val="20"/>
          <w:color w:val="auto"/>
        </w:rPr>
      </w:pPr>
      <w:r>
        <w:rPr>
          <w:rFonts w:ascii="Arial" w:cs="Arial" w:eastAsia="Arial" w:hAnsi="Arial"/>
          <w:sz w:val="16"/>
          <w:szCs w:val="16"/>
          <w:color w:val="002E6D"/>
        </w:rPr>
        <w:t>Evaluate Annual Meeting Results</w:t>
      </w:r>
    </w:p>
    <w:p>
      <w:pPr>
        <w:spacing w:after="0" w:line="118" w:lineRule="exact"/>
        <w:rPr>
          <w:sz w:val="20"/>
          <w:szCs w:val="20"/>
          <w:color w:val="auto"/>
        </w:rPr>
      </w:pPr>
    </w:p>
    <w:p>
      <w:pPr>
        <w:ind w:left="160" w:right="560" w:hanging="160"/>
        <w:spacing w:after="0" w:line="276" w:lineRule="auto"/>
        <w:tabs>
          <w:tab w:leader="none" w:pos="125" w:val="left"/>
        </w:tabs>
        <w:numPr>
          <w:ilvl w:val="0"/>
          <w:numId w:val="53"/>
        </w:numPr>
        <w:rPr>
          <w:rFonts w:ascii="Arial" w:cs="Arial" w:eastAsia="Arial" w:hAnsi="Arial"/>
          <w:sz w:val="17"/>
          <w:szCs w:val="17"/>
          <w:color w:val="002E6D"/>
        </w:rPr>
      </w:pPr>
      <w:r>
        <w:rPr>
          <w:rFonts w:ascii="Arial" w:cs="Arial" w:eastAsia="Arial" w:hAnsi="Arial"/>
          <w:sz w:val="17"/>
          <w:szCs w:val="17"/>
          <w:color w:val="auto"/>
        </w:rPr>
        <w:t>Discuss and evaluate voting results from annual meeting of stockholders</w:t>
      </w:r>
    </w:p>
    <w:p>
      <w:pPr>
        <w:spacing w:after="0" w:line="36" w:lineRule="exact"/>
        <w:rPr>
          <w:rFonts w:ascii="Arial" w:cs="Arial" w:eastAsia="Arial" w:hAnsi="Arial"/>
          <w:sz w:val="17"/>
          <w:szCs w:val="17"/>
          <w:color w:val="002E6D"/>
        </w:rPr>
      </w:pPr>
    </w:p>
    <w:p>
      <w:pPr>
        <w:ind w:left="160" w:right="700" w:hanging="160"/>
        <w:spacing w:after="0" w:line="276" w:lineRule="auto"/>
        <w:tabs>
          <w:tab w:leader="none" w:pos="125" w:val="left"/>
        </w:tabs>
        <w:numPr>
          <w:ilvl w:val="0"/>
          <w:numId w:val="53"/>
        </w:numPr>
        <w:rPr>
          <w:rFonts w:ascii="Arial" w:cs="Arial" w:eastAsia="Arial" w:hAnsi="Arial"/>
          <w:sz w:val="17"/>
          <w:szCs w:val="17"/>
          <w:color w:val="002E6D"/>
        </w:rPr>
      </w:pPr>
      <w:r>
        <w:rPr>
          <w:rFonts w:ascii="Arial" w:cs="Arial" w:eastAsia="Arial" w:hAnsi="Arial"/>
          <w:sz w:val="17"/>
          <w:szCs w:val="17"/>
          <w:color w:val="auto"/>
        </w:rPr>
        <w:t>Stockholder input informs our Board’s ongoing process of continually enhancing governance and other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-461010</wp:posOffset>
            </wp:positionV>
            <wp:extent cx="205740"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000000"/>
                        </a:clrFrom>
                        <a:clrTo>
                          <a:srgbClr val="000000">
                            <a:alpha val="0"/>
                          </a:srgbClr>
                        </a:clrTo>
                      </a:clrChange>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-461010</wp:posOffset>
            </wp:positionV>
            <wp:extent cx="20574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5300" w:space="720"/>
            <w:col w:w="5160"/>
          </w:cols>
          <w:pgMar w:left="320" w:top="609" w:right="39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28</w:t>
      </w:r>
    </w:p>
    <w:p>
      <w:pPr>
        <w:sectPr>
          <w:pgSz w:w="11900" w:h="16838" w:orient="portrait"/>
          <w:cols w:equalWidth="0" w:num="1">
            <w:col w:w="11180"/>
          </w:cols>
          <w:pgMar w:left="320" w:top="609" w:right="39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Board Policies and Processes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475C90"/>
        </w:rPr>
        <w:t>Corporate Governance Guidelines</w:t>
      </w:r>
    </w:p>
    <w:p>
      <w:pPr>
        <w:spacing w:after="0" w:line="12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The Board has adopted Governance Guidelines that describe the framework within which the Board and its committees oversee the governance of the Corporation. The current Governance Guidelines are available on the Corporation’s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w:t>
      </w:r>
    </w:p>
    <w:p>
      <w:pPr>
        <w:spacing w:after="0" w:line="90" w:lineRule="exact"/>
        <w:rPr>
          <w:sz w:val="20"/>
          <w:szCs w:val="20"/>
          <w:color w:val="auto"/>
        </w:rPr>
      </w:pPr>
    </w:p>
    <w:p>
      <w:pPr>
        <w:ind w:right="760"/>
        <w:spacing w:after="0" w:line="276" w:lineRule="auto"/>
        <w:rPr>
          <w:sz w:val="20"/>
          <w:szCs w:val="20"/>
          <w:color w:val="auto"/>
        </w:rPr>
      </w:pPr>
      <w:r>
        <w:rPr>
          <w:rFonts w:ascii="Arial" w:cs="Arial" w:eastAsia="Arial" w:hAnsi="Arial"/>
          <w:sz w:val="17"/>
          <w:szCs w:val="17"/>
          <w:color w:val="auto"/>
        </w:rPr>
        <w:t>The Governance Committee regularly assesses our governance practices considering emerging trends and practices and implements best governance practices that it believes enhance the operation and effectiveness of the Board.</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Our Governance Guidelines cover a wide range of subjects,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25031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291" w:lineRule="exact"/>
        <w:rPr>
          <w:sz w:val="20"/>
          <w:szCs w:val="20"/>
          <w:color w:val="auto"/>
        </w:rPr>
      </w:pPr>
    </w:p>
    <w:p>
      <w:pPr>
        <w:ind w:left="360" w:hanging="253"/>
        <w:spacing w:after="0"/>
        <w:tabs>
          <w:tab w:leader="none" w:pos="360" w:val="left"/>
        </w:tabs>
        <w:numPr>
          <w:ilvl w:val="0"/>
          <w:numId w:val="54"/>
        </w:numPr>
        <w:rPr>
          <w:rFonts w:ascii="Arial" w:cs="Arial" w:eastAsia="Arial" w:hAnsi="Arial"/>
          <w:sz w:val="17"/>
          <w:szCs w:val="17"/>
          <w:color w:val="002F6C"/>
        </w:rPr>
      </w:pPr>
      <w:r>
        <w:rPr>
          <w:rFonts w:ascii="Arial" w:cs="Arial" w:eastAsia="Arial" w:hAnsi="Arial"/>
          <w:sz w:val="17"/>
          <w:szCs w:val="17"/>
          <w:color w:val="auto"/>
        </w:rPr>
        <w:t>The role of the Board and director responsibilities;</w:t>
      </w:r>
    </w:p>
    <w:p>
      <w:pPr>
        <w:spacing w:after="0" w:line="74" w:lineRule="exact"/>
        <w:rPr>
          <w:rFonts w:ascii="Arial" w:cs="Arial" w:eastAsia="Arial" w:hAnsi="Arial"/>
          <w:sz w:val="17"/>
          <w:szCs w:val="17"/>
          <w:color w:val="002F6C"/>
        </w:rPr>
      </w:pPr>
    </w:p>
    <w:p>
      <w:pPr>
        <w:ind w:left="360" w:hanging="253"/>
        <w:spacing w:after="0"/>
        <w:tabs>
          <w:tab w:leader="none" w:pos="360" w:val="left"/>
        </w:tabs>
        <w:numPr>
          <w:ilvl w:val="0"/>
          <w:numId w:val="54"/>
        </w:numPr>
        <w:rPr>
          <w:rFonts w:ascii="Arial" w:cs="Arial" w:eastAsia="Arial" w:hAnsi="Arial"/>
          <w:sz w:val="17"/>
          <w:szCs w:val="17"/>
          <w:color w:val="002F6C"/>
        </w:rPr>
      </w:pPr>
      <w:r>
        <w:rPr>
          <w:rFonts w:ascii="Arial" w:cs="Arial" w:eastAsia="Arial" w:hAnsi="Arial"/>
          <w:sz w:val="17"/>
          <w:szCs w:val="17"/>
          <w:color w:val="auto"/>
        </w:rPr>
        <w:t>The role and responsibilities of the independent Lead Director;</w:t>
      </w:r>
    </w:p>
    <w:p>
      <w:pPr>
        <w:spacing w:after="0" w:line="74" w:lineRule="exact"/>
        <w:rPr>
          <w:rFonts w:ascii="Arial" w:cs="Arial" w:eastAsia="Arial" w:hAnsi="Arial"/>
          <w:sz w:val="17"/>
          <w:szCs w:val="17"/>
          <w:color w:val="002F6C"/>
        </w:rPr>
      </w:pPr>
    </w:p>
    <w:p>
      <w:pPr>
        <w:ind w:left="260" w:hanging="153"/>
        <w:spacing w:after="0" w:line="276" w:lineRule="auto"/>
        <w:tabs>
          <w:tab w:leader="none" w:pos="347" w:val="left"/>
        </w:tabs>
        <w:numPr>
          <w:ilvl w:val="0"/>
          <w:numId w:val="54"/>
        </w:numPr>
        <w:rPr>
          <w:rFonts w:ascii="Arial" w:cs="Arial" w:eastAsia="Arial" w:hAnsi="Arial"/>
          <w:sz w:val="17"/>
          <w:szCs w:val="17"/>
          <w:color w:val="002F6C"/>
        </w:rPr>
      </w:pPr>
      <w:r>
        <w:rPr>
          <w:rFonts w:ascii="Arial" w:cs="Arial" w:eastAsia="Arial" w:hAnsi="Arial"/>
          <w:sz w:val="17"/>
          <w:szCs w:val="17"/>
          <w:color w:val="auto"/>
        </w:rPr>
        <w:t>Application of our Code of Ethics and Business Conduct (the Code of Conduct) to the Board;</w:t>
      </w:r>
    </w:p>
    <w:p>
      <w:pPr>
        <w:spacing w:after="0" w:line="36" w:lineRule="exact"/>
        <w:rPr>
          <w:rFonts w:ascii="Arial" w:cs="Arial" w:eastAsia="Arial" w:hAnsi="Arial"/>
          <w:sz w:val="17"/>
          <w:szCs w:val="17"/>
          <w:color w:val="002F6C"/>
        </w:rPr>
      </w:pPr>
    </w:p>
    <w:p>
      <w:pPr>
        <w:ind w:left="360" w:hanging="253"/>
        <w:spacing w:after="0"/>
        <w:tabs>
          <w:tab w:leader="none" w:pos="360" w:val="left"/>
        </w:tabs>
        <w:numPr>
          <w:ilvl w:val="0"/>
          <w:numId w:val="54"/>
        </w:numPr>
        <w:rPr>
          <w:rFonts w:ascii="Arial" w:cs="Arial" w:eastAsia="Arial" w:hAnsi="Arial"/>
          <w:sz w:val="17"/>
          <w:szCs w:val="17"/>
          <w:color w:val="002F6C"/>
        </w:rPr>
      </w:pPr>
      <w:r>
        <w:rPr>
          <w:rFonts w:ascii="Arial" w:cs="Arial" w:eastAsia="Arial" w:hAnsi="Arial"/>
          <w:sz w:val="17"/>
          <w:szCs w:val="17"/>
          <w:color w:val="auto"/>
        </w:rPr>
        <w:t>Director nomination procedures and qualifications;</w:t>
      </w:r>
    </w:p>
    <w:p>
      <w:pPr>
        <w:spacing w:after="0" w:line="74" w:lineRule="exact"/>
        <w:rPr>
          <w:rFonts w:ascii="Arial" w:cs="Arial" w:eastAsia="Arial" w:hAnsi="Arial"/>
          <w:sz w:val="17"/>
          <w:szCs w:val="17"/>
          <w:color w:val="002F6C"/>
        </w:rPr>
      </w:pPr>
    </w:p>
    <w:p>
      <w:pPr>
        <w:ind w:left="360" w:hanging="253"/>
        <w:spacing w:after="0"/>
        <w:tabs>
          <w:tab w:leader="none" w:pos="360" w:val="left"/>
        </w:tabs>
        <w:numPr>
          <w:ilvl w:val="0"/>
          <w:numId w:val="54"/>
        </w:numPr>
        <w:rPr>
          <w:rFonts w:ascii="Arial" w:cs="Arial" w:eastAsia="Arial" w:hAnsi="Arial"/>
          <w:sz w:val="17"/>
          <w:szCs w:val="17"/>
          <w:color w:val="002F6C"/>
        </w:rPr>
      </w:pPr>
      <w:r>
        <w:rPr>
          <w:rFonts w:ascii="Arial" w:cs="Arial" w:eastAsia="Arial" w:hAnsi="Arial"/>
          <w:sz w:val="17"/>
          <w:szCs w:val="17"/>
          <w:color w:val="auto"/>
        </w:rPr>
        <w:t>Director independence standards;</w:t>
      </w:r>
    </w:p>
    <w:p>
      <w:pPr>
        <w:spacing w:after="0" w:line="74" w:lineRule="exact"/>
        <w:rPr>
          <w:rFonts w:ascii="Arial" w:cs="Arial" w:eastAsia="Arial" w:hAnsi="Arial"/>
          <w:sz w:val="17"/>
          <w:szCs w:val="17"/>
          <w:color w:val="002F6C"/>
        </w:rPr>
      </w:pPr>
    </w:p>
    <w:p>
      <w:pPr>
        <w:ind w:left="360" w:hanging="253"/>
        <w:spacing w:after="0"/>
        <w:tabs>
          <w:tab w:leader="none" w:pos="360" w:val="left"/>
        </w:tabs>
        <w:numPr>
          <w:ilvl w:val="0"/>
          <w:numId w:val="54"/>
        </w:numPr>
        <w:rPr>
          <w:rFonts w:ascii="Arial" w:cs="Arial" w:eastAsia="Arial" w:hAnsi="Arial"/>
          <w:sz w:val="17"/>
          <w:szCs w:val="17"/>
          <w:color w:val="002F6C"/>
        </w:rPr>
      </w:pPr>
      <w:r>
        <w:rPr>
          <w:rFonts w:ascii="Arial" w:cs="Arial" w:eastAsia="Arial" w:hAnsi="Arial"/>
          <w:sz w:val="17"/>
          <w:szCs w:val="17"/>
          <w:color w:val="auto"/>
        </w:rPr>
        <w:t>Director overboarding limits;</w:t>
      </w:r>
    </w:p>
    <w:p>
      <w:pPr>
        <w:spacing w:after="0" w:line="74" w:lineRule="exact"/>
        <w:rPr>
          <w:rFonts w:ascii="Arial" w:cs="Arial" w:eastAsia="Arial" w:hAnsi="Arial"/>
          <w:sz w:val="17"/>
          <w:szCs w:val="17"/>
          <w:color w:val="002F6C"/>
        </w:rPr>
      </w:pPr>
    </w:p>
    <w:p>
      <w:pPr>
        <w:ind w:left="260" w:right="160" w:hanging="153"/>
        <w:spacing w:after="0" w:line="276" w:lineRule="auto"/>
        <w:tabs>
          <w:tab w:leader="none" w:pos="347" w:val="left"/>
        </w:tabs>
        <w:numPr>
          <w:ilvl w:val="0"/>
          <w:numId w:val="54"/>
        </w:numPr>
        <w:rPr>
          <w:rFonts w:ascii="Arial" w:cs="Arial" w:eastAsia="Arial" w:hAnsi="Arial"/>
          <w:sz w:val="17"/>
          <w:szCs w:val="17"/>
          <w:color w:val="002F6C"/>
        </w:rPr>
      </w:pPr>
      <w:r>
        <w:rPr>
          <w:rFonts w:ascii="Arial" w:cs="Arial" w:eastAsia="Arial" w:hAnsi="Arial"/>
          <w:sz w:val="17"/>
          <w:szCs w:val="17"/>
          <w:color w:val="auto"/>
        </w:rPr>
        <w:t>Policies for the review, approval and ratification of related person transactions;</w:t>
      </w:r>
    </w:p>
    <w:p>
      <w:pPr>
        <w:spacing w:after="0" w:line="36" w:lineRule="exact"/>
        <w:rPr>
          <w:rFonts w:ascii="Arial" w:cs="Arial" w:eastAsia="Arial" w:hAnsi="Arial"/>
          <w:sz w:val="17"/>
          <w:szCs w:val="17"/>
          <w:color w:val="002F6C"/>
        </w:rPr>
      </w:pPr>
    </w:p>
    <w:p>
      <w:pPr>
        <w:ind w:left="360" w:hanging="253"/>
        <w:spacing w:after="0"/>
        <w:tabs>
          <w:tab w:leader="none" w:pos="360" w:val="left"/>
        </w:tabs>
        <w:numPr>
          <w:ilvl w:val="0"/>
          <w:numId w:val="54"/>
        </w:numPr>
        <w:rPr>
          <w:rFonts w:ascii="Arial" w:cs="Arial" w:eastAsia="Arial" w:hAnsi="Arial"/>
          <w:sz w:val="17"/>
          <w:szCs w:val="17"/>
          <w:color w:val="002F6C"/>
        </w:rPr>
      </w:pPr>
      <w:r>
        <w:rPr>
          <w:rFonts w:ascii="Arial" w:cs="Arial" w:eastAsia="Arial" w:hAnsi="Arial"/>
          <w:sz w:val="17"/>
          <w:szCs w:val="17"/>
          <w:color w:val="auto"/>
        </w:rPr>
        <w:t>Director orientation and continuing education;</w:t>
      </w:r>
    </w:p>
    <w:p>
      <w:pPr>
        <w:spacing w:after="0" w:line="74" w:lineRule="exact"/>
        <w:rPr>
          <w:rFonts w:ascii="Arial" w:cs="Arial" w:eastAsia="Arial" w:hAnsi="Arial"/>
          <w:sz w:val="17"/>
          <w:szCs w:val="17"/>
          <w:color w:val="002F6C"/>
        </w:rPr>
      </w:pPr>
    </w:p>
    <w:p>
      <w:pPr>
        <w:ind w:left="260" w:right="540" w:hanging="153"/>
        <w:spacing w:after="0" w:line="276" w:lineRule="auto"/>
        <w:tabs>
          <w:tab w:leader="none" w:pos="347" w:val="left"/>
        </w:tabs>
        <w:numPr>
          <w:ilvl w:val="0"/>
          <w:numId w:val="54"/>
        </w:numPr>
        <w:rPr>
          <w:rFonts w:ascii="Arial" w:cs="Arial" w:eastAsia="Arial" w:hAnsi="Arial"/>
          <w:sz w:val="17"/>
          <w:szCs w:val="17"/>
          <w:color w:val="002F6C"/>
        </w:rPr>
      </w:pPr>
      <w:r>
        <w:rPr>
          <w:rFonts w:ascii="Arial" w:cs="Arial" w:eastAsia="Arial" w:hAnsi="Arial"/>
          <w:sz w:val="17"/>
          <w:szCs w:val="17"/>
          <w:color w:val="auto"/>
        </w:rPr>
        <w:t>Review by the Governance Committee of any change in job responsibilities of directors;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58" w:right="220" w:hanging="158"/>
        <w:spacing w:after="0" w:line="276" w:lineRule="auto"/>
        <w:tabs>
          <w:tab w:leader="none" w:pos="245" w:val="left"/>
        </w:tabs>
        <w:numPr>
          <w:ilvl w:val="0"/>
          <w:numId w:val="55"/>
        </w:numPr>
        <w:rPr>
          <w:rFonts w:ascii="Arial" w:cs="Arial" w:eastAsia="Arial" w:hAnsi="Arial"/>
          <w:sz w:val="17"/>
          <w:szCs w:val="17"/>
          <w:color w:val="002F6C"/>
        </w:rPr>
      </w:pPr>
      <w:r>
        <w:rPr>
          <w:rFonts w:ascii="Arial" w:cs="Arial" w:eastAsia="Arial" w:hAnsi="Arial"/>
          <w:sz w:val="17"/>
          <w:szCs w:val="17"/>
          <w:color w:val="auto"/>
        </w:rPr>
        <w:t>Procedures for annual performance evaluations of the Board and its committees;</w:t>
      </w:r>
    </w:p>
    <w:p>
      <w:pPr>
        <w:spacing w:after="0" w:line="90" w:lineRule="exact"/>
        <w:rPr>
          <w:rFonts w:ascii="Arial" w:cs="Arial" w:eastAsia="Arial" w:hAnsi="Arial"/>
          <w:sz w:val="17"/>
          <w:szCs w:val="17"/>
          <w:color w:val="002F6C"/>
        </w:rPr>
      </w:pPr>
    </w:p>
    <w:p>
      <w:pPr>
        <w:ind w:left="258" w:hanging="258"/>
        <w:spacing w:after="0"/>
        <w:tabs>
          <w:tab w:leader="none" w:pos="258" w:val="left"/>
        </w:tabs>
        <w:numPr>
          <w:ilvl w:val="0"/>
          <w:numId w:val="55"/>
        </w:numPr>
        <w:rPr>
          <w:rFonts w:ascii="Arial" w:cs="Arial" w:eastAsia="Arial" w:hAnsi="Arial"/>
          <w:sz w:val="17"/>
          <w:szCs w:val="17"/>
          <w:color w:val="002F6C"/>
        </w:rPr>
      </w:pPr>
      <w:r>
        <w:rPr>
          <w:rFonts w:ascii="Arial" w:cs="Arial" w:eastAsia="Arial" w:hAnsi="Arial"/>
          <w:sz w:val="17"/>
          <w:szCs w:val="17"/>
          <w:color w:val="auto"/>
        </w:rPr>
        <w:t>Director stock ownership guidelines;</w:t>
      </w:r>
    </w:p>
    <w:p>
      <w:pPr>
        <w:spacing w:after="0" w:line="74" w:lineRule="exact"/>
        <w:rPr>
          <w:rFonts w:ascii="Arial" w:cs="Arial" w:eastAsia="Arial" w:hAnsi="Arial"/>
          <w:sz w:val="17"/>
          <w:szCs w:val="17"/>
          <w:color w:val="002F6C"/>
        </w:rPr>
      </w:pPr>
    </w:p>
    <w:p>
      <w:pPr>
        <w:ind w:left="258" w:hanging="258"/>
        <w:spacing w:after="0"/>
        <w:tabs>
          <w:tab w:leader="none" w:pos="258" w:val="left"/>
        </w:tabs>
        <w:numPr>
          <w:ilvl w:val="0"/>
          <w:numId w:val="55"/>
        </w:numPr>
        <w:rPr>
          <w:rFonts w:ascii="Arial" w:cs="Arial" w:eastAsia="Arial" w:hAnsi="Arial"/>
          <w:sz w:val="17"/>
          <w:szCs w:val="17"/>
          <w:color w:val="002F6C"/>
        </w:rPr>
      </w:pPr>
      <w:r>
        <w:rPr>
          <w:rFonts w:ascii="Arial" w:cs="Arial" w:eastAsia="Arial" w:hAnsi="Arial"/>
          <w:sz w:val="17"/>
          <w:szCs w:val="17"/>
          <w:color w:val="auto"/>
        </w:rPr>
        <w:t>Clawback policy for executive incentive compensation;</w:t>
      </w:r>
    </w:p>
    <w:p>
      <w:pPr>
        <w:spacing w:after="0" w:line="74" w:lineRule="exact"/>
        <w:rPr>
          <w:rFonts w:ascii="Arial" w:cs="Arial" w:eastAsia="Arial" w:hAnsi="Arial"/>
          <w:sz w:val="17"/>
          <w:szCs w:val="17"/>
          <w:color w:val="002F6C"/>
        </w:rPr>
      </w:pPr>
    </w:p>
    <w:p>
      <w:pPr>
        <w:ind w:left="258" w:hanging="258"/>
        <w:spacing w:after="0"/>
        <w:tabs>
          <w:tab w:leader="none" w:pos="258" w:val="left"/>
        </w:tabs>
        <w:numPr>
          <w:ilvl w:val="0"/>
          <w:numId w:val="55"/>
        </w:numPr>
        <w:rPr>
          <w:rFonts w:ascii="Arial" w:cs="Arial" w:eastAsia="Arial" w:hAnsi="Arial"/>
          <w:sz w:val="17"/>
          <w:szCs w:val="17"/>
          <w:color w:val="002F6C"/>
        </w:rPr>
      </w:pPr>
      <w:r>
        <w:rPr>
          <w:rFonts w:ascii="Arial" w:cs="Arial" w:eastAsia="Arial" w:hAnsi="Arial"/>
          <w:sz w:val="17"/>
          <w:szCs w:val="17"/>
          <w:color w:val="auto"/>
        </w:rPr>
        <w:t>Policy prohibiting hedging and pledging of Corporation stock;</w:t>
      </w:r>
    </w:p>
    <w:p>
      <w:pPr>
        <w:spacing w:after="0" w:line="74" w:lineRule="exact"/>
        <w:rPr>
          <w:rFonts w:ascii="Arial" w:cs="Arial" w:eastAsia="Arial" w:hAnsi="Arial"/>
          <w:sz w:val="17"/>
          <w:szCs w:val="17"/>
          <w:color w:val="002F6C"/>
        </w:rPr>
      </w:pPr>
    </w:p>
    <w:p>
      <w:pPr>
        <w:jc w:val="both"/>
        <w:ind w:left="158" w:right="980" w:hanging="158"/>
        <w:spacing w:after="0" w:line="276" w:lineRule="auto"/>
        <w:tabs>
          <w:tab w:leader="none" w:pos="245" w:val="left"/>
        </w:tabs>
        <w:numPr>
          <w:ilvl w:val="0"/>
          <w:numId w:val="55"/>
        </w:numPr>
        <w:rPr>
          <w:rFonts w:ascii="Arial" w:cs="Arial" w:eastAsia="Arial" w:hAnsi="Arial"/>
          <w:sz w:val="17"/>
          <w:szCs w:val="17"/>
          <w:color w:val="002F6C"/>
        </w:rPr>
      </w:pPr>
      <w:r>
        <w:rPr>
          <w:rFonts w:ascii="Arial" w:cs="Arial" w:eastAsia="Arial" w:hAnsi="Arial"/>
          <w:sz w:val="17"/>
          <w:szCs w:val="17"/>
          <w:color w:val="auto"/>
        </w:rPr>
        <w:t>Majority voting for the election of directors and resignation procedures for directors who fail to receive a majority vote;</w:t>
      </w:r>
    </w:p>
    <w:p>
      <w:pPr>
        <w:spacing w:after="0" w:line="36" w:lineRule="exact"/>
        <w:rPr>
          <w:rFonts w:ascii="Arial" w:cs="Arial" w:eastAsia="Arial" w:hAnsi="Arial"/>
          <w:sz w:val="17"/>
          <w:szCs w:val="17"/>
          <w:color w:val="002F6C"/>
        </w:rPr>
      </w:pPr>
    </w:p>
    <w:p>
      <w:pPr>
        <w:ind w:left="158" w:right="800" w:hanging="158"/>
        <w:spacing w:after="0" w:line="270" w:lineRule="auto"/>
        <w:tabs>
          <w:tab w:leader="none" w:pos="245" w:val="left"/>
        </w:tabs>
        <w:numPr>
          <w:ilvl w:val="0"/>
          <w:numId w:val="55"/>
        </w:numPr>
        <w:rPr>
          <w:rFonts w:ascii="Arial" w:cs="Arial" w:eastAsia="Arial" w:hAnsi="Arial"/>
          <w:sz w:val="17"/>
          <w:szCs w:val="17"/>
          <w:color w:val="002F6C"/>
        </w:rPr>
      </w:pPr>
      <w:r>
        <w:rPr>
          <w:rFonts w:ascii="Arial" w:cs="Arial" w:eastAsia="Arial" w:hAnsi="Arial"/>
          <w:sz w:val="17"/>
          <w:szCs w:val="17"/>
          <w:color w:val="auto"/>
        </w:rPr>
        <w:t>Process for director compensation review, specifically use of competitive data and input from independent compensation consultant; and</w:t>
      </w:r>
    </w:p>
    <w:p>
      <w:pPr>
        <w:spacing w:after="0" w:line="42" w:lineRule="exact"/>
        <w:rPr>
          <w:rFonts w:ascii="Arial" w:cs="Arial" w:eastAsia="Arial" w:hAnsi="Arial"/>
          <w:sz w:val="17"/>
          <w:szCs w:val="17"/>
          <w:color w:val="002F6C"/>
        </w:rPr>
      </w:pPr>
    </w:p>
    <w:p>
      <w:pPr>
        <w:ind w:left="158" w:right="360" w:hanging="158"/>
        <w:spacing w:after="0" w:line="268" w:lineRule="auto"/>
        <w:tabs>
          <w:tab w:leader="none" w:pos="245" w:val="left"/>
        </w:tabs>
        <w:numPr>
          <w:ilvl w:val="0"/>
          <w:numId w:val="55"/>
        </w:numPr>
        <w:rPr>
          <w:rFonts w:ascii="Arial" w:cs="Arial" w:eastAsia="Arial" w:hAnsi="Arial"/>
          <w:sz w:val="17"/>
          <w:szCs w:val="17"/>
          <w:color w:val="002F6C"/>
        </w:rPr>
      </w:pPr>
      <w:r>
        <w:rPr>
          <w:rFonts w:ascii="Arial" w:cs="Arial" w:eastAsia="Arial" w:hAnsi="Arial"/>
          <w:sz w:val="17"/>
          <w:szCs w:val="17"/>
          <w:color w:val="auto"/>
        </w:rPr>
        <w:t>Stockholder engagement program; our independent Lead Director will consider requests to speak to investors and will designate (in consultation with the Senior Vice President, General Counsel and Corporate Secretary) a director to engage with the requesting investors, if appropriate.</w:t>
      </w:r>
    </w:p>
    <w:p>
      <w:pPr>
        <w:spacing w:after="0" w:line="200" w:lineRule="exact"/>
        <w:rPr>
          <w:sz w:val="20"/>
          <w:szCs w:val="20"/>
          <w:color w:val="auto"/>
        </w:rPr>
      </w:pPr>
    </w:p>
    <w:p>
      <w:pPr>
        <w:sectPr>
          <w:pgSz w:w="11900" w:h="16838" w:orient="portrait"/>
          <w:cols w:equalWidth="0" w:num="2">
            <w:col w:w="5400" w:space="242"/>
            <w:col w:w="5598"/>
          </w:cols>
          <w:pgMar w:left="320" w:top="609" w:right="33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475C90"/>
        </w:rPr>
        <w:t>Director Overboarding Policy</w:t>
      </w:r>
    </w:p>
    <w:p>
      <w:pPr>
        <w:spacing w:after="0" w:line="123"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The Board recognizes that its members benefit from service on the boards of other companies and it encourages such service. The Board also believes, however, that it is critical that directors are able to dedicate sufficient time to their service on the Corporation’s Board. Therefore, the Governance Guidelines provide that, without obtaining the approval of the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183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type w:val="continuous"/>
        </w:sectPr>
      </w:pPr>
    </w:p>
    <w:p>
      <w:pPr>
        <w:spacing w:after="0" w:line="307" w:lineRule="exact"/>
        <w:rPr>
          <w:sz w:val="20"/>
          <w:szCs w:val="20"/>
          <w:color w:val="auto"/>
        </w:rPr>
      </w:pPr>
    </w:p>
    <w:p>
      <w:pPr>
        <w:ind w:left="100"/>
        <w:spacing w:after="0"/>
        <w:rPr>
          <w:sz w:val="20"/>
          <w:szCs w:val="20"/>
          <w:color w:val="auto"/>
        </w:rPr>
      </w:pPr>
      <w:r>
        <w:rPr>
          <w:rFonts w:ascii="Arial" w:cs="Arial" w:eastAsia="Arial" w:hAnsi="Arial"/>
          <w:sz w:val="16"/>
          <w:szCs w:val="16"/>
          <w:color w:val="002E6D"/>
        </w:rPr>
        <w:t>Directors</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6"/>
          <w:szCs w:val="16"/>
          <w:color w:val="002E6D"/>
        </w:rPr>
        <w:t>Public Company CEO or Equivalent</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6"/>
          <w:szCs w:val="16"/>
          <w:color w:val="002E6D"/>
        </w:rPr>
        <w:t>Audit Committee</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6"/>
          <w:szCs w:val="16"/>
          <w:color w:val="002E6D"/>
        </w:rPr>
        <w:t>Compensation Committee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 director may not serve on the boards of more than four other public companies.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Active CEOs or equivalent may not serve on the boards of more than two other public companies.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Audit Committee members may not serve on more than two other public company audit committees.</w:t>
      </w:r>
    </w:p>
    <w:p>
      <w:pPr>
        <w:spacing w:after="0" w:line="26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Compensation Committee members may not serve on more than three other public company compensation committees.</w:t>
      </w:r>
    </w:p>
    <w:p>
      <w:pPr>
        <w:spacing w:after="0" w:line="200" w:lineRule="exact"/>
        <w:rPr>
          <w:sz w:val="20"/>
          <w:szCs w:val="20"/>
          <w:color w:val="auto"/>
        </w:rPr>
      </w:pPr>
    </w:p>
    <w:p>
      <w:pPr>
        <w:sectPr>
          <w:pgSz w:w="11900" w:h="16838" w:orient="portrait"/>
          <w:cols w:equalWidth="0" w:num="2">
            <w:col w:w="2680" w:space="260"/>
            <w:col w:w="8300"/>
          </w:cols>
          <w:pgMar w:left="320" w:top="609" w:right="339" w:bottom="1440" w:gutter="0" w:footer="0" w:header="0"/>
          <w:type w:val="continuous"/>
        </w:sectPr>
      </w:pPr>
    </w:p>
    <w:p>
      <w:pPr>
        <w:spacing w:after="0" w:line="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Directors must notify the CEO, independent Lead Director and Senior Vice President, General Counsel and Corporate Secretary before accepting an invitation to serve on the board of any other public company. The Governance Committee reviews and determines whether the position would affect the director’s ability to serve on the Corporation’s Board.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29</w:t>
      </w:r>
    </w:p>
    <w:p>
      <w:pPr>
        <w:sectPr>
          <w:pgSz w:w="11900" w:h="16838" w:orient="portrait"/>
          <w:cols w:equalWidth="0" w:num="1">
            <w:col w:w="11240"/>
          </w:cols>
          <w:pgMar w:left="320" w:top="609"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Director Independence</w:t>
      </w:r>
    </w:p>
    <w:p>
      <w:pPr>
        <w:spacing w:after="0" w:line="123"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color w:val="auto"/>
        </w:rPr>
        <w:t xml:space="preserve">All of our directors are independent under applicable NYSE listing standards, except Mr. Taiclet. Under the NYSE listing standards and our Governance Guidelines, a director is not independent if the director has a direct or indirect material relationship with the Corporation. The Governance Committee annually reviews the independence of all directors and reports its findings to the full Board. To assist in this review, the Board has adopted director independence guidelines that are included in our Governance Guidelines, which are available on the Corporation’s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w:t>
      </w:r>
    </w:p>
    <w:p>
      <w:pPr>
        <w:spacing w:after="0" w:line="9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director independence guidelines set forth certain relationships between the Corporation and directors and their immediate family members or affiliated entities, which the Board, in its judgment, has deemed to be material or immaterial for purposes of assessing a director’s independence. In the event a director has a relationship with the Corporation that is not addressed in the independence guidelines, the independent members of the Board determine whether the relationship is material.</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Board has determined that the following directors are independent: Daniel F. Akerson, David B. Burritt, Bruce A. Carlson, Joseph F. Dunford, Jr., James O. Ellis, Jr., Thomas J. Falk, Ilene S. Gordon, Vicki A. Hollub, Jeh C. Johnson, and Debra L. Reed-Klages. The Board determined that James D. Taiclet, who was elected President and CEO effective June 15, 2020 and Chairman effective March 1, 2021, was independent prior to his election as President and CEO but as an employee he is no longer independent under the NYSE listing standards or our Governance Guidelines. Mr. Taiclet stopped serving on the CBS and Compensation Committees at the time of the Board's decision to elect him President and CEO in March 2020.</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Former Chairman, President and CEO Marillyn A. Hewson was also determined by the Board not to be independent while she served on the Board. In determining that each of the non-management directors is independent, the Board considered the relationships described under “Certain Relationships and Related Person Transactions of Directors, Executive Officers and 5 Percent Stockholders,” on page 31, each of which were determined to be immaterial to each individual’s independence.</w:t>
      </w:r>
    </w:p>
    <w:p>
      <w:pPr>
        <w:spacing w:after="0" w:line="9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Governance Committee and Board considered that the Corporation, in the ordinary course of business, purchases products and services from, or sells products and services to, companies or subsidiaries or parents of companies at which some of our directors (or their immediate family members) are or have been directors or officers and to other institutions with which some of these individuals have or have had relationships. These relationships included: Mr. Akerson (CommScope Holding Company, Inc. and Northrop Grumman Corporation (family member’s employer)); Mr. Carlson (Benchmark Electronics Inc., the Charles Stark Draper Laboratory and Utah State Space Dynamics Laboratory); Mr. Dunford (K&amp;L Gates LLP (family member’s employer)); Mr. Ellis (Blue Origin, LLC (family member’s employer), Dominion Energy Inc., the Economist Group (family member’s employer) and Stanford University (fellow at Hoover Institution and family member’s employer)); Ms. Gordon (The Conference Board and International Paper Company); Mr. Johnson (KANTAR LLC (family member’s employer)); and Ms. Reed-Klages (The Boeing Company (family member’s employer), Caterpillar Inc. and the University of Southern California). In determining that these relationships did not affect the independence of those directors, the Board considered that none of the directors had any direct or indirect material interest in, or received any special compensation in connection with, the Corporation’s business relationships with those entities. In addition to their consideration of these ordinary course of business transactions, the Governance Committee and the Board relied upon the director independence guidelines included in our Governance Guidelines to conclude that contributions to a tax-exempt organization by the Corporation did not create any direct or indirect material interest for the purpose of assessing director independence.</w:t>
      </w:r>
    </w:p>
    <w:p>
      <w:pPr>
        <w:spacing w:after="0" w:line="99"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The Governance Committee also concluded that all members of each of the Audit Committee, the Compensation Committee and the Governance Committee are independent within the meaning of our Governance Guidelines and NYSE listing standards, including the additional independence requirements applicable to members of the Audit Committee and Compensation Committee.</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475C90"/>
        </w:rPr>
        <w:t>Related Person Transaction Policy</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The Board has approved a written policy and procedures for the review, approval and ratification of transactions among the Corporation and its directors, executive officers and their related interests. A copy of the policy is available on the Corporation’s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 Under the policy, all related person transactions (as defined in the policy) are to be reviewed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Committee. The Governance Committee may approve or ratify related person transactions at its discretion if deemed fair and reasonable to the Corporation. This may include situations where the Corporation provides products or services to related persons on an arm’s length basis on terms comparable to those provided to unrelated third parties. Any director who participates in or is the subject of an existing or potential related person transaction may not participate in the decision-making process of the Governance Committee with respect to that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266065</wp:posOffset>
            </wp:positionV>
            <wp:extent cx="969010" cy="2228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30</w:t>
      </w:r>
    </w:p>
    <w:p>
      <w:pPr>
        <w:sectPr>
          <w:pgSz w:w="11900" w:h="16838" w:orient="portrait"/>
          <w:cols w:equalWidth="0" w:num="1">
            <w:col w:w="11220"/>
          </w:cols>
          <w:pgMar w:left="320" w:top="609"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54"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Under the policy, and consistent with applicable SEC regulations and NYSE listing standards, a related person transaction is any transaction in which the Corporation was, is or will be a participant, where the amount involved exceeds $120,000, and in which a related person had, has, or will have a direct or indirect material interest. A related person includes any director or director-nominee, any executive officer of the Corporation, any person who is known to be the beneficial owner of more than five percent of any class of the Corporation’s voting securities, or an immediate family member of any person described above.</w:t>
      </w:r>
    </w:p>
    <w:p>
      <w:pPr>
        <w:spacing w:after="0" w:line="8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Our policy requires each director and executive officer to complete an annual questionnaire to identify his or her related interests and persons, and to notify the Corporation of changes in that information. Based on that information, the Corporation maintains a master list of related persons for purposes of tracking and reporting related person transactions.</w:t>
      </w:r>
    </w:p>
    <w:p>
      <w:pPr>
        <w:spacing w:after="0" w:line="6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Because it may not be possible or practical to pre-approve all related person transactions, the policy contemplates that the Governance Committee may ratify transactions after they commence or pre-approve categories of transactions or relationships. If the Governance Committee declines to approve or ratify a transaction, the related person transaction is referred to management to make a recommendation to the Governance Committee concerning whether the transaction should be terminated or amended in a manner that is acceptable to the Governance Committee.</w:t>
      </w:r>
    </w:p>
    <w:p>
      <w:pPr>
        <w:spacing w:after="0" w:line="80" w:lineRule="exact"/>
        <w:rPr>
          <w:sz w:val="20"/>
          <w:szCs w:val="20"/>
          <w:color w:val="auto"/>
        </w:rPr>
      </w:pPr>
    </w:p>
    <w:p>
      <w:pPr>
        <w:ind w:right="820"/>
        <w:spacing w:after="0" w:line="239" w:lineRule="auto"/>
        <w:rPr>
          <w:sz w:val="20"/>
          <w:szCs w:val="20"/>
          <w:color w:val="auto"/>
        </w:rPr>
      </w:pPr>
      <w:r>
        <w:rPr>
          <w:rFonts w:ascii="Arial" w:cs="Arial" w:eastAsia="Arial" w:hAnsi="Arial"/>
          <w:sz w:val="25"/>
          <w:szCs w:val="25"/>
          <w:color w:val="475C90"/>
        </w:rPr>
        <w:t>Certain Relationships and Related Person Transactions of Directors, Executive Officers and 5 Percent Stockholders</w:t>
      </w:r>
    </w:p>
    <w:p>
      <w:pPr>
        <w:spacing w:after="0" w:line="9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following transactions or relationships are considered to be “related person” transactions under our corporate policy and applicable SEC regulations and NYSE listing standards. We currently employ approximately 114,000 employees and have an active recruitment program for soliciting job applications from qualified candidates. We seek to hire the most qualified candidates and consequently do not preclude the employment of family members of current directors or executive officers. William J. Drennen, III, the brother-in-law of our chief accounting officer, is employed by the Corporation as a senior staff systems engineer. Mr. Drennen’s 2020 base salary was $169,478 and he received an annual cash incentive award of $13,558. His base salary was increased to $174,562 for 2021 and he is eligible to earn an incentive award applicable to employees at his level. Bruce Carlson's son, Dr. Scott Carlson, is employed by the Corporation as a senior staff aeronautical engineer. Dr. Carlson's 2020 base salary was $148,026 and he received an annual cash incentive award of $11,842. His base salary was increased to $152,467 for 2021 and he may be eligible to earn an incentive award applicable to employees at his level. Mr. Drennen and Dr. Carlson may participate in other employee benefit plans and arrangements that generally are made available to other employees at the same level (including health, welfare, vacation, and retirement plans). Their respective compensation was established in accordance with the Corporation’s employment and compensation practices applicable to employees with equivalent qualifications, experience, and responsibilities and the Board and executive officers of the Corporation did not have any direct involvement in setting their individual compensation. Neither Mr. Drennen nor Dr. Carlson served as an executive officer of the Corporation during 2020.</w:t>
      </w:r>
    </w:p>
    <w:p>
      <w:pPr>
        <w:spacing w:after="0" w:line="9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From time to time, the Corporation has purchased services in the ordinary course of business from financial institutions that beneficially own five percent or more of our common stock. In 2020, the Corporation paid approximately $10,006,174 to State Street Corporation and its affiliates (including State Street Bank and Trust Company) (collectively, State Street) for investment management, custodial, benefit plan administration and credit facility fees; approximately $1,061,953 to BlackRock, Inc. and its affiliates for investment management fees; approximately $983,803 to Capital Guardian, an affiliate of Capital World Investors, for investment management fees; and approximately $277,137 to The Vanguard Group, Inc., for investment management fees. A portion of the fees included in the amounts paid to State Street, BlackRock, Inc., Capital Guardian and The Vanguard Group are estimated based on a percentage of net asset value under management.</w:t>
      </w:r>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color w:val="002E6D"/>
        </w:rPr>
        <w:t>Accountability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475C90"/>
        </w:rPr>
        <w:t>Majority Voting Policy for Director Elections</w:t>
      </w:r>
    </w:p>
    <w:p>
      <w:pPr>
        <w:spacing w:after="0" w:line="123"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The Corporation’s Charter and Bylaws provide for simple majority voting. Pursuant to the Governance Guidelines, in any uncontested election of directors, any incumbent director who receives more votes “AGAINST” than votes “FOR” is required to offer his or her resignation for Board consideration.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31</w:t>
      </w:r>
    </w:p>
    <w:p>
      <w:pPr>
        <w:sectPr>
          <w:pgSz w:w="11900" w:h="16838" w:orient="portrait"/>
          <w:cols w:equalWidth="0" w:num="1">
            <w:col w:w="11240"/>
          </w:cols>
          <w:pgMar w:left="320" w:top="609"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54"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Upon receipt of a resignation of a director tendered as a result of a failed stockholder vote, the Governance Committee will make a recommendation to the Board as to whether to accept or reject the resignation, or whether other action is recommended. In considering the tendered resignation, the Board will consider the Governance Committee’s recommendation as well as any other factors it deems relevant, which may include:</w:t>
      </w:r>
    </w:p>
    <w:p>
      <w:pPr>
        <w:spacing w:after="0" w:line="96" w:lineRule="exact"/>
        <w:rPr>
          <w:sz w:val="20"/>
          <w:szCs w:val="20"/>
          <w:color w:val="auto"/>
        </w:rPr>
      </w:pPr>
    </w:p>
    <w:p>
      <w:pPr>
        <w:ind w:left="220" w:hanging="131"/>
        <w:spacing w:after="0"/>
        <w:tabs>
          <w:tab w:leader="none" w:pos="220" w:val="left"/>
        </w:tabs>
        <w:numPr>
          <w:ilvl w:val="0"/>
          <w:numId w:val="56"/>
        </w:numPr>
        <w:rPr>
          <w:rFonts w:ascii="Arial" w:cs="Arial" w:eastAsia="Arial" w:hAnsi="Arial"/>
          <w:sz w:val="17"/>
          <w:szCs w:val="17"/>
          <w:color w:val="002E6D"/>
        </w:rPr>
      </w:pPr>
      <w:r>
        <w:rPr>
          <w:rFonts w:ascii="Arial" w:cs="Arial" w:eastAsia="Arial" w:hAnsi="Arial"/>
          <w:sz w:val="17"/>
          <w:szCs w:val="17"/>
          <w:color w:val="auto"/>
        </w:rPr>
        <w:t>the qualifications of the director whose resignation has been tendered;</w:t>
      </w:r>
    </w:p>
    <w:p>
      <w:pPr>
        <w:spacing w:after="0" w:line="128" w:lineRule="exact"/>
        <w:rPr>
          <w:rFonts w:ascii="Arial" w:cs="Arial" w:eastAsia="Arial" w:hAnsi="Arial"/>
          <w:sz w:val="17"/>
          <w:szCs w:val="17"/>
          <w:color w:val="002E6D"/>
        </w:rPr>
      </w:pPr>
    </w:p>
    <w:p>
      <w:pPr>
        <w:ind w:left="220" w:hanging="131"/>
        <w:spacing w:after="0"/>
        <w:tabs>
          <w:tab w:leader="none" w:pos="220" w:val="left"/>
        </w:tabs>
        <w:numPr>
          <w:ilvl w:val="0"/>
          <w:numId w:val="56"/>
        </w:numPr>
        <w:rPr>
          <w:rFonts w:ascii="Arial" w:cs="Arial" w:eastAsia="Arial" w:hAnsi="Arial"/>
          <w:sz w:val="17"/>
          <w:szCs w:val="17"/>
          <w:color w:val="002E6D"/>
        </w:rPr>
      </w:pPr>
      <w:r>
        <w:rPr>
          <w:rFonts w:ascii="Arial" w:cs="Arial" w:eastAsia="Arial" w:hAnsi="Arial"/>
          <w:sz w:val="17"/>
          <w:szCs w:val="17"/>
          <w:color w:val="auto"/>
        </w:rPr>
        <w:t>the director’s past and expected future contributions to the Corporation;</w:t>
      </w:r>
    </w:p>
    <w:p>
      <w:pPr>
        <w:spacing w:after="0" w:line="128" w:lineRule="exact"/>
        <w:rPr>
          <w:rFonts w:ascii="Arial" w:cs="Arial" w:eastAsia="Arial" w:hAnsi="Arial"/>
          <w:sz w:val="17"/>
          <w:szCs w:val="17"/>
          <w:color w:val="002E6D"/>
        </w:rPr>
      </w:pPr>
    </w:p>
    <w:p>
      <w:pPr>
        <w:ind w:left="220" w:hanging="131"/>
        <w:spacing w:after="0"/>
        <w:tabs>
          <w:tab w:leader="none" w:pos="220" w:val="left"/>
        </w:tabs>
        <w:numPr>
          <w:ilvl w:val="0"/>
          <w:numId w:val="56"/>
        </w:numPr>
        <w:rPr>
          <w:rFonts w:ascii="Arial" w:cs="Arial" w:eastAsia="Arial" w:hAnsi="Arial"/>
          <w:sz w:val="17"/>
          <w:szCs w:val="17"/>
          <w:color w:val="002E6D"/>
        </w:rPr>
      </w:pPr>
      <w:r>
        <w:rPr>
          <w:rFonts w:ascii="Arial" w:cs="Arial" w:eastAsia="Arial" w:hAnsi="Arial"/>
          <w:sz w:val="17"/>
          <w:szCs w:val="17"/>
          <w:color w:val="auto"/>
        </w:rPr>
        <w:t>the overall composition of the Board and its committees;</w:t>
      </w:r>
    </w:p>
    <w:p>
      <w:pPr>
        <w:spacing w:after="0" w:line="128" w:lineRule="exact"/>
        <w:rPr>
          <w:rFonts w:ascii="Arial" w:cs="Arial" w:eastAsia="Arial" w:hAnsi="Arial"/>
          <w:sz w:val="17"/>
          <w:szCs w:val="17"/>
          <w:color w:val="002E6D"/>
        </w:rPr>
      </w:pPr>
    </w:p>
    <w:p>
      <w:pPr>
        <w:ind w:left="260" w:right="180" w:hanging="171"/>
        <w:spacing w:after="0" w:line="276" w:lineRule="auto"/>
        <w:tabs>
          <w:tab w:leader="none" w:pos="225" w:val="left"/>
        </w:tabs>
        <w:numPr>
          <w:ilvl w:val="0"/>
          <w:numId w:val="56"/>
        </w:numPr>
        <w:rPr>
          <w:rFonts w:ascii="Arial" w:cs="Arial" w:eastAsia="Arial" w:hAnsi="Arial"/>
          <w:sz w:val="17"/>
          <w:szCs w:val="17"/>
          <w:color w:val="002E6D"/>
        </w:rPr>
      </w:pPr>
      <w:r>
        <w:rPr>
          <w:rFonts w:ascii="Arial" w:cs="Arial" w:eastAsia="Arial" w:hAnsi="Arial"/>
          <w:sz w:val="17"/>
          <w:szCs w:val="17"/>
          <w:color w:val="auto"/>
        </w:rPr>
        <w:t>whether accepting the tendered resignation would cause the Corporation to fail to meet any applicable rule or regulation (including NYSE listing standards and the federal securities laws); and</w:t>
      </w:r>
    </w:p>
    <w:p>
      <w:pPr>
        <w:spacing w:after="0" w:line="90" w:lineRule="exact"/>
        <w:rPr>
          <w:rFonts w:ascii="Arial" w:cs="Arial" w:eastAsia="Arial" w:hAnsi="Arial"/>
          <w:sz w:val="17"/>
          <w:szCs w:val="17"/>
          <w:color w:val="002E6D"/>
        </w:rPr>
      </w:pPr>
    </w:p>
    <w:p>
      <w:pPr>
        <w:ind w:left="220" w:hanging="131"/>
        <w:spacing w:after="0"/>
        <w:tabs>
          <w:tab w:leader="none" w:pos="220" w:val="left"/>
        </w:tabs>
        <w:numPr>
          <w:ilvl w:val="0"/>
          <w:numId w:val="56"/>
        </w:numPr>
        <w:rPr>
          <w:rFonts w:ascii="Arial" w:cs="Arial" w:eastAsia="Arial" w:hAnsi="Arial"/>
          <w:sz w:val="17"/>
          <w:szCs w:val="17"/>
          <w:color w:val="002E6D"/>
        </w:rPr>
      </w:pPr>
      <w:r>
        <w:rPr>
          <w:rFonts w:ascii="Arial" w:cs="Arial" w:eastAsia="Arial" w:hAnsi="Arial"/>
          <w:sz w:val="17"/>
          <w:szCs w:val="17"/>
          <w:color w:val="auto"/>
        </w:rPr>
        <w:t>the percentage of outstanding shares represented by the votes cast at the annual meeting.</w:t>
      </w:r>
    </w:p>
    <w:p>
      <w:pPr>
        <w:spacing w:after="0" w:line="129"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The Board will act on a tendered resignation within 90 days following certification of the stockholder vote for the annual meeting and will promptly disclose its decision and rationale as to whether to accept the resignation (or the reasons for rejecting the resignation, if applicable) in a press release, in a filing with the SEC, or by other public announcement, including a posting on the Corporation’s website.</w:t>
      </w:r>
    </w:p>
    <w:p>
      <w:pPr>
        <w:spacing w:after="0" w:line="96"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If a director’s resignation is accepted by the Board, or if a nominee for director who is not an incumbent director is not elected, the Board may fill the resulting vacancy or may decrease the size of the Board pursuant to the Corporation’s Bylaws. The Board may not fill any vacancy so created with a director who was nominated but not elected at the annual meeting by the vote required under the Corporation’s Bylaws.</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color w:val="475C90"/>
        </w:rPr>
        <w:t>Stockholder Right to Amend Bylaws</w:t>
      </w:r>
    </w:p>
    <w:p>
      <w:pPr>
        <w:spacing w:after="0" w:line="1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Following a dialogue with many of our largest investors and a deliberative review of the issue, the Board proactively changed the Bylaws in December 2017 to give the Corporation’s stockholders the right to amend the Bylaws. The authority of the stockholders and the Board to amend the Bylaws is subject to the provisions of the Corporation’s Charter and applicable statutes. Our Bylaws can be found on the Corporation’s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color w:val="475C90"/>
        </w:rPr>
        <w:t>Proxy Access</w:t>
      </w:r>
    </w:p>
    <w:p>
      <w:pPr>
        <w:spacing w:after="0" w:line="1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Bylaws permit a stockholder or a group of up to 20 stockholders who together have owned at least three percent of the Corporation’s outstanding common stock continuously for three years to nominate for election by the Corporation’s stockholders and include in the Corporation’s proxy solicitation materials for its annual meeting up to the greater of two directors or 20 percent of the number of directors in office at the time of the proxy access deadline described on page 91.</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color w:val="475C90"/>
        </w:rPr>
        <w:t>Stockholder Right to Call Special Meeting</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stockholder who individually owns 10 percent, or stockholders who in the aggregate own 25 percent, of the outstanding common stock may demand the calling of a special meeting to consider any business properly brought before the stockholders. Our Bylaws do not restrict the timing of a request for a special meeting. The only subject matter restriction is that the Corporation is not required to call a special meeting to consider a matter that is substantially the same as a matter voted on at a special meeting within the preceding 12 months unless requested by stockholders entitled to cast a majority of the votes at the special meeting.</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475C90"/>
        </w:rPr>
        <w:t>No Poison Pill</w:t>
      </w:r>
    </w:p>
    <w:p>
      <w:pPr>
        <w:spacing w:after="0" w:line="12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Corporation does not have a Stockholder Rights Plan, otherwise known as a “Poison Pill.” Through our Governance Guidelines, the Board has communicated that it has no intention of adopting one at this time and if it were to adopt a Stockholder Rights Plan, the Board would seek stockholder ratification within 12 months of the date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262255</wp:posOffset>
            </wp:positionV>
            <wp:extent cx="969010" cy="2228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32</w:t>
      </w:r>
    </w:p>
    <w:p>
      <w:pPr>
        <w:sectPr>
          <w:pgSz w:w="11900" w:h="16838" w:orient="portrait"/>
          <w:cols w:equalWidth="0" w:num="1">
            <w:col w:w="11220"/>
          </w:cols>
          <w:pgMar w:left="320" w:top="609" w:right="359" w:bottom="1440" w:gutter="0" w:footer="0" w:header="0"/>
        </w:sectPr>
      </w:pPr>
    </w:p>
    <w:bookmarkStart w:id="36" w:name="page37"/>
    <w:bookmarkEnd w:id="36"/>
    <w:p>
      <w:pPr>
        <w:spacing w:after="0"/>
        <w:rPr>
          <w:sz w:val="20"/>
          <w:szCs w:val="20"/>
          <w:color w:val="auto"/>
        </w:rPr>
      </w:pPr>
      <w:r>
        <w:rPr>
          <w:rFonts w:ascii="Arial" w:cs="Arial" w:eastAsia="Arial" w:hAnsi="Arial"/>
          <w:sz w:val="43"/>
          <w:szCs w:val="43"/>
          <w:color w:val="002E6D"/>
        </w:rPr>
        <w:t>Enterprise Risk and Sustainability</w:t>
      </w:r>
    </w:p>
    <w:p>
      <w:pPr>
        <w:spacing w:after="0" w:line="176"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As a leader in developing and delivering innovative engineering solutions, Lockheed Martin helps to enable the growth, safety, and resiliency of communities and economies around the world. The core sustainability issues we focus on and the corresponding actions we take are designed to address some of the most pressing ESG issues facing society today and in the future.</w:t>
      </w:r>
    </w:p>
    <w:p>
      <w:pPr>
        <w:spacing w:after="0" w:line="9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To build integrated assurance, enterprise risk and sustainability are managed under one department and mutually reinforced through the following processes:</w:t>
      </w:r>
    </w:p>
    <w:p>
      <w:pPr>
        <w:spacing w:after="0" w:line="77" w:lineRule="exact"/>
        <w:rPr>
          <w:sz w:val="20"/>
          <w:szCs w:val="20"/>
          <w:color w:val="auto"/>
        </w:rPr>
      </w:pPr>
    </w:p>
    <w:p>
      <w:pPr>
        <w:ind w:left="420" w:right="120" w:hanging="250"/>
        <w:spacing w:after="0" w:line="259" w:lineRule="auto"/>
        <w:tabs>
          <w:tab w:leader="none" w:pos="385" w:val="left"/>
        </w:tabs>
        <w:numPr>
          <w:ilvl w:val="0"/>
          <w:numId w:val="57"/>
        </w:numPr>
        <w:rPr>
          <w:rFonts w:ascii="Arial" w:cs="Arial" w:eastAsia="Arial" w:hAnsi="Arial"/>
          <w:sz w:val="17"/>
          <w:szCs w:val="17"/>
          <w:color w:val="002E6D"/>
        </w:rPr>
      </w:pPr>
      <w:r>
        <w:rPr>
          <w:rFonts w:ascii="Arial" w:cs="Arial" w:eastAsia="Arial" w:hAnsi="Arial"/>
          <w:sz w:val="16"/>
          <w:szCs w:val="16"/>
          <w:color w:val="002E6D"/>
        </w:rPr>
        <w:t xml:space="preserve">Risk Identification: </w:t>
      </w:r>
      <w:r>
        <w:rPr>
          <w:rFonts w:ascii="Arial" w:cs="Arial" w:eastAsia="Arial" w:hAnsi="Arial"/>
          <w:sz w:val="17"/>
          <w:szCs w:val="17"/>
          <w:color w:val="000000"/>
        </w:rPr>
        <w:t>We monitor a dynamic risk universe that includes ESG topics prevalent in voluntary frameworks, mandatory regulations, and</w:t>
      </w:r>
      <w:r>
        <w:rPr>
          <w:rFonts w:ascii="Arial" w:cs="Arial" w:eastAsia="Arial" w:hAnsi="Arial"/>
          <w:sz w:val="16"/>
          <w:szCs w:val="16"/>
          <w:color w:val="002E6D"/>
        </w:rPr>
        <w:t xml:space="preserve"> </w:t>
      </w:r>
      <w:r>
        <w:rPr>
          <w:rFonts w:ascii="Arial" w:cs="Arial" w:eastAsia="Arial" w:hAnsi="Arial"/>
          <w:sz w:val="17"/>
          <w:szCs w:val="17"/>
          <w:color w:val="000000"/>
        </w:rPr>
        <w:t>internally identified sources.</w:t>
      </w:r>
    </w:p>
    <w:p>
      <w:pPr>
        <w:spacing w:after="0" w:line="91" w:lineRule="exact"/>
        <w:rPr>
          <w:rFonts w:ascii="Arial" w:cs="Arial" w:eastAsia="Arial" w:hAnsi="Arial"/>
          <w:sz w:val="17"/>
          <w:szCs w:val="17"/>
          <w:color w:val="002E6D"/>
        </w:rPr>
      </w:pPr>
    </w:p>
    <w:p>
      <w:pPr>
        <w:ind w:left="420" w:right="760" w:hanging="250"/>
        <w:spacing w:after="0" w:line="259" w:lineRule="auto"/>
        <w:tabs>
          <w:tab w:leader="none" w:pos="385" w:val="left"/>
        </w:tabs>
        <w:numPr>
          <w:ilvl w:val="0"/>
          <w:numId w:val="57"/>
        </w:numPr>
        <w:rPr>
          <w:rFonts w:ascii="Arial" w:cs="Arial" w:eastAsia="Arial" w:hAnsi="Arial"/>
          <w:sz w:val="17"/>
          <w:szCs w:val="17"/>
          <w:color w:val="002E6D"/>
        </w:rPr>
      </w:pPr>
      <w:r>
        <w:rPr>
          <w:rFonts w:ascii="Arial" w:cs="Arial" w:eastAsia="Arial" w:hAnsi="Arial"/>
          <w:sz w:val="16"/>
          <w:szCs w:val="16"/>
          <w:color w:val="002E6D"/>
        </w:rPr>
        <w:t xml:space="preserve">Risk Assessment: </w:t>
      </w:r>
      <w:r>
        <w:rPr>
          <w:rFonts w:ascii="Arial" w:cs="Arial" w:eastAsia="Arial" w:hAnsi="Arial"/>
          <w:sz w:val="17"/>
          <w:szCs w:val="17"/>
          <w:color w:val="000000"/>
        </w:rPr>
        <w:t>We prioritize and evaluate assumptions from a diverse set of risk topics that are relevant to strategic and operational</w:t>
      </w:r>
      <w:r>
        <w:rPr>
          <w:rFonts w:ascii="Arial" w:cs="Arial" w:eastAsia="Arial" w:hAnsi="Arial"/>
          <w:sz w:val="16"/>
          <w:szCs w:val="16"/>
          <w:color w:val="002E6D"/>
        </w:rPr>
        <w:t xml:space="preserve"> </w:t>
      </w:r>
      <w:r>
        <w:rPr>
          <w:rFonts w:ascii="Arial" w:cs="Arial" w:eastAsia="Arial" w:hAnsi="Arial"/>
          <w:sz w:val="17"/>
          <w:szCs w:val="17"/>
          <w:color w:val="000000"/>
        </w:rPr>
        <w:t>objectives. This includes examining environmental and social factors applicable to risk topics in our business.</w:t>
      </w:r>
    </w:p>
    <w:p>
      <w:pPr>
        <w:spacing w:after="0" w:line="91" w:lineRule="exact"/>
        <w:rPr>
          <w:rFonts w:ascii="Arial" w:cs="Arial" w:eastAsia="Arial" w:hAnsi="Arial"/>
          <w:sz w:val="17"/>
          <w:szCs w:val="17"/>
          <w:color w:val="002E6D"/>
        </w:rPr>
      </w:pPr>
    </w:p>
    <w:p>
      <w:pPr>
        <w:ind w:left="420" w:right="100" w:hanging="250"/>
        <w:spacing w:after="0" w:line="252" w:lineRule="auto"/>
        <w:tabs>
          <w:tab w:leader="none" w:pos="385" w:val="left"/>
        </w:tabs>
        <w:numPr>
          <w:ilvl w:val="0"/>
          <w:numId w:val="57"/>
        </w:numPr>
        <w:rPr>
          <w:rFonts w:ascii="Arial" w:cs="Arial" w:eastAsia="Arial" w:hAnsi="Arial"/>
          <w:sz w:val="17"/>
          <w:szCs w:val="17"/>
          <w:color w:val="002E6D"/>
        </w:rPr>
      </w:pPr>
      <w:r>
        <w:rPr>
          <w:rFonts w:ascii="Arial" w:cs="Arial" w:eastAsia="Arial" w:hAnsi="Arial"/>
          <w:sz w:val="16"/>
          <w:szCs w:val="16"/>
          <w:color w:val="002E6D"/>
        </w:rPr>
        <w:t xml:space="preserve">Risk Controls and Mitigation: </w:t>
      </w:r>
      <w:r>
        <w:rPr>
          <w:rFonts w:ascii="Arial" w:cs="Arial" w:eastAsia="Arial" w:hAnsi="Arial"/>
          <w:sz w:val="17"/>
          <w:szCs w:val="17"/>
          <w:color w:val="000000"/>
        </w:rPr>
        <w:t>Through the Risk Audit Strategy Board (a periodic, rigorous examination of the intersection between our Enterprise</w:t>
      </w:r>
      <w:r>
        <w:rPr>
          <w:rFonts w:ascii="Arial" w:cs="Arial" w:eastAsia="Arial" w:hAnsi="Arial"/>
          <w:sz w:val="16"/>
          <w:szCs w:val="16"/>
          <w:color w:val="002E6D"/>
        </w:rPr>
        <w:t xml:space="preserve"> </w:t>
      </w:r>
      <w:r>
        <w:rPr>
          <w:rFonts w:ascii="Arial" w:cs="Arial" w:eastAsia="Arial" w:hAnsi="Arial"/>
          <w:sz w:val="17"/>
          <w:szCs w:val="17"/>
          <w:color w:val="000000"/>
        </w:rPr>
        <w:t>Risk matrix and our internal audit plan) we strive to mitigate risk related to several ESG factors, and we track, measure and report our performance for greater transparency. This process also informs how we evaluate the effectiveness of controls for risk elements identified through our enterprise risk assessments, corporate policies, and internal audits.</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color w:val="002E6D"/>
        </w:rPr>
        <w:t>Enterprise Risk Management Highlights</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prominent oversight responsibility of the Board concerns the management of corporate risk-taking to achieve strategic objectives and monitoring of risk mitigation effectiveness. The Audit Committee reviews the state of enterprise risk governance, as well as the assessments of risks that may impact the Corporation’s ability to achieve strategic business objectives. The Audit Committee also reviews risk disclosures and reporting and management evaluations of risk mitigation performance. Other Board committees also supervise management's execution of additional subject-specific risks relevant to their function’s compliance with laws and regulations. Examples of this are cybersecurity and ethics and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6"/>
          <w:szCs w:val="16"/>
          <w:color w:val="475C90"/>
        </w:rPr>
        <w:t>Risk Governance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40" w:type="dxa"/>
            <w:vAlign w:val="bottom"/>
            <w:tcBorders>
              <w:bottom w:val="single" w:sz="8" w:color="959595"/>
            </w:tcBorders>
            <w:shd w:val="clear" w:color="auto" w:fill="E5E7EF"/>
          </w:tcPr>
          <w:p>
            <w:pPr>
              <w:ind w:left="20"/>
              <w:spacing w:after="0"/>
              <w:rPr>
                <w:sz w:val="20"/>
                <w:szCs w:val="20"/>
                <w:color w:val="auto"/>
              </w:rPr>
            </w:pPr>
            <w:r>
              <w:rPr>
                <w:rFonts w:ascii="Arial" w:cs="Arial" w:eastAsia="Arial" w:hAnsi="Arial"/>
                <w:sz w:val="16"/>
                <w:szCs w:val="16"/>
                <w:color w:val="auto"/>
              </w:rPr>
              <w:t>Board Committee</w:t>
            </w:r>
          </w:p>
        </w:tc>
        <w:tc>
          <w:tcPr>
            <w:tcW w:w="8600" w:type="dxa"/>
            <w:vAlign w:val="bottom"/>
            <w:tcBorders>
              <w:bottom w:val="single" w:sz="8" w:color="959595"/>
            </w:tcBorders>
            <w:shd w:val="clear" w:color="auto" w:fill="E5E7EF"/>
          </w:tcPr>
          <w:p>
            <w:pPr>
              <w:ind w:left="280"/>
              <w:spacing w:after="0"/>
              <w:rPr>
                <w:sz w:val="20"/>
                <w:szCs w:val="20"/>
                <w:color w:val="auto"/>
              </w:rPr>
            </w:pPr>
            <w:r>
              <w:rPr>
                <w:rFonts w:ascii="Arial" w:cs="Arial" w:eastAsia="Arial" w:hAnsi="Arial"/>
                <w:sz w:val="16"/>
                <w:szCs w:val="16"/>
                <w:color w:val="auto"/>
              </w:rPr>
              <w:t>Risk Mitigation Purview</w:t>
            </w:r>
          </w:p>
        </w:tc>
      </w:tr>
      <w:tr>
        <w:trPr>
          <w:trHeight w:val="169"/>
        </w:trPr>
        <w:tc>
          <w:tcPr>
            <w:tcW w:w="2640" w:type="dxa"/>
            <w:vAlign w:val="bottom"/>
          </w:tcPr>
          <w:p>
            <w:pPr>
              <w:ind w:left="20"/>
              <w:spacing w:after="0" w:line="169" w:lineRule="exact"/>
              <w:rPr>
                <w:sz w:val="20"/>
                <w:szCs w:val="20"/>
                <w:color w:val="auto"/>
              </w:rPr>
            </w:pPr>
            <w:r>
              <w:rPr>
                <w:rFonts w:ascii="Arial" w:cs="Arial" w:eastAsia="Arial" w:hAnsi="Arial"/>
                <w:sz w:val="16"/>
                <w:szCs w:val="16"/>
                <w:color w:val="002E6D"/>
              </w:rPr>
              <w:t>Audit</w:t>
            </w:r>
          </w:p>
        </w:tc>
        <w:tc>
          <w:tcPr>
            <w:tcW w:w="8600" w:type="dxa"/>
            <w:vAlign w:val="bottom"/>
          </w:tcPr>
          <w:p>
            <w:pPr>
              <w:ind w:left="280"/>
              <w:spacing w:after="0" w:line="169" w:lineRule="exact"/>
              <w:rPr>
                <w:sz w:val="20"/>
                <w:szCs w:val="20"/>
                <w:color w:val="auto"/>
              </w:rPr>
            </w:pPr>
            <w:r>
              <w:rPr>
                <w:rFonts w:ascii="Arial" w:cs="Arial" w:eastAsia="Arial" w:hAnsi="Arial"/>
                <w:sz w:val="17"/>
                <w:szCs w:val="17"/>
                <w:color w:val="auto"/>
              </w:rPr>
              <w:t>Financial and compliance risks and risk identification process; risks related to business strategy and identified</w:t>
            </w:r>
          </w:p>
        </w:tc>
      </w:tr>
      <w:tr>
        <w:trPr>
          <w:trHeight w:val="207"/>
        </w:trPr>
        <w:tc>
          <w:tcPr>
            <w:tcW w:w="2640" w:type="dxa"/>
            <w:vAlign w:val="bottom"/>
            <w:tcBorders>
              <w:bottom w:val="single" w:sz="8" w:color="959595"/>
            </w:tcBorders>
          </w:tcPr>
          <w:p>
            <w:pPr>
              <w:spacing w:after="0"/>
              <w:rPr>
                <w:sz w:val="17"/>
                <w:szCs w:val="17"/>
                <w:color w:val="auto"/>
              </w:rPr>
            </w:pPr>
          </w:p>
        </w:tc>
        <w:tc>
          <w:tcPr>
            <w:tcW w:w="8600" w:type="dxa"/>
            <w:vAlign w:val="bottom"/>
            <w:tcBorders>
              <w:bottom w:val="single" w:sz="8" w:color="959595"/>
            </w:tcBorders>
          </w:tcPr>
          <w:p>
            <w:pPr>
              <w:ind w:left="280"/>
              <w:spacing w:after="0"/>
              <w:rPr>
                <w:sz w:val="20"/>
                <w:szCs w:val="20"/>
                <w:color w:val="auto"/>
              </w:rPr>
            </w:pPr>
            <w:r>
              <w:rPr>
                <w:rFonts w:ascii="Arial" w:cs="Arial" w:eastAsia="Arial" w:hAnsi="Arial"/>
                <w:sz w:val="17"/>
                <w:szCs w:val="17"/>
                <w:color w:val="auto"/>
              </w:rPr>
              <w:t>enterprise risk</w:t>
            </w:r>
          </w:p>
        </w:tc>
      </w:tr>
      <w:tr>
        <w:trPr>
          <w:trHeight w:val="171"/>
        </w:trPr>
        <w:tc>
          <w:tcPr>
            <w:tcW w:w="2640" w:type="dxa"/>
            <w:vAlign w:val="bottom"/>
            <w:shd w:val="clear" w:color="auto" w:fill="E5E7EF"/>
          </w:tcPr>
          <w:p>
            <w:pPr>
              <w:ind w:left="20"/>
              <w:spacing w:after="0" w:line="171" w:lineRule="exact"/>
              <w:rPr>
                <w:sz w:val="20"/>
                <w:szCs w:val="20"/>
                <w:color w:val="auto"/>
              </w:rPr>
            </w:pPr>
            <w:r>
              <w:rPr>
                <w:rFonts w:ascii="Arial" w:cs="Arial" w:eastAsia="Arial" w:hAnsi="Arial"/>
                <w:sz w:val="16"/>
                <w:szCs w:val="16"/>
                <w:color w:val="002E6D"/>
              </w:rPr>
              <w:t>Classified Business and Security</w:t>
            </w:r>
          </w:p>
        </w:tc>
        <w:tc>
          <w:tcPr>
            <w:tcW w:w="8600" w:type="dxa"/>
            <w:vAlign w:val="bottom"/>
            <w:shd w:val="clear" w:color="auto" w:fill="E5E7EF"/>
          </w:tcPr>
          <w:p>
            <w:pPr>
              <w:ind w:left="280"/>
              <w:spacing w:after="0" w:line="171" w:lineRule="exact"/>
              <w:rPr>
                <w:sz w:val="20"/>
                <w:szCs w:val="20"/>
                <w:color w:val="auto"/>
              </w:rPr>
            </w:pPr>
            <w:r>
              <w:rPr>
                <w:rFonts w:ascii="Arial" w:cs="Arial" w:eastAsia="Arial" w:hAnsi="Arial"/>
                <w:sz w:val="17"/>
                <w:szCs w:val="17"/>
                <w:color w:val="auto"/>
              </w:rPr>
              <w:t>Classified programs and security of personnel, facilities and data-related risks including classified</w:t>
            </w:r>
          </w:p>
        </w:tc>
      </w:tr>
      <w:tr>
        <w:trPr>
          <w:trHeight w:val="203"/>
        </w:trPr>
        <w:tc>
          <w:tcPr>
            <w:tcW w:w="2640" w:type="dxa"/>
            <w:vAlign w:val="bottom"/>
            <w:tcBorders>
              <w:bottom w:val="single" w:sz="8" w:color="959595"/>
            </w:tcBorders>
            <w:shd w:val="clear" w:color="auto" w:fill="E5E7EF"/>
          </w:tcPr>
          <w:p>
            <w:pPr>
              <w:spacing w:after="0"/>
              <w:rPr>
                <w:sz w:val="17"/>
                <w:szCs w:val="17"/>
                <w:color w:val="auto"/>
              </w:rPr>
            </w:pPr>
          </w:p>
        </w:tc>
        <w:tc>
          <w:tcPr>
            <w:tcW w:w="8600" w:type="dxa"/>
            <w:vAlign w:val="bottom"/>
            <w:tcBorders>
              <w:bottom w:val="single" w:sz="8" w:color="959595"/>
            </w:tcBorders>
            <w:shd w:val="clear" w:color="auto" w:fill="E5E7EF"/>
          </w:tcPr>
          <w:p>
            <w:pPr>
              <w:ind w:left="280"/>
              <w:spacing w:after="0"/>
              <w:rPr>
                <w:sz w:val="20"/>
                <w:szCs w:val="20"/>
                <w:color w:val="auto"/>
              </w:rPr>
            </w:pPr>
            <w:r>
              <w:rPr>
                <w:rFonts w:ascii="Arial" w:cs="Arial" w:eastAsia="Arial" w:hAnsi="Arial"/>
                <w:sz w:val="17"/>
                <w:szCs w:val="17"/>
                <w:color w:val="auto"/>
              </w:rPr>
              <w:t>cybersecurity</w:t>
            </w:r>
          </w:p>
        </w:tc>
      </w:tr>
    </w:tbl>
    <w:p>
      <w:pPr>
        <w:ind w:left="20"/>
        <w:spacing w:after="0" w:line="224" w:lineRule="auto"/>
        <w:rPr>
          <w:sz w:val="20"/>
          <w:szCs w:val="20"/>
          <w:color w:val="auto"/>
        </w:rPr>
      </w:pPr>
      <w:r>
        <w:rPr>
          <w:rFonts w:ascii="Arial" w:cs="Arial" w:eastAsia="Arial" w:hAnsi="Arial"/>
          <w:sz w:val="16"/>
          <w:szCs w:val="16"/>
          <w:color w:val="002E6D"/>
        </w:rPr>
        <w:t xml:space="preserve">Nominating and Corporate Governance </w:t>
      </w:r>
      <w:r>
        <w:rPr>
          <w:rFonts w:ascii="Arial" w:cs="Arial" w:eastAsia="Arial" w:hAnsi="Arial"/>
          <w:sz w:val="17"/>
          <w:szCs w:val="17"/>
          <w:color w:val="000000"/>
        </w:rPr>
        <w:t>Board composition, corporate governance, employee safety and health, ethical conduct, human rights,</w:t>
      </w:r>
    </w:p>
    <w:tbl>
      <w:tblPr>
        <w:tblLayout w:type="fixed"/>
        <w:tblInd w:w="0" w:type="dxa"/>
        <w:tblCellMar>
          <w:top w:w="0" w:type="dxa"/>
          <w:left w:w="0" w:type="dxa"/>
          <w:bottom w:w="0" w:type="dxa"/>
          <w:right w:w="0" w:type="dxa"/>
        </w:tblCellMar>
      </w:tblPr>
      <w:tr>
        <w:trPr>
          <w:trHeight w:val="216"/>
        </w:trPr>
        <w:tc>
          <w:tcPr>
            <w:tcW w:w="2600" w:type="dxa"/>
            <w:vAlign w:val="bottom"/>
            <w:tcBorders>
              <w:bottom w:val="single" w:sz="8" w:color="959595"/>
            </w:tcBorders>
          </w:tcPr>
          <w:p>
            <w:pPr>
              <w:spacing w:after="0"/>
              <w:rPr>
                <w:sz w:val="18"/>
                <w:szCs w:val="18"/>
                <w:color w:val="auto"/>
              </w:rPr>
            </w:pPr>
          </w:p>
        </w:tc>
        <w:tc>
          <w:tcPr>
            <w:tcW w:w="8640" w:type="dxa"/>
            <w:vAlign w:val="bottom"/>
            <w:tcBorders>
              <w:bottom w:val="single" w:sz="8" w:color="959595"/>
            </w:tcBorders>
          </w:tcPr>
          <w:p>
            <w:pPr>
              <w:ind w:left="320"/>
              <w:spacing w:after="0"/>
              <w:rPr>
                <w:sz w:val="20"/>
                <w:szCs w:val="20"/>
                <w:color w:val="auto"/>
              </w:rPr>
            </w:pPr>
            <w:r>
              <w:rPr>
                <w:rFonts w:ascii="Arial" w:cs="Arial" w:eastAsia="Arial" w:hAnsi="Arial"/>
                <w:sz w:val="17"/>
                <w:szCs w:val="17"/>
                <w:color w:val="auto"/>
              </w:rPr>
              <w:t>corporate culture, human capital and environmental risks</w:t>
            </w:r>
          </w:p>
        </w:tc>
      </w:tr>
      <w:tr>
        <w:trPr>
          <w:trHeight w:val="218"/>
        </w:trPr>
        <w:tc>
          <w:tcPr>
            <w:tcW w:w="2600" w:type="dxa"/>
            <w:vAlign w:val="bottom"/>
            <w:shd w:val="clear" w:color="auto" w:fill="E5E7EF"/>
          </w:tcPr>
          <w:p>
            <w:pPr>
              <w:ind w:left="20"/>
              <w:spacing w:after="0"/>
              <w:rPr>
                <w:sz w:val="20"/>
                <w:szCs w:val="20"/>
                <w:color w:val="auto"/>
              </w:rPr>
            </w:pPr>
            <w:r>
              <w:rPr>
                <w:rFonts w:ascii="Arial" w:cs="Arial" w:eastAsia="Arial" w:hAnsi="Arial"/>
                <w:sz w:val="16"/>
                <w:szCs w:val="16"/>
                <w:color w:val="002E6D"/>
              </w:rPr>
              <w:t>Management Development and</w:t>
            </w:r>
          </w:p>
        </w:tc>
        <w:tc>
          <w:tcPr>
            <w:tcW w:w="8640" w:type="dxa"/>
            <w:vAlign w:val="bottom"/>
            <w:shd w:val="clear" w:color="auto" w:fill="E5E7EF"/>
          </w:tcPr>
          <w:p>
            <w:pPr>
              <w:ind w:left="320"/>
              <w:spacing w:after="0"/>
              <w:rPr>
                <w:sz w:val="20"/>
                <w:szCs w:val="20"/>
                <w:color w:val="auto"/>
              </w:rPr>
            </w:pPr>
            <w:r>
              <w:rPr>
                <w:rFonts w:ascii="Arial" w:cs="Arial" w:eastAsia="Arial" w:hAnsi="Arial"/>
                <w:sz w:val="17"/>
                <w:szCs w:val="17"/>
                <w:color w:val="auto"/>
              </w:rPr>
              <w:t>Talent, workforce and incentive compensation risks</w:t>
            </w:r>
          </w:p>
        </w:tc>
      </w:tr>
      <w:tr>
        <w:trPr>
          <w:trHeight w:val="208"/>
        </w:trPr>
        <w:tc>
          <w:tcPr>
            <w:tcW w:w="2600" w:type="dxa"/>
            <w:vAlign w:val="bottom"/>
            <w:tcBorders>
              <w:bottom w:val="single" w:sz="8" w:color="959595"/>
            </w:tcBorders>
            <w:shd w:val="clear" w:color="auto" w:fill="E5E7EF"/>
          </w:tcPr>
          <w:p>
            <w:pPr>
              <w:ind w:left="20"/>
              <w:spacing w:after="0"/>
              <w:rPr>
                <w:sz w:val="20"/>
                <w:szCs w:val="20"/>
                <w:color w:val="auto"/>
              </w:rPr>
            </w:pPr>
            <w:r>
              <w:rPr>
                <w:rFonts w:ascii="Arial" w:cs="Arial" w:eastAsia="Arial" w:hAnsi="Arial"/>
                <w:sz w:val="16"/>
                <w:szCs w:val="16"/>
                <w:color w:val="002E6D"/>
              </w:rPr>
              <w:t>Compensation</w:t>
            </w:r>
          </w:p>
        </w:tc>
        <w:tc>
          <w:tcPr>
            <w:tcW w:w="8640" w:type="dxa"/>
            <w:vAlign w:val="bottom"/>
            <w:tcBorders>
              <w:bottom w:val="single" w:sz="8" w:color="959595"/>
            </w:tcBorders>
            <w:shd w:val="clear" w:color="auto" w:fill="E5E7EF"/>
          </w:tcPr>
          <w:p>
            <w:pPr>
              <w:spacing w:after="0"/>
              <w:rPr>
                <w:sz w:val="18"/>
                <w:szCs w:val="18"/>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Our enterprise risk management process involves providing the Board with regular, periodic reports on:</w:t>
      </w:r>
    </w:p>
    <w:p>
      <w:pPr>
        <w:spacing w:after="0" w:line="129" w:lineRule="exact"/>
        <w:rPr>
          <w:sz w:val="20"/>
          <w:szCs w:val="20"/>
          <w:color w:val="auto"/>
        </w:rPr>
      </w:pPr>
    </w:p>
    <w:p>
      <w:pPr>
        <w:ind w:left="380" w:hanging="210"/>
        <w:spacing w:after="0"/>
        <w:tabs>
          <w:tab w:leader="none" w:pos="380" w:val="left"/>
        </w:tabs>
        <w:numPr>
          <w:ilvl w:val="0"/>
          <w:numId w:val="58"/>
        </w:numPr>
        <w:rPr>
          <w:rFonts w:ascii="Arial" w:cs="Arial" w:eastAsia="Arial" w:hAnsi="Arial"/>
          <w:sz w:val="17"/>
          <w:szCs w:val="17"/>
          <w:color w:val="002E6D"/>
        </w:rPr>
      </w:pPr>
      <w:r>
        <w:rPr>
          <w:rFonts w:ascii="Arial" w:cs="Arial" w:eastAsia="Arial" w:hAnsi="Arial"/>
          <w:sz w:val="17"/>
          <w:szCs w:val="17"/>
          <w:color w:val="auto"/>
        </w:rPr>
        <w:t>A clear governance structure guiding our risk management process across the Corporation;</w:t>
      </w:r>
    </w:p>
    <w:p>
      <w:pPr>
        <w:spacing w:after="0" w:line="20" w:lineRule="exact"/>
        <w:rPr>
          <w:rFonts w:ascii="Arial" w:cs="Arial" w:eastAsia="Arial" w:hAnsi="Arial"/>
          <w:sz w:val="17"/>
          <w:szCs w:val="17"/>
          <w:color w:val="002E6D"/>
        </w:rPr>
      </w:pPr>
    </w:p>
    <w:p>
      <w:pPr>
        <w:ind w:left="420" w:right="900" w:hanging="250"/>
        <w:spacing w:after="0" w:line="265" w:lineRule="auto"/>
        <w:tabs>
          <w:tab w:leader="none" w:pos="385" w:val="left"/>
        </w:tabs>
        <w:numPr>
          <w:ilvl w:val="0"/>
          <w:numId w:val="58"/>
        </w:numPr>
        <w:rPr>
          <w:rFonts w:ascii="Arial" w:cs="Arial" w:eastAsia="Arial" w:hAnsi="Arial"/>
          <w:sz w:val="17"/>
          <w:szCs w:val="17"/>
          <w:color w:val="002E6D"/>
        </w:rPr>
      </w:pPr>
      <w:r>
        <w:rPr>
          <w:rFonts w:ascii="Arial" w:cs="Arial" w:eastAsia="Arial" w:hAnsi="Arial"/>
          <w:sz w:val="17"/>
          <w:szCs w:val="17"/>
          <w:color w:val="auto"/>
        </w:rPr>
        <w:t>The categories of risks the Corporation faces, including significant drivers posing potential impacts to meeting strategic objectives or compliance standards;</w:t>
      </w:r>
    </w:p>
    <w:p>
      <w:pPr>
        <w:ind w:left="420" w:right="100" w:hanging="250"/>
        <w:spacing w:after="0" w:line="265" w:lineRule="auto"/>
        <w:tabs>
          <w:tab w:leader="none" w:pos="385" w:val="left"/>
        </w:tabs>
        <w:numPr>
          <w:ilvl w:val="0"/>
          <w:numId w:val="58"/>
        </w:numPr>
        <w:rPr>
          <w:rFonts w:ascii="Arial" w:cs="Arial" w:eastAsia="Arial" w:hAnsi="Arial"/>
          <w:sz w:val="17"/>
          <w:szCs w:val="17"/>
          <w:color w:val="002E6D"/>
        </w:rPr>
      </w:pPr>
      <w:r>
        <w:rPr>
          <w:rFonts w:ascii="Arial" w:cs="Arial" w:eastAsia="Arial" w:hAnsi="Arial"/>
          <w:sz w:val="17"/>
          <w:szCs w:val="17"/>
          <w:color w:val="auto"/>
        </w:rPr>
        <w:t>A clear framework for accountability that illustrates mitigating measures and action plans, and how the CEO and the executive leadership team are involved in reviewing and executing such activities;</w:t>
      </w:r>
    </w:p>
    <w:p>
      <w:pPr>
        <w:ind w:left="420" w:right="140" w:hanging="250"/>
        <w:spacing w:after="0" w:line="265" w:lineRule="auto"/>
        <w:tabs>
          <w:tab w:leader="none" w:pos="385" w:val="left"/>
        </w:tabs>
        <w:numPr>
          <w:ilvl w:val="0"/>
          <w:numId w:val="58"/>
        </w:numPr>
        <w:rPr>
          <w:rFonts w:ascii="Arial" w:cs="Arial" w:eastAsia="Arial" w:hAnsi="Arial"/>
          <w:sz w:val="17"/>
          <w:szCs w:val="17"/>
          <w:color w:val="002E6D"/>
        </w:rPr>
      </w:pPr>
      <w:r>
        <w:rPr>
          <w:rFonts w:ascii="Arial" w:cs="Arial" w:eastAsia="Arial" w:hAnsi="Arial"/>
          <w:sz w:val="17"/>
          <w:szCs w:val="17"/>
          <w:color w:val="auto"/>
        </w:rPr>
        <w:t>The ways in which risks are measured on an enterprise basis, the setting of aggregate and subject-specific risk indicators, and related policies and procedures in place to control risks; and</w:t>
      </w:r>
    </w:p>
    <w:p>
      <w:pPr>
        <w:ind w:left="420" w:right="60" w:hanging="250"/>
        <w:spacing w:after="0" w:line="268" w:lineRule="auto"/>
        <w:tabs>
          <w:tab w:leader="none" w:pos="385" w:val="left"/>
        </w:tabs>
        <w:numPr>
          <w:ilvl w:val="0"/>
          <w:numId w:val="58"/>
        </w:numPr>
        <w:rPr>
          <w:rFonts w:ascii="Arial" w:cs="Arial" w:eastAsia="Arial" w:hAnsi="Arial"/>
          <w:sz w:val="17"/>
          <w:szCs w:val="17"/>
          <w:color w:val="002E6D"/>
        </w:rPr>
      </w:pPr>
      <w:r>
        <w:rPr>
          <w:rFonts w:ascii="Arial" w:cs="Arial" w:eastAsia="Arial" w:hAnsi="Arial"/>
          <w:sz w:val="17"/>
          <w:szCs w:val="17"/>
          <w:color w:val="auto"/>
        </w:rPr>
        <w:t>The analysis underpinning the prioritization of key risks and the tools for risk observation to ensure that new or shifting risks are readily identified and addressed by management. This includes understanding risks inherent in the Corporation’s strategic plans, risks arising from the competitive landscape and the potential for technology and other ESG developments to impact profitability and prospects for sustainable, long-term value creation.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33</w:t>
      </w:r>
    </w:p>
    <w:p>
      <w:pPr>
        <w:sectPr>
          <w:pgSz w:w="11900" w:h="16838" w:orient="portrait"/>
          <w:cols w:equalWidth="0" w:num="1">
            <w:col w:w="11240"/>
          </w:cols>
          <w:pgMar w:left="320" w:top="1340"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color w:val="003478"/>
        </w:rPr>
        <w:t>Enterprise Risk and Sustainability</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Beyond 2020 Sustainability Priorities</w:t>
      </w:r>
    </w:p>
    <w:p>
      <w:pPr>
        <w:spacing w:after="0" w:line="1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described on page 10, our core sustainability issues represent stakeholder priorities and drivers of long-term value creation. Since the goals associated with these core issues came to a close at the end of 2020, we have reviewed and updated our sustainability strategy, using what we have learned while delivering on our Sustainability Management Plan objectives through 2020. Our updated sustainability priorities, previewed here, reflect the stakeholder feedback we’ve received, internal and external trends, and the continued evolution of our business to create value well into the future. We ultimately identified four sustainability priorities consisting of 14 core issues (as outlined below) for our next Sustainability Management Plan that will guide us from 2021 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063740" cy="10801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63740" cy="1080135"/>
                    </a:xfrm>
                    <a:prstGeom prst="rect">
                      <a:avLst/>
                    </a:prstGeom>
                    <a:noFill/>
                  </pic:spPr>
                </pic:pic>
              </a:graphicData>
            </a:graphic>
          </wp:anchor>
        </w:drawing>
      </w:r>
    </w:p>
    <w:p>
      <w:pPr>
        <w:sectPr>
          <w:pgSz w:w="11900" w:h="16838" w:orient="portrait"/>
          <w:cols w:equalWidth="0" w:num="1">
            <w:col w:w="11160"/>
          </w:cols>
          <w:pgMar w:left="320" w:top="609" w:right="419" w:bottom="1440" w:gutter="0" w:footer="0" w:header="0"/>
        </w:sectPr>
      </w:pPr>
    </w:p>
    <w:p>
      <w:pPr>
        <w:spacing w:after="0" w:line="31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Advancing Resource Stewardship</w:t>
      </w:r>
    </w:p>
    <w:p>
      <w:pPr>
        <w:spacing w:after="0" w:line="75" w:lineRule="exact"/>
        <w:rPr>
          <w:sz w:val="20"/>
          <w:szCs w:val="20"/>
          <w:color w:val="auto"/>
        </w:rPr>
      </w:pPr>
    </w:p>
    <w:p>
      <w:pPr>
        <w:ind w:left="1260" w:hanging="168"/>
        <w:spacing w:after="0"/>
        <w:tabs>
          <w:tab w:leader="none" w:pos="1260" w:val="left"/>
        </w:tabs>
        <w:numPr>
          <w:ilvl w:val="0"/>
          <w:numId w:val="59"/>
        </w:numPr>
        <w:rPr>
          <w:rFonts w:ascii="Arial" w:cs="Arial" w:eastAsia="Arial" w:hAnsi="Arial"/>
          <w:sz w:val="17"/>
          <w:szCs w:val="17"/>
          <w:color w:val="002E6D"/>
        </w:rPr>
      </w:pPr>
      <w:r>
        <w:rPr>
          <w:rFonts w:ascii="Arial" w:cs="Arial" w:eastAsia="Arial" w:hAnsi="Arial"/>
          <w:sz w:val="17"/>
          <w:szCs w:val="17"/>
          <w:color w:val="auto"/>
        </w:rPr>
        <w:t>Counterfeit Parts Prevention</w:t>
      </w:r>
    </w:p>
    <w:p>
      <w:pPr>
        <w:spacing w:after="0" w:line="34" w:lineRule="exact"/>
        <w:rPr>
          <w:rFonts w:ascii="Arial" w:cs="Arial" w:eastAsia="Arial" w:hAnsi="Arial"/>
          <w:sz w:val="17"/>
          <w:szCs w:val="17"/>
          <w:color w:val="002E6D"/>
        </w:rPr>
      </w:pPr>
    </w:p>
    <w:p>
      <w:pPr>
        <w:ind w:left="1260" w:hanging="168"/>
        <w:spacing w:after="0"/>
        <w:tabs>
          <w:tab w:leader="none" w:pos="1260" w:val="left"/>
        </w:tabs>
        <w:numPr>
          <w:ilvl w:val="0"/>
          <w:numId w:val="59"/>
        </w:numPr>
        <w:rPr>
          <w:rFonts w:ascii="Arial" w:cs="Arial" w:eastAsia="Arial" w:hAnsi="Arial"/>
          <w:sz w:val="17"/>
          <w:szCs w:val="17"/>
          <w:color w:val="002E6D"/>
        </w:rPr>
      </w:pPr>
      <w:r>
        <w:rPr>
          <w:rFonts w:ascii="Arial" w:cs="Arial" w:eastAsia="Arial" w:hAnsi="Arial"/>
          <w:sz w:val="17"/>
          <w:szCs w:val="17"/>
          <w:color w:val="auto"/>
        </w:rPr>
        <w:t>Energy Management</w:t>
      </w:r>
    </w:p>
    <w:p>
      <w:pPr>
        <w:spacing w:after="0" w:line="47" w:lineRule="exact"/>
        <w:rPr>
          <w:rFonts w:ascii="Arial" w:cs="Arial" w:eastAsia="Arial" w:hAnsi="Arial"/>
          <w:sz w:val="17"/>
          <w:szCs w:val="17"/>
          <w:color w:val="002E6D"/>
        </w:rPr>
      </w:pPr>
    </w:p>
    <w:p>
      <w:pPr>
        <w:ind w:left="1260" w:hanging="168"/>
        <w:spacing w:after="0"/>
        <w:tabs>
          <w:tab w:leader="none" w:pos="1260" w:val="left"/>
        </w:tabs>
        <w:numPr>
          <w:ilvl w:val="0"/>
          <w:numId w:val="59"/>
        </w:numPr>
        <w:rPr>
          <w:rFonts w:ascii="Arial" w:cs="Arial" w:eastAsia="Arial" w:hAnsi="Arial"/>
          <w:sz w:val="17"/>
          <w:szCs w:val="17"/>
          <w:color w:val="002E6D"/>
        </w:rPr>
      </w:pPr>
      <w:r>
        <w:rPr>
          <w:rFonts w:ascii="Arial" w:cs="Arial" w:eastAsia="Arial" w:hAnsi="Arial"/>
          <w:sz w:val="17"/>
          <w:szCs w:val="17"/>
          <w:color w:val="auto"/>
        </w:rPr>
        <w:t>Total Cost of Ownership</w:t>
      </w:r>
    </w:p>
    <w:p>
      <w:pPr>
        <w:spacing w:after="0" w:line="34" w:lineRule="exact"/>
        <w:rPr>
          <w:rFonts w:ascii="Arial" w:cs="Arial" w:eastAsia="Arial" w:hAnsi="Arial"/>
          <w:sz w:val="17"/>
          <w:szCs w:val="17"/>
          <w:color w:val="002E6D"/>
        </w:rPr>
      </w:pPr>
    </w:p>
    <w:p>
      <w:pPr>
        <w:ind w:left="1260" w:hanging="168"/>
        <w:spacing w:after="0"/>
        <w:tabs>
          <w:tab w:leader="none" w:pos="1260" w:val="left"/>
        </w:tabs>
        <w:numPr>
          <w:ilvl w:val="0"/>
          <w:numId w:val="59"/>
        </w:numPr>
        <w:rPr>
          <w:rFonts w:ascii="Arial" w:cs="Arial" w:eastAsia="Arial" w:hAnsi="Arial"/>
          <w:sz w:val="17"/>
          <w:szCs w:val="17"/>
          <w:color w:val="002E6D"/>
        </w:rPr>
      </w:pPr>
      <w:r>
        <w:rPr>
          <w:rFonts w:ascii="Arial" w:cs="Arial" w:eastAsia="Arial" w:hAnsi="Arial"/>
          <w:sz w:val="17"/>
          <w:szCs w:val="17"/>
          <w:color w:val="auto"/>
        </w:rPr>
        <w:t>Hazardous Chemicals and Materials</w:t>
      </w:r>
    </w:p>
    <w:p>
      <w:pPr>
        <w:spacing w:after="0" w:line="34" w:lineRule="exact"/>
        <w:rPr>
          <w:rFonts w:ascii="Arial" w:cs="Arial" w:eastAsia="Arial" w:hAnsi="Arial"/>
          <w:sz w:val="17"/>
          <w:szCs w:val="17"/>
          <w:color w:val="002E6D"/>
        </w:rPr>
      </w:pPr>
    </w:p>
    <w:p>
      <w:pPr>
        <w:ind w:left="1260" w:hanging="168"/>
        <w:spacing w:after="0"/>
        <w:tabs>
          <w:tab w:leader="none" w:pos="1260" w:val="left"/>
        </w:tabs>
        <w:numPr>
          <w:ilvl w:val="0"/>
          <w:numId w:val="59"/>
        </w:numPr>
        <w:rPr>
          <w:rFonts w:ascii="Arial" w:cs="Arial" w:eastAsia="Arial" w:hAnsi="Arial"/>
          <w:sz w:val="17"/>
          <w:szCs w:val="17"/>
          <w:color w:val="002E6D"/>
        </w:rPr>
      </w:pPr>
      <w:r>
        <w:rPr>
          <w:rFonts w:ascii="Arial" w:cs="Arial" w:eastAsia="Arial" w:hAnsi="Arial"/>
          <w:sz w:val="17"/>
          <w:szCs w:val="17"/>
          <w:color w:val="auto"/>
        </w:rPr>
        <w:t>Resource and Substance Supply Vulnerability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394710" cy="763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94710" cy="76327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Fostering Workforce Resiliency</w:t>
      </w:r>
    </w:p>
    <w:p>
      <w:pPr>
        <w:spacing w:after="0" w:line="34" w:lineRule="exact"/>
        <w:rPr>
          <w:sz w:val="20"/>
          <w:szCs w:val="20"/>
          <w:color w:val="auto"/>
        </w:rPr>
      </w:pPr>
    </w:p>
    <w:p>
      <w:pPr>
        <w:ind w:left="1260" w:hanging="168"/>
        <w:spacing w:after="0"/>
        <w:tabs>
          <w:tab w:leader="none" w:pos="1260" w:val="left"/>
        </w:tabs>
        <w:numPr>
          <w:ilvl w:val="0"/>
          <w:numId w:val="60"/>
        </w:numPr>
        <w:rPr>
          <w:rFonts w:ascii="Arial" w:cs="Arial" w:eastAsia="Arial" w:hAnsi="Arial"/>
          <w:sz w:val="17"/>
          <w:szCs w:val="17"/>
          <w:color w:val="002E6D"/>
        </w:rPr>
      </w:pPr>
      <w:r>
        <w:rPr>
          <w:rFonts w:ascii="Arial" w:cs="Arial" w:eastAsia="Arial" w:hAnsi="Arial"/>
          <w:sz w:val="17"/>
          <w:szCs w:val="17"/>
          <w:color w:val="auto"/>
        </w:rPr>
        <w:t>Workplace Safety</w:t>
      </w:r>
    </w:p>
    <w:p>
      <w:pPr>
        <w:spacing w:after="0" w:line="47" w:lineRule="exact"/>
        <w:rPr>
          <w:rFonts w:ascii="Arial" w:cs="Arial" w:eastAsia="Arial" w:hAnsi="Arial"/>
          <w:sz w:val="17"/>
          <w:szCs w:val="17"/>
          <w:color w:val="002E6D"/>
        </w:rPr>
      </w:pPr>
    </w:p>
    <w:p>
      <w:pPr>
        <w:ind w:left="1260" w:hanging="168"/>
        <w:spacing w:after="0"/>
        <w:tabs>
          <w:tab w:leader="none" w:pos="1260" w:val="left"/>
        </w:tabs>
        <w:numPr>
          <w:ilvl w:val="0"/>
          <w:numId w:val="60"/>
        </w:numPr>
        <w:rPr>
          <w:rFonts w:ascii="Arial" w:cs="Arial" w:eastAsia="Arial" w:hAnsi="Arial"/>
          <w:sz w:val="17"/>
          <w:szCs w:val="17"/>
          <w:color w:val="002E6D"/>
        </w:rPr>
      </w:pPr>
      <w:r>
        <w:rPr>
          <w:rFonts w:ascii="Arial" w:cs="Arial" w:eastAsia="Arial" w:hAnsi="Arial"/>
          <w:sz w:val="17"/>
          <w:szCs w:val="17"/>
          <w:color w:val="auto"/>
        </w:rPr>
        <w:t>Inclusion and Equity</w:t>
      </w:r>
    </w:p>
    <w:p>
      <w:pPr>
        <w:spacing w:after="0" w:line="34" w:lineRule="exact"/>
        <w:rPr>
          <w:rFonts w:ascii="Arial" w:cs="Arial" w:eastAsia="Arial" w:hAnsi="Arial"/>
          <w:sz w:val="17"/>
          <w:szCs w:val="17"/>
          <w:color w:val="002E6D"/>
        </w:rPr>
      </w:pPr>
    </w:p>
    <w:p>
      <w:pPr>
        <w:ind w:left="1260" w:hanging="168"/>
        <w:spacing w:after="0"/>
        <w:tabs>
          <w:tab w:leader="none" w:pos="1260" w:val="left"/>
        </w:tabs>
        <w:numPr>
          <w:ilvl w:val="0"/>
          <w:numId w:val="60"/>
        </w:numPr>
        <w:rPr>
          <w:rFonts w:ascii="Arial" w:cs="Arial" w:eastAsia="Arial" w:hAnsi="Arial"/>
          <w:sz w:val="17"/>
          <w:szCs w:val="17"/>
          <w:color w:val="002E6D"/>
        </w:rPr>
      </w:pPr>
      <w:r>
        <w:rPr>
          <w:rFonts w:ascii="Arial" w:cs="Arial" w:eastAsia="Arial" w:hAnsi="Arial"/>
          <w:sz w:val="17"/>
          <w:szCs w:val="17"/>
          <w:color w:val="auto"/>
        </w:rPr>
        <w:t>Harassment Free Workplace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1977"/>
        <w:spacing w:after="0"/>
        <w:rPr>
          <w:sz w:val="20"/>
          <w:szCs w:val="20"/>
          <w:color w:val="auto"/>
        </w:rPr>
      </w:pPr>
      <w:r>
        <w:rPr>
          <w:rFonts w:ascii="Arial" w:cs="Arial" w:eastAsia="Arial" w:hAnsi="Arial"/>
          <w:sz w:val="17"/>
          <w:szCs w:val="17"/>
          <w:color w:val="auto"/>
        </w:rPr>
        <w:t>Elevating Digital Responsibility</w:t>
      </w:r>
    </w:p>
    <w:p>
      <w:pPr>
        <w:spacing w:after="0" w:line="34" w:lineRule="exact"/>
        <w:rPr>
          <w:sz w:val="20"/>
          <w:szCs w:val="20"/>
          <w:color w:val="auto"/>
        </w:rPr>
      </w:pPr>
    </w:p>
    <w:p>
      <w:pPr>
        <w:ind w:left="163" w:hanging="163"/>
        <w:spacing w:after="0"/>
        <w:tabs>
          <w:tab w:leader="none" w:pos="163" w:val="left"/>
        </w:tabs>
        <w:numPr>
          <w:ilvl w:val="0"/>
          <w:numId w:val="61"/>
        </w:numPr>
        <w:rPr>
          <w:rFonts w:ascii="Arial" w:cs="Arial" w:eastAsia="Arial" w:hAnsi="Arial"/>
          <w:sz w:val="17"/>
          <w:szCs w:val="17"/>
          <w:color w:val="002E6D"/>
        </w:rPr>
      </w:pPr>
      <w:r>
        <w:rPr>
          <w:rFonts w:ascii="Arial" w:cs="Arial" w:eastAsia="Arial" w:hAnsi="Arial"/>
          <w:sz w:val="17"/>
          <w:szCs w:val="17"/>
          <w:color w:val="auto"/>
        </w:rPr>
        <w:t>Data Privacy and Protection</w:t>
      </w:r>
    </w:p>
    <w:p>
      <w:pPr>
        <w:spacing w:after="0" w:line="47" w:lineRule="exact"/>
        <w:rPr>
          <w:rFonts w:ascii="Arial" w:cs="Arial" w:eastAsia="Arial" w:hAnsi="Arial"/>
          <w:sz w:val="17"/>
          <w:szCs w:val="17"/>
          <w:color w:val="002E6D"/>
        </w:rPr>
      </w:pPr>
    </w:p>
    <w:p>
      <w:pPr>
        <w:ind w:left="163" w:hanging="163"/>
        <w:spacing w:after="0"/>
        <w:tabs>
          <w:tab w:leader="none" w:pos="163" w:val="left"/>
        </w:tabs>
        <w:numPr>
          <w:ilvl w:val="0"/>
          <w:numId w:val="61"/>
        </w:numPr>
        <w:rPr>
          <w:rFonts w:ascii="Arial" w:cs="Arial" w:eastAsia="Arial" w:hAnsi="Arial"/>
          <w:sz w:val="17"/>
          <w:szCs w:val="17"/>
          <w:color w:val="002E6D"/>
        </w:rPr>
      </w:pPr>
      <w:r>
        <w:rPr>
          <w:rFonts w:ascii="Arial" w:cs="Arial" w:eastAsia="Arial" w:hAnsi="Arial"/>
          <w:sz w:val="17"/>
          <w:szCs w:val="17"/>
          <w:color w:val="auto"/>
        </w:rPr>
        <w:t>Artificial Intelligence</w:t>
      </w:r>
    </w:p>
    <w:p>
      <w:pPr>
        <w:spacing w:after="0" w:line="34" w:lineRule="exact"/>
        <w:rPr>
          <w:rFonts w:ascii="Arial" w:cs="Arial" w:eastAsia="Arial" w:hAnsi="Arial"/>
          <w:sz w:val="17"/>
          <w:szCs w:val="17"/>
          <w:color w:val="002E6D"/>
        </w:rPr>
      </w:pPr>
    </w:p>
    <w:p>
      <w:pPr>
        <w:ind w:left="163" w:hanging="163"/>
        <w:spacing w:after="0"/>
        <w:tabs>
          <w:tab w:leader="none" w:pos="163" w:val="left"/>
        </w:tabs>
        <w:numPr>
          <w:ilvl w:val="0"/>
          <w:numId w:val="61"/>
        </w:numPr>
        <w:rPr>
          <w:rFonts w:ascii="Arial" w:cs="Arial" w:eastAsia="Arial" w:hAnsi="Arial"/>
          <w:sz w:val="17"/>
          <w:szCs w:val="17"/>
          <w:color w:val="002E6D"/>
        </w:rPr>
      </w:pPr>
      <w:r>
        <w:rPr>
          <w:rFonts w:ascii="Arial" w:cs="Arial" w:eastAsia="Arial" w:hAnsi="Arial"/>
          <w:sz w:val="17"/>
          <w:szCs w:val="17"/>
          <w:color w:val="auto"/>
        </w:rPr>
        <w:t>IP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488315</wp:posOffset>
            </wp:positionV>
            <wp:extent cx="3411855" cy="763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1185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217"/>
        <w:spacing w:after="0"/>
        <w:rPr>
          <w:sz w:val="20"/>
          <w:szCs w:val="20"/>
          <w:color w:val="auto"/>
        </w:rPr>
      </w:pPr>
      <w:r>
        <w:rPr>
          <w:rFonts w:ascii="Arial" w:cs="Arial" w:eastAsia="Arial" w:hAnsi="Arial"/>
          <w:sz w:val="17"/>
          <w:szCs w:val="17"/>
          <w:color w:val="auto"/>
        </w:rPr>
        <w:t>Modeling Business Integrity</w:t>
      </w:r>
    </w:p>
    <w:p>
      <w:pPr>
        <w:spacing w:after="0" w:line="34" w:lineRule="exact"/>
        <w:rPr>
          <w:sz w:val="20"/>
          <w:szCs w:val="20"/>
          <w:color w:val="auto"/>
        </w:rPr>
      </w:pPr>
    </w:p>
    <w:p>
      <w:pPr>
        <w:ind w:left="163" w:hanging="163"/>
        <w:spacing w:after="0"/>
        <w:tabs>
          <w:tab w:leader="none" w:pos="163" w:val="left"/>
        </w:tabs>
        <w:numPr>
          <w:ilvl w:val="0"/>
          <w:numId w:val="62"/>
        </w:numPr>
        <w:rPr>
          <w:rFonts w:ascii="Arial" w:cs="Arial" w:eastAsia="Arial" w:hAnsi="Arial"/>
          <w:sz w:val="17"/>
          <w:szCs w:val="17"/>
          <w:color w:val="002E6D"/>
        </w:rPr>
      </w:pPr>
      <w:r>
        <w:rPr>
          <w:rFonts w:ascii="Arial" w:cs="Arial" w:eastAsia="Arial" w:hAnsi="Arial"/>
          <w:sz w:val="17"/>
          <w:szCs w:val="17"/>
          <w:color w:val="auto"/>
        </w:rPr>
        <w:t>Anti-Bribery and Corruption</w:t>
      </w:r>
    </w:p>
    <w:p>
      <w:pPr>
        <w:spacing w:after="0" w:line="47" w:lineRule="exact"/>
        <w:rPr>
          <w:rFonts w:ascii="Arial" w:cs="Arial" w:eastAsia="Arial" w:hAnsi="Arial"/>
          <w:sz w:val="17"/>
          <w:szCs w:val="17"/>
          <w:color w:val="002E6D"/>
        </w:rPr>
      </w:pPr>
    </w:p>
    <w:p>
      <w:pPr>
        <w:ind w:left="163" w:hanging="163"/>
        <w:spacing w:after="0"/>
        <w:tabs>
          <w:tab w:leader="none" w:pos="163" w:val="left"/>
        </w:tabs>
        <w:numPr>
          <w:ilvl w:val="0"/>
          <w:numId w:val="62"/>
        </w:numPr>
        <w:rPr>
          <w:rFonts w:ascii="Arial" w:cs="Arial" w:eastAsia="Arial" w:hAnsi="Arial"/>
          <w:sz w:val="17"/>
          <w:szCs w:val="17"/>
          <w:color w:val="002E6D"/>
        </w:rPr>
      </w:pPr>
      <w:r>
        <w:rPr>
          <w:rFonts w:ascii="Arial" w:cs="Arial" w:eastAsia="Arial" w:hAnsi="Arial"/>
          <w:sz w:val="17"/>
          <w:szCs w:val="17"/>
          <w:color w:val="auto"/>
        </w:rPr>
        <w:t>Ethical Business Practices</w:t>
      </w:r>
    </w:p>
    <w:p>
      <w:pPr>
        <w:spacing w:after="0" w:line="34" w:lineRule="exact"/>
        <w:rPr>
          <w:rFonts w:ascii="Arial" w:cs="Arial" w:eastAsia="Arial" w:hAnsi="Arial"/>
          <w:sz w:val="17"/>
          <w:szCs w:val="17"/>
          <w:color w:val="002E6D"/>
        </w:rPr>
      </w:pPr>
    </w:p>
    <w:p>
      <w:pPr>
        <w:ind w:left="163" w:hanging="163"/>
        <w:spacing w:after="0"/>
        <w:tabs>
          <w:tab w:leader="none" w:pos="163" w:val="left"/>
        </w:tabs>
        <w:numPr>
          <w:ilvl w:val="0"/>
          <w:numId w:val="62"/>
        </w:numPr>
        <w:rPr>
          <w:rFonts w:ascii="Arial" w:cs="Arial" w:eastAsia="Arial" w:hAnsi="Arial"/>
          <w:sz w:val="17"/>
          <w:szCs w:val="17"/>
          <w:color w:val="002E6D"/>
        </w:rPr>
      </w:pPr>
      <w:r>
        <w:rPr>
          <w:rFonts w:ascii="Arial" w:cs="Arial" w:eastAsia="Arial" w:hAnsi="Arial"/>
          <w:sz w:val="17"/>
          <w:szCs w:val="17"/>
          <w:color w:val="auto"/>
        </w:rPr>
        <w:t>Safe Products</w:t>
      </w:r>
    </w:p>
    <w:p>
      <w:pPr>
        <w:spacing w:after="0" w:line="200" w:lineRule="exact"/>
        <w:rPr>
          <w:sz w:val="20"/>
          <w:szCs w:val="20"/>
          <w:color w:val="auto"/>
        </w:rPr>
      </w:pPr>
    </w:p>
    <w:p>
      <w:pPr>
        <w:sectPr>
          <w:pgSz w:w="11900" w:h="16838" w:orient="portrait"/>
          <w:cols w:equalWidth="0" w:num="2">
            <w:col w:w="6137" w:space="720"/>
            <w:col w:w="4303"/>
          </w:cols>
          <w:pgMar w:left="320" w:top="609" w:right="41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color w:val="002E6D"/>
        </w:rPr>
        <w:t>Sustainability Highlights</w:t>
      </w:r>
    </w:p>
    <w:p>
      <w:pPr>
        <w:spacing w:after="0" w:line="12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Lockheed Martin's commitment to addressing business-related climate change risks while delivering stockholder value is illustrated by our actions, progress, and the associated recognition we have received. In 2020, Lockheed Martin:</w:t>
      </w:r>
    </w:p>
    <w:p>
      <w:pPr>
        <w:spacing w:after="0" w:line="90" w:lineRule="exact"/>
        <w:rPr>
          <w:sz w:val="20"/>
          <w:szCs w:val="20"/>
          <w:color w:val="auto"/>
        </w:rPr>
      </w:pPr>
    </w:p>
    <w:p>
      <w:pPr>
        <w:ind w:left="380" w:hanging="210"/>
        <w:spacing w:after="0"/>
        <w:tabs>
          <w:tab w:leader="none" w:pos="380" w:val="left"/>
        </w:tabs>
        <w:numPr>
          <w:ilvl w:val="0"/>
          <w:numId w:val="63"/>
        </w:numPr>
        <w:rPr>
          <w:rFonts w:ascii="Arial" w:cs="Arial" w:eastAsia="Arial" w:hAnsi="Arial"/>
          <w:sz w:val="17"/>
          <w:szCs w:val="17"/>
          <w:color w:val="002E6D"/>
        </w:rPr>
      </w:pPr>
      <w:r>
        <w:rPr>
          <w:rFonts w:ascii="Arial" w:cs="Arial" w:eastAsia="Arial" w:hAnsi="Arial"/>
          <w:sz w:val="17"/>
          <w:szCs w:val="17"/>
          <w:color w:val="auto"/>
        </w:rPr>
        <w:t>Released its ninth annual Sustainability Report in April</w:t>
      </w:r>
    </w:p>
    <w:p>
      <w:pPr>
        <w:spacing w:after="0" w:line="74" w:lineRule="exact"/>
        <w:rPr>
          <w:rFonts w:ascii="Arial" w:cs="Arial" w:eastAsia="Arial" w:hAnsi="Arial"/>
          <w:sz w:val="17"/>
          <w:szCs w:val="17"/>
          <w:color w:val="002E6D"/>
        </w:rPr>
      </w:pPr>
    </w:p>
    <w:p>
      <w:pPr>
        <w:ind w:left="380" w:hanging="210"/>
        <w:spacing w:after="0"/>
        <w:tabs>
          <w:tab w:leader="none" w:pos="380" w:val="left"/>
        </w:tabs>
        <w:numPr>
          <w:ilvl w:val="0"/>
          <w:numId w:val="63"/>
        </w:numPr>
        <w:rPr>
          <w:rFonts w:ascii="Arial" w:cs="Arial" w:eastAsia="Arial" w:hAnsi="Arial"/>
          <w:sz w:val="17"/>
          <w:szCs w:val="17"/>
          <w:color w:val="002E6D"/>
        </w:rPr>
      </w:pPr>
      <w:r>
        <w:rPr>
          <w:rFonts w:ascii="Arial" w:cs="Arial" w:eastAsia="Arial" w:hAnsi="Arial"/>
          <w:sz w:val="17"/>
          <w:szCs w:val="17"/>
          <w:color w:val="auto"/>
        </w:rPr>
        <w:t>Published its first Sustainability Accounting Standards Board (SASB) report</w:t>
      </w:r>
    </w:p>
    <w:p>
      <w:pPr>
        <w:spacing w:after="0" w:line="74" w:lineRule="exact"/>
        <w:rPr>
          <w:rFonts w:ascii="Arial" w:cs="Arial" w:eastAsia="Arial" w:hAnsi="Arial"/>
          <w:sz w:val="17"/>
          <w:szCs w:val="17"/>
          <w:color w:val="002E6D"/>
        </w:rPr>
      </w:pPr>
    </w:p>
    <w:p>
      <w:pPr>
        <w:ind w:left="380" w:hanging="210"/>
        <w:spacing w:after="0"/>
        <w:tabs>
          <w:tab w:leader="none" w:pos="380" w:val="left"/>
        </w:tabs>
        <w:numPr>
          <w:ilvl w:val="0"/>
          <w:numId w:val="63"/>
        </w:numPr>
        <w:rPr>
          <w:rFonts w:ascii="Arial" w:cs="Arial" w:eastAsia="Arial" w:hAnsi="Arial"/>
          <w:sz w:val="17"/>
          <w:szCs w:val="17"/>
          <w:color w:val="002E6D"/>
        </w:rPr>
      </w:pPr>
      <w:r>
        <w:rPr>
          <w:rFonts w:ascii="Arial" w:cs="Arial" w:eastAsia="Arial" w:hAnsi="Arial"/>
          <w:sz w:val="17"/>
          <w:szCs w:val="17"/>
          <w:color w:val="auto"/>
        </w:rPr>
        <w:t>Published its first Task Force On Climate-related Financial Disclosures (TCFD) report</w:t>
      </w:r>
    </w:p>
    <w:p>
      <w:pPr>
        <w:spacing w:after="0" w:line="74" w:lineRule="exact"/>
        <w:rPr>
          <w:rFonts w:ascii="Arial" w:cs="Arial" w:eastAsia="Arial" w:hAnsi="Arial"/>
          <w:sz w:val="17"/>
          <w:szCs w:val="17"/>
          <w:color w:val="002E6D"/>
        </w:rPr>
      </w:pPr>
    </w:p>
    <w:p>
      <w:pPr>
        <w:ind w:left="380" w:hanging="210"/>
        <w:spacing w:after="0"/>
        <w:tabs>
          <w:tab w:leader="none" w:pos="380" w:val="left"/>
        </w:tabs>
        <w:numPr>
          <w:ilvl w:val="0"/>
          <w:numId w:val="63"/>
        </w:numPr>
        <w:rPr>
          <w:rFonts w:ascii="Arial" w:cs="Arial" w:eastAsia="Arial" w:hAnsi="Arial"/>
          <w:sz w:val="17"/>
          <w:szCs w:val="17"/>
          <w:color w:val="002E6D"/>
        </w:rPr>
      </w:pPr>
      <w:r>
        <w:rPr>
          <w:rFonts w:ascii="Arial" w:cs="Arial" w:eastAsia="Arial" w:hAnsi="Arial"/>
          <w:sz w:val="17"/>
          <w:szCs w:val="17"/>
          <w:color w:val="auto"/>
        </w:rPr>
        <w:t>Received an “A” CDP Climate Change score and made CDP's 2020 Climate A List</w:t>
      </w:r>
    </w:p>
    <w:p>
      <w:pPr>
        <w:spacing w:after="0" w:line="56" w:lineRule="exact"/>
        <w:rPr>
          <w:rFonts w:ascii="Arial" w:cs="Arial" w:eastAsia="Arial" w:hAnsi="Arial"/>
          <w:sz w:val="17"/>
          <w:szCs w:val="17"/>
          <w:color w:val="002E6D"/>
        </w:rPr>
      </w:pPr>
    </w:p>
    <w:p>
      <w:pPr>
        <w:ind w:left="380" w:hanging="210"/>
        <w:spacing w:after="0"/>
        <w:tabs>
          <w:tab w:leader="none" w:pos="380" w:val="left"/>
        </w:tabs>
        <w:numPr>
          <w:ilvl w:val="0"/>
          <w:numId w:val="63"/>
        </w:numPr>
        <w:rPr>
          <w:rFonts w:ascii="Arial" w:cs="Arial" w:eastAsia="Arial" w:hAnsi="Arial"/>
          <w:sz w:val="17"/>
          <w:szCs w:val="17"/>
          <w:color w:val="002E6D"/>
        </w:rPr>
      </w:pPr>
      <w:r>
        <w:rPr>
          <w:rFonts w:ascii="Arial" w:cs="Arial" w:eastAsia="Arial" w:hAnsi="Arial"/>
          <w:sz w:val="17"/>
          <w:szCs w:val="17"/>
          <w:color w:val="auto"/>
        </w:rPr>
        <w:t xml:space="preserve">Was named as an industry leader by </w:t>
      </w:r>
      <w:r>
        <w:rPr>
          <w:rFonts w:ascii="Arial" w:cs="Arial" w:eastAsia="Arial" w:hAnsi="Arial"/>
          <w:sz w:val="17"/>
          <w:szCs w:val="17"/>
          <w:i w:val="1"/>
          <w:iCs w:val="1"/>
          <w:color w:val="auto"/>
        </w:rPr>
        <w:t>Forbes</w:t>
      </w:r>
      <w:r>
        <w:rPr>
          <w:rFonts w:ascii="Arial" w:cs="Arial" w:eastAsia="Arial" w:hAnsi="Arial"/>
          <w:sz w:val="17"/>
          <w:szCs w:val="17"/>
          <w:color w:val="auto"/>
        </w:rPr>
        <w:t xml:space="preserve"> and JUST Capital within the JUST 100, representing America’s most JUST Companies</w:t>
      </w:r>
    </w:p>
    <w:p>
      <w:pPr>
        <w:spacing w:after="0" w:line="92" w:lineRule="exact"/>
        <w:rPr>
          <w:rFonts w:ascii="Arial" w:cs="Arial" w:eastAsia="Arial" w:hAnsi="Arial"/>
          <w:sz w:val="17"/>
          <w:szCs w:val="17"/>
          <w:color w:val="002E6D"/>
        </w:rPr>
      </w:pPr>
    </w:p>
    <w:p>
      <w:pPr>
        <w:ind w:left="420" w:right="80" w:hanging="250"/>
        <w:spacing w:after="0" w:line="270" w:lineRule="auto"/>
        <w:tabs>
          <w:tab w:leader="none" w:pos="385" w:val="left"/>
        </w:tabs>
        <w:numPr>
          <w:ilvl w:val="0"/>
          <w:numId w:val="63"/>
        </w:numPr>
        <w:rPr>
          <w:rFonts w:ascii="Arial" w:cs="Arial" w:eastAsia="Arial" w:hAnsi="Arial"/>
          <w:sz w:val="17"/>
          <w:szCs w:val="17"/>
          <w:color w:val="002E6D"/>
        </w:rPr>
      </w:pPr>
      <w:r>
        <w:rPr>
          <w:rFonts w:ascii="Arial" w:cs="Arial" w:eastAsia="Arial" w:hAnsi="Arial"/>
          <w:sz w:val="17"/>
          <w:szCs w:val="17"/>
          <w:color w:val="auto"/>
        </w:rPr>
        <w:t>Earned, as the only North American prime defense contractor to do so, a ranking on the Dow Jones Sustainability World Index based on best-in-class sustainability practices. This is Lockheed Martin's seventh consecutive year on the Dow Jones Sustainability World Index, and its eighth consecutive year on the North American Index</w:t>
      </w:r>
    </w:p>
    <w:p>
      <w:pPr>
        <w:spacing w:after="0" w:line="42" w:lineRule="exact"/>
        <w:rPr>
          <w:rFonts w:ascii="Arial" w:cs="Arial" w:eastAsia="Arial" w:hAnsi="Arial"/>
          <w:sz w:val="17"/>
          <w:szCs w:val="17"/>
          <w:color w:val="002E6D"/>
        </w:rPr>
      </w:pPr>
    </w:p>
    <w:p>
      <w:pPr>
        <w:ind w:left="380" w:hanging="210"/>
        <w:spacing w:after="0"/>
        <w:tabs>
          <w:tab w:leader="none" w:pos="380" w:val="left"/>
        </w:tabs>
        <w:numPr>
          <w:ilvl w:val="0"/>
          <w:numId w:val="63"/>
        </w:numPr>
        <w:rPr>
          <w:rFonts w:ascii="Arial" w:cs="Arial" w:eastAsia="Arial" w:hAnsi="Arial"/>
          <w:sz w:val="17"/>
          <w:szCs w:val="17"/>
          <w:color w:val="002E6D"/>
        </w:rPr>
      </w:pPr>
      <w:r>
        <w:rPr>
          <w:rFonts w:ascii="Arial" w:cs="Arial" w:eastAsia="Arial" w:hAnsi="Arial"/>
          <w:sz w:val="17"/>
          <w:szCs w:val="17"/>
          <w:color w:val="auto"/>
        </w:rPr>
        <w:t>Received the United States Environmental Protection Agency’s Energy Star Partner of the Year Award</w:t>
      </w:r>
    </w:p>
    <w:p>
      <w:pPr>
        <w:spacing w:after="0" w:line="74" w:lineRule="exact"/>
        <w:rPr>
          <w:rFonts w:ascii="Arial" w:cs="Arial" w:eastAsia="Arial" w:hAnsi="Arial"/>
          <w:sz w:val="17"/>
          <w:szCs w:val="17"/>
          <w:color w:val="002E6D"/>
        </w:rPr>
      </w:pPr>
    </w:p>
    <w:p>
      <w:pPr>
        <w:ind w:left="420" w:right="260" w:hanging="250"/>
        <w:spacing w:after="0" w:line="276" w:lineRule="auto"/>
        <w:tabs>
          <w:tab w:leader="none" w:pos="385" w:val="left"/>
        </w:tabs>
        <w:numPr>
          <w:ilvl w:val="0"/>
          <w:numId w:val="63"/>
        </w:numPr>
        <w:rPr>
          <w:rFonts w:ascii="Arial" w:cs="Arial" w:eastAsia="Arial" w:hAnsi="Arial"/>
          <w:sz w:val="17"/>
          <w:szCs w:val="17"/>
          <w:color w:val="002E6D"/>
        </w:rPr>
      </w:pPr>
      <w:r>
        <w:rPr>
          <w:rFonts w:ascii="Arial" w:cs="Arial" w:eastAsia="Arial" w:hAnsi="Arial"/>
          <w:sz w:val="17"/>
          <w:szCs w:val="17"/>
          <w:color w:val="auto"/>
        </w:rPr>
        <w:t>Achieved $4 billion in annual product sales with direct, measurable benefits to energy and advanced infrastructure resiliency and more than $700 million in cumulative corporate cost and supply chain efficiencies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258445</wp:posOffset>
            </wp:positionV>
            <wp:extent cx="969010" cy="2228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34</w:t>
      </w:r>
    </w:p>
    <w:p>
      <w:pPr>
        <w:sectPr>
          <w:pgSz w:w="11900" w:h="16838" w:orient="portrait"/>
          <w:cols w:equalWidth="0" w:num="1">
            <w:col w:w="11160"/>
          </w:cols>
          <w:pgMar w:left="320" w:top="609" w:right="41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5"/>
          <w:szCs w:val="15"/>
          <w:color w:val="003478"/>
        </w:rPr>
        <w:t>Enterprise Risk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93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9"/>
          <w:szCs w:val="29"/>
          <w:color w:val="002E6D"/>
        </w:rPr>
        <w:t>Climate &amp; Environmental Stewardship</w:t>
      </w:r>
    </w:p>
    <w:p>
      <w:pPr>
        <w:spacing w:after="0" w:line="204"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At Lockheed Martin, climate risks and opportunities impact our long-term resiliency as a leader in global security and aerospace. It is our responsibility to understand, and actively address climate risks while leveraging opportunities to foster a strong business model for the future. In 2020, we issued our first climate-related risk assessment in alignment with the TCFD recommendations, which demonstrates our responsibility to our global community of stakeholders.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color w:val="475C90"/>
        </w:rPr>
        <w:t>Go Green Goals</w:t>
      </w:r>
    </w:p>
    <w:p>
      <w:pPr>
        <w:spacing w:after="0" w:line="12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Go Green initiative promotes environmental stewardship through reductions in carbon emissions, energy and waste which yields operational efficiency and cost avoidance. Since the inception of the Go Green program in 2007, Lockheed Martin has been able to reduce energy consumption by 19%, carbon emissions by 47%, and waste to landfill by 51%. We are pursuing ambitious climate-related targets to reduce our carbon emissions and increase our renewable energy procurement enterprise-wide. We also emphasize energy efficiency efforts, water reduction projects, and waste minimization activities at our facilities. In 2020, Lockheed Martin experienced some adverse impacts to the initiative as a result of COVID-19. We continue to analyze these impacts on our Go Green goals in order to re-evaluate and determine the most appropriate path forward for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274320" cy="1045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4320" cy="104584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75565</wp:posOffset>
            </wp:positionV>
            <wp:extent cx="4174490" cy="12172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74490" cy="121729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119" w:lineRule="exact"/>
        <w:rPr>
          <w:sz w:val="20"/>
          <w:szCs w:val="20"/>
          <w:color w:val="auto"/>
        </w:rPr>
      </w:pPr>
    </w:p>
    <w:tbl>
      <w:tblPr>
        <w:tblLayout w:type="fixed"/>
        <w:tblInd w:w="440" w:type="dxa"/>
        <w:tblCellMar>
          <w:top w:w="0" w:type="dxa"/>
          <w:left w:w="0" w:type="dxa"/>
          <w:bottom w:w="0" w:type="dxa"/>
          <w:right w:w="0" w:type="dxa"/>
        </w:tblCellMar>
      </w:tblPr>
      <w:tr>
        <w:trPr>
          <w:trHeight w:val="345"/>
        </w:trPr>
        <w:tc>
          <w:tcPr>
            <w:tcW w:w="3960" w:type="dxa"/>
            <w:vAlign w:val="bottom"/>
            <w:shd w:val="clear" w:color="auto" w:fill="E4E6EF"/>
          </w:tcPr>
          <w:p>
            <w:pPr>
              <w:ind w:left="140"/>
              <w:spacing w:after="0"/>
              <w:rPr>
                <w:sz w:val="20"/>
                <w:szCs w:val="20"/>
                <w:color w:val="auto"/>
              </w:rPr>
            </w:pPr>
            <w:r>
              <w:rPr>
                <w:rFonts w:ascii="Arial" w:cs="Arial" w:eastAsia="Arial" w:hAnsi="Arial"/>
                <w:sz w:val="17"/>
                <w:szCs w:val="17"/>
                <w:b w:val="1"/>
                <w:bCs w:val="1"/>
                <w:color w:val="auto"/>
              </w:rPr>
              <w:t>REDUCE CARBON EMISSIONS</w:t>
            </w:r>
          </w:p>
        </w:tc>
        <w:tc>
          <w:tcPr>
            <w:tcW w:w="660" w:type="dxa"/>
            <w:vAlign w:val="bottom"/>
          </w:tcPr>
          <w:p>
            <w:pPr>
              <w:spacing w:after="0"/>
              <w:rPr>
                <w:sz w:val="24"/>
                <w:szCs w:val="24"/>
                <w:color w:val="auto"/>
              </w:rPr>
            </w:pPr>
          </w:p>
        </w:tc>
        <w:tc>
          <w:tcPr>
            <w:tcW w:w="3060" w:type="dxa"/>
            <w:vAlign w:val="bottom"/>
            <w:shd w:val="clear" w:color="auto" w:fill="E4E6EF"/>
          </w:tcPr>
          <w:p>
            <w:pPr>
              <w:ind w:left="140"/>
              <w:spacing w:after="0"/>
              <w:rPr>
                <w:sz w:val="20"/>
                <w:szCs w:val="20"/>
                <w:color w:val="auto"/>
              </w:rPr>
            </w:pPr>
            <w:r>
              <w:rPr>
                <w:rFonts w:ascii="Arial" w:cs="Arial" w:eastAsia="Arial" w:hAnsi="Arial"/>
                <w:sz w:val="17"/>
                <w:szCs w:val="17"/>
                <w:b w:val="1"/>
                <w:bCs w:val="1"/>
                <w:color w:val="auto"/>
              </w:rPr>
              <w:t>REDUCE ENERGY</w:t>
            </w:r>
          </w:p>
        </w:tc>
      </w:tr>
      <w:tr>
        <w:trPr>
          <w:trHeight w:val="225"/>
        </w:trPr>
        <w:tc>
          <w:tcPr>
            <w:tcW w:w="3960" w:type="dxa"/>
            <w:vAlign w:val="bottom"/>
            <w:shd w:val="clear" w:color="auto" w:fill="E4E6EF"/>
          </w:tcPr>
          <w:p>
            <w:pPr>
              <w:ind w:left="140"/>
              <w:spacing w:after="0"/>
              <w:rPr>
                <w:sz w:val="20"/>
                <w:szCs w:val="20"/>
                <w:color w:val="auto"/>
              </w:rPr>
            </w:pPr>
            <w:r>
              <w:rPr>
                <w:rFonts w:ascii="Arial" w:cs="Arial" w:eastAsia="Arial" w:hAnsi="Arial"/>
                <w:sz w:val="17"/>
                <w:szCs w:val="17"/>
                <w:b w:val="1"/>
                <w:bCs w:val="1"/>
                <w:color w:val="auto"/>
              </w:rPr>
              <w:t>PER $ GROSS PROFIT BY</w:t>
            </w:r>
          </w:p>
        </w:tc>
        <w:tc>
          <w:tcPr>
            <w:tcW w:w="660" w:type="dxa"/>
            <w:vAlign w:val="bottom"/>
          </w:tcPr>
          <w:p>
            <w:pPr>
              <w:spacing w:after="0"/>
              <w:rPr>
                <w:sz w:val="19"/>
                <w:szCs w:val="19"/>
                <w:color w:val="auto"/>
              </w:rPr>
            </w:pPr>
          </w:p>
        </w:tc>
        <w:tc>
          <w:tcPr>
            <w:tcW w:w="3060" w:type="dxa"/>
            <w:vAlign w:val="bottom"/>
            <w:shd w:val="clear" w:color="auto" w:fill="E4E6EF"/>
          </w:tcPr>
          <w:p>
            <w:pPr>
              <w:ind w:left="140"/>
              <w:spacing w:after="0"/>
              <w:rPr>
                <w:sz w:val="20"/>
                <w:szCs w:val="20"/>
                <w:color w:val="auto"/>
              </w:rPr>
            </w:pPr>
            <w:r>
              <w:rPr>
                <w:rFonts w:ascii="Arial" w:cs="Arial" w:eastAsia="Arial" w:hAnsi="Arial"/>
                <w:sz w:val="17"/>
                <w:szCs w:val="17"/>
                <w:b w:val="1"/>
                <w:bCs w:val="1"/>
                <w:color w:val="auto"/>
              </w:rPr>
              <w:t>PER OCCUPANT BY</w:t>
            </w:r>
          </w:p>
        </w:tc>
      </w:tr>
      <w:tr>
        <w:trPr>
          <w:trHeight w:val="92"/>
        </w:trPr>
        <w:tc>
          <w:tcPr>
            <w:tcW w:w="3960" w:type="dxa"/>
            <w:vAlign w:val="bottom"/>
            <w:shd w:val="clear" w:color="auto" w:fill="E4E6EF"/>
          </w:tcPr>
          <w:p>
            <w:pPr>
              <w:spacing w:after="0"/>
              <w:rPr>
                <w:sz w:val="8"/>
                <w:szCs w:val="8"/>
                <w:color w:val="auto"/>
              </w:rPr>
            </w:pPr>
          </w:p>
        </w:tc>
        <w:tc>
          <w:tcPr>
            <w:tcW w:w="660" w:type="dxa"/>
            <w:vAlign w:val="bottom"/>
          </w:tcPr>
          <w:p>
            <w:pPr>
              <w:spacing w:after="0"/>
              <w:rPr>
                <w:sz w:val="8"/>
                <w:szCs w:val="8"/>
                <w:color w:val="auto"/>
              </w:rPr>
            </w:pPr>
          </w:p>
        </w:tc>
        <w:tc>
          <w:tcPr>
            <w:tcW w:w="3060" w:type="dxa"/>
            <w:vAlign w:val="bottom"/>
            <w:shd w:val="clear" w:color="auto" w:fill="E4E6E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-59055</wp:posOffset>
            </wp:positionV>
            <wp:extent cx="1259840" cy="685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59840" cy="68580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-59055</wp:posOffset>
            </wp:positionV>
            <wp:extent cx="977265" cy="685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77265" cy="68580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660"/>
        </w:trPr>
        <w:tc>
          <w:tcPr>
            <w:tcW w:w="1840" w:type="dxa"/>
            <w:vAlign w:val="bottom"/>
          </w:tcPr>
          <w:p>
            <w:pPr>
              <w:spacing w:after="0"/>
              <w:rPr>
                <w:sz w:val="20"/>
                <w:szCs w:val="20"/>
                <w:color w:val="auto"/>
              </w:rPr>
            </w:pPr>
            <w:r>
              <w:rPr>
                <w:rFonts w:ascii="Arial" w:cs="Arial" w:eastAsia="Arial" w:hAnsi="Arial"/>
                <w:sz w:val="54"/>
                <w:szCs w:val="54"/>
                <w:b w:val="1"/>
                <w:bCs w:val="1"/>
                <w:color w:val="002E6D"/>
              </w:rPr>
              <w:t>70%</w:t>
            </w:r>
          </w:p>
        </w:tc>
        <w:tc>
          <w:tcPr>
            <w:tcW w:w="1980" w:type="dxa"/>
            <w:vAlign w:val="bottom"/>
            <w:shd w:val="clear" w:color="auto" w:fill="E4E6EF"/>
          </w:tcPr>
          <w:p>
            <w:pPr>
              <w:spacing w:after="0"/>
              <w:rPr>
                <w:sz w:val="24"/>
                <w:szCs w:val="24"/>
                <w:color w:val="auto"/>
              </w:rPr>
            </w:pPr>
          </w:p>
        </w:tc>
        <w:tc>
          <w:tcPr>
            <w:tcW w:w="1880" w:type="dxa"/>
            <w:vAlign w:val="bottom"/>
          </w:tcPr>
          <w:p>
            <w:pPr>
              <w:ind w:left="800"/>
              <w:spacing w:after="0"/>
              <w:rPr>
                <w:sz w:val="20"/>
                <w:szCs w:val="20"/>
                <w:color w:val="auto"/>
              </w:rPr>
            </w:pPr>
            <w:r>
              <w:rPr>
                <w:rFonts w:ascii="Arial" w:cs="Arial" w:eastAsia="Arial" w:hAnsi="Arial"/>
                <w:sz w:val="54"/>
                <w:szCs w:val="54"/>
                <w:b w:val="1"/>
                <w:bCs w:val="1"/>
                <w:color w:val="002E6D"/>
                <w:w w:val="98"/>
              </w:rPr>
              <w:t>14%</w:t>
            </w:r>
          </w:p>
        </w:tc>
      </w:tr>
      <w:tr>
        <w:trPr>
          <w:trHeight w:val="172"/>
        </w:trPr>
        <w:tc>
          <w:tcPr>
            <w:tcW w:w="1840" w:type="dxa"/>
            <w:vAlign w:val="bottom"/>
          </w:tcPr>
          <w:p>
            <w:pPr>
              <w:spacing w:after="0"/>
              <w:rPr>
                <w:sz w:val="20"/>
                <w:szCs w:val="20"/>
                <w:color w:val="auto"/>
              </w:rPr>
            </w:pPr>
            <w:r>
              <w:rPr>
                <w:rFonts w:ascii="Arial" w:cs="Arial" w:eastAsia="Arial" w:hAnsi="Arial"/>
                <w:sz w:val="14"/>
                <w:szCs w:val="14"/>
                <w:color w:val="002E6D"/>
              </w:rPr>
              <w:t>•</w:t>
            </w:r>
            <w:r>
              <w:rPr>
                <w:rFonts w:ascii="Arial" w:cs="Arial" w:eastAsia="Arial" w:hAnsi="Arial"/>
                <w:sz w:val="14"/>
                <w:szCs w:val="14"/>
                <w:color w:val="000000"/>
              </w:rPr>
              <w:t>2015 baseline</w:t>
            </w:r>
          </w:p>
        </w:tc>
        <w:tc>
          <w:tcPr>
            <w:tcW w:w="1980" w:type="dxa"/>
            <w:vAlign w:val="bottom"/>
            <w:shd w:val="clear" w:color="auto" w:fill="E4E6EF"/>
          </w:tcPr>
          <w:p>
            <w:pPr>
              <w:spacing w:after="0"/>
              <w:rPr>
                <w:sz w:val="14"/>
                <w:szCs w:val="14"/>
                <w:color w:val="auto"/>
              </w:rPr>
            </w:pPr>
          </w:p>
        </w:tc>
        <w:tc>
          <w:tcPr>
            <w:tcW w:w="1880" w:type="dxa"/>
            <w:vAlign w:val="bottom"/>
          </w:tcPr>
          <w:p>
            <w:pPr>
              <w:ind w:left="800"/>
              <w:spacing w:after="0"/>
              <w:rPr>
                <w:sz w:val="20"/>
                <w:szCs w:val="20"/>
                <w:color w:val="auto"/>
              </w:rPr>
            </w:pPr>
            <w:r>
              <w:rPr>
                <w:rFonts w:ascii="Arial" w:cs="Arial" w:eastAsia="Arial" w:hAnsi="Arial"/>
                <w:sz w:val="14"/>
                <w:szCs w:val="14"/>
                <w:color w:val="002E6D"/>
              </w:rPr>
              <w:t>•</w:t>
            </w:r>
            <w:r>
              <w:rPr>
                <w:rFonts w:ascii="Arial" w:cs="Arial" w:eastAsia="Arial" w:hAnsi="Arial"/>
                <w:sz w:val="14"/>
                <w:szCs w:val="14"/>
                <w:color w:val="000000"/>
              </w:rPr>
              <w:t>2016 baseline</w:t>
            </w:r>
          </w:p>
        </w:tc>
      </w:tr>
      <w:tr>
        <w:trPr>
          <w:trHeight w:val="134"/>
        </w:trPr>
        <w:tc>
          <w:tcPr>
            <w:tcW w:w="1840" w:type="dxa"/>
            <w:vAlign w:val="bottom"/>
          </w:tcPr>
          <w:p>
            <w:pPr>
              <w:spacing w:after="0"/>
              <w:rPr>
                <w:sz w:val="11"/>
                <w:szCs w:val="11"/>
                <w:color w:val="auto"/>
              </w:rPr>
            </w:pPr>
          </w:p>
        </w:tc>
        <w:tc>
          <w:tcPr>
            <w:tcW w:w="1980" w:type="dxa"/>
            <w:vAlign w:val="bottom"/>
            <w:shd w:val="clear" w:color="auto" w:fill="E4E6EF"/>
          </w:tcPr>
          <w:p>
            <w:pPr>
              <w:spacing w:after="0"/>
              <w:rPr>
                <w:sz w:val="11"/>
                <w:szCs w:val="11"/>
                <w:color w:val="auto"/>
              </w:rPr>
            </w:pPr>
          </w:p>
        </w:tc>
        <w:tc>
          <w:tcPr>
            <w:tcW w:w="18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-530860</wp:posOffset>
            </wp:positionV>
            <wp:extent cx="360045" cy="3689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0045" cy="36893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0</wp:posOffset>
            </wp:positionV>
            <wp:extent cx="45466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46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320"/>
        <w:spacing w:after="0" w:line="264" w:lineRule="auto"/>
        <w:rPr>
          <w:sz w:val="20"/>
          <w:szCs w:val="20"/>
          <w:color w:val="auto"/>
        </w:rPr>
      </w:pPr>
      <w:r>
        <w:rPr>
          <w:rFonts w:ascii="Arial" w:cs="Arial" w:eastAsia="Arial" w:hAnsi="Arial"/>
          <w:sz w:val="16"/>
          <w:szCs w:val="16"/>
          <w:b w:val="1"/>
          <w:bCs w:val="1"/>
          <w:color w:val="auto"/>
        </w:rPr>
        <w:t>REDUCE WASTE PER OCCUPANT BY</w:t>
      </w:r>
    </w:p>
    <w:p>
      <w:pPr>
        <w:spacing w:after="0" w:line="131" w:lineRule="exact"/>
        <w:rPr>
          <w:sz w:val="20"/>
          <w:szCs w:val="20"/>
          <w:color w:val="auto"/>
        </w:rPr>
      </w:pPr>
    </w:p>
    <w:p>
      <w:pPr>
        <w:spacing w:after="0"/>
        <w:rPr>
          <w:sz w:val="20"/>
          <w:szCs w:val="20"/>
          <w:color w:val="auto"/>
        </w:rPr>
      </w:pPr>
      <w:r>
        <w:rPr>
          <w:rFonts w:ascii="Arial" w:cs="Arial" w:eastAsia="Arial" w:hAnsi="Arial"/>
          <w:sz w:val="54"/>
          <w:szCs w:val="54"/>
          <w:b w:val="1"/>
          <w:bCs w:val="1"/>
          <w:color w:val="002E6D"/>
        </w:rPr>
        <w:t>11%</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002E6D"/>
        </w:rPr>
        <w:t>•</w:t>
      </w:r>
      <w:r>
        <w:rPr>
          <w:rFonts w:ascii="Arial" w:cs="Arial" w:eastAsia="Arial" w:hAnsi="Arial"/>
          <w:sz w:val="14"/>
          <w:szCs w:val="14"/>
          <w:color w:val="000000"/>
        </w:rPr>
        <w:t>2016 baseline</w:t>
      </w:r>
    </w:p>
    <w:p>
      <w:pPr>
        <w:spacing w:after="0" w:line="344" w:lineRule="exact"/>
        <w:rPr>
          <w:sz w:val="20"/>
          <w:szCs w:val="20"/>
          <w:color w:val="auto"/>
        </w:rPr>
      </w:pPr>
    </w:p>
    <w:p>
      <w:pPr>
        <w:sectPr>
          <w:pgSz w:w="11900" w:h="16838" w:orient="portrait"/>
          <w:cols w:equalWidth="0" w:num="2">
            <w:col w:w="8120" w:space="160"/>
            <w:col w:w="2960"/>
          </w:cols>
          <w:pgMar w:left="320" w:top="609" w:right="339" w:bottom="1440" w:gutter="0" w:footer="0" w:header="0"/>
          <w:type w:val="continuous"/>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 xml:space="preserve">2020 </w:t>
            </w:r>
            <w:r>
              <w:rPr>
                <w:rFonts w:ascii="Arial" w:cs="Arial" w:eastAsia="Arial" w:hAnsi="Arial"/>
                <w:sz w:val="16"/>
                <w:szCs w:val="16"/>
                <w:color w:val="auto"/>
              </w:rPr>
              <w:t>PERFORMANCE</w:t>
            </w:r>
          </w:p>
        </w:tc>
        <w:tc>
          <w:tcPr>
            <w:tcW w:w="2960" w:type="dxa"/>
            <w:vAlign w:val="bottom"/>
          </w:tcPr>
          <w:p>
            <w:pPr>
              <w:jc w:val="right"/>
              <w:ind w:right="1565"/>
              <w:spacing w:after="0"/>
              <w:rPr>
                <w:sz w:val="20"/>
                <w:szCs w:val="20"/>
                <w:color w:val="auto"/>
              </w:rPr>
            </w:pPr>
            <w:r>
              <w:rPr>
                <w:rFonts w:ascii="Arial" w:cs="Arial" w:eastAsia="Arial" w:hAnsi="Arial"/>
                <w:sz w:val="27"/>
                <w:szCs w:val="27"/>
                <w:b w:val="1"/>
                <w:bCs w:val="1"/>
                <w:color w:val="002E6D"/>
              </w:rPr>
              <w:t>39%</w:t>
            </w:r>
          </w:p>
        </w:tc>
        <w:tc>
          <w:tcPr>
            <w:tcW w:w="3540" w:type="dxa"/>
            <w:vAlign w:val="bottom"/>
          </w:tcPr>
          <w:p>
            <w:pPr>
              <w:jc w:val="right"/>
              <w:ind w:right="1165"/>
              <w:spacing w:after="0"/>
              <w:rPr>
                <w:sz w:val="20"/>
                <w:szCs w:val="20"/>
                <w:color w:val="auto"/>
              </w:rPr>
            </w:pPr>
            <w:r>
              <w:rPr>
                <w:rFonts w:ascii="Arial" w:cs="Arial" w:eastAsia="Arial" w:hAnsi="Arial"/>
                <w:sz w:val="27"/>
                <w:szCs w:val="27"/>
                <w:b w:val="1"/>
                <w:bCs w:val="1"/>
                <w:color w:val="002E6D"/>
              </w:rPr>
              <w:t>14%</w:t>
            </w:r>
          </w:p>
        </w:tc>
        <w:tc>
          <w:tcPr>
            <w:tcW w:w="2260" w:type="dxa"/>
            <w:vAlign w:val="bottom"/>
          </w:tcPr>
          <w:p>
            <w:pPr>
              <w:jc w:val="right"/>
              <w:ind w:right="425"/>
              <w:spacing w:after="0"/>
              <w:rPr>
                <w:sz w:val="20"/>
                <w:szCs w:val="20"/>
                <w:color w:val="auto"/>
              </w:rPr>
            </w:pPr>
            <w:r>
              <w:rPr>
                <w:rFonts w:ascii="Arial" w:cs="Arial" w:eastAsia="Arial" w:hAnsi="Arial"/>
                <w:sz w:val="27"/>
                <w:szCs w:val="27"/>
                <w:b w:val="1"/>
                <w:bCs w:val="1"/>
                <w:color w:val="002E6D"/>
              </w:rPr>
              <w:t>9%</w:t>
            </w:r>
          </w:p>
        </w:tc>
        <w:tc>
          <w:tcPr>
            <w:tcW w:w="60" w:type="dxa"/>
            <w:vAlign w:val="bottom"/>
          </w:tcPr>
          <w:p>
            <w:pPr>
              <w:spacing w:after="0"/>
              <w:rPr>
                <w:sz w:val="24"/>
                <w:szCs w:val="24"/>
                <w:color w:val="auto"/>
              </w:rPr>
            </w:pPr>
          </w:p>
        </w:tc>
      </w:tr>
      <w:tr>
        <w:trPr>
          <w:trHeight w:val="42"/>
        </w:trPr>
        <w:tc>
          <w:tcPr>
            <w:tcW w:w="2420" w:type="dxa"/>
            <w:vAlign w:val="bottom"/>
            <w:tcBorders>
              <w:bottom w:val="single" w:sz="8" w:color="929292"/>
            </w:tcBorders>
          </w:tcPr>
          <w:p>
            <w:pPr>
              <w:spacing w:after="0"/>
              <w:rPr>
                <w:sz w:val="3"/>
                <w:szCs w:val="3"/>
                <w:color w:val="auto"/>
              </w:rPr>
            </w:pPr>
          </w:p>
        </w:tc>
        <w:tc>
          <w:tcPr>
            <w:tcW w:w="2960" w:type="dxa"/>
            <w:vAlign w:val="bottom"/>
            <w:tcBorders>
              <w:bottom w:val="single" w:sz="8" w:color="929292"/>
            </w:tcBorders>
          </w:tcPr>
          <w:p>
            <w:pPr>
              <w:spacing w:after="0"/>
              <w:rPr>
                <w:sz w:val="3"/>
                <w:szCs w:val="3"/>
                <w:color w:val="auto"/>
              </w:rPr>
            </w:pPr>
          </w:p>
        </w:tc>
        <w:tc>
          <w:tcPr>
            <w:tcW w:w="3540" w:type="dxa"/>
            <w:vAlign w:val="bottom"/>
            <w:tcBorders>
              <w:bottom w:val="single" w:sz="8" w:color="929292"/>
            </w:tcBorders>
          </w:tcPr>
          <w:p>
            <w:pPr>
              <w:spacing w:after="0"/>
              <w:rPr>
                <w:sz w:val="3"/>
                <w:szCs w:val="3"/>
                <w:color w:val="auto"/>
              </w:rPr>
            </w:pPr>
          </w:p>
        </w:tc>
        <w:tc>
          <w:tcPr>
            <w:tcW w:w="2260" w:type="dxa"/>
            <w:vAlign w:val="bottom"/>
            <w:tcBorders>
              <w:bottom w:val="single" w:sz="8" w:color="929292"/>
            </w:tcBorders>
          </w:tcPr>
          <w:p>
            <w:pPr>
              <w:spacing w:after="0"/>
              <w:rPr>
                <w:sz w:val="3"/>
                <w:szCs w:val="3"/>
                <w:color w:val="auto"/>
              </w:rPr>
            </w:pPr>
          </w:p>
        </w:tc>
        <w:tc>
          <w:tcPr>
            <w:tcW w:w="60" w:type="dxa"/>
            <w:vAlign w:val="bottom"/>
          </w:tcPr>
          <w:p>
            <w:pPr>
              <w:spacing w:after="0"/>
              <w:rPr>
                <w:sz w:val="3"/>
                <w:szCs w:val="3"/>
                <w:color w:val="auto"/>
              </w:rPr>
            </w:pPr>
          </w:p>
        </w:tc>
      </w:tr>
      <w:tr>
        <w:trPr>
          <w:trHeight w:val="304"/>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8"/>
        </w:trPr>
        <w:tc>
          <w:tcPr>
            <w:tcW w:w="2420" w:type="dxa"/>
            <w:vAlign w:val="bottom"/>
            <w:shd w:val="clear" w:color="auto" w:fill="516083"/>
          </w:tcPr>
          <w:p>
            <w:pPr>
              <w:spacing w:after="0"/>
              <w:rPr>
                <w:sz w:val="12"/>
                <w:szCs w:val="12"/>
                <w:color w:val="auto"/>
              </w:rPr>
            </w:pPr>
          </w:p>
        </w:tc>
        <w:tc>
          <w:tcPr>
            <w:tcW w:w="2960" w:type="dxa"/>
            <w:vAlign w:val="bottom"/>
            <w:shd w:val="clear" w:color="auto" w:fill="516083"/>
          </w:tcPr>
          <w:p>
            <w:pPr>
              <w:spacing w:after="0"/>
              <w:rPr>
                <w:sz w:val="12"/>
                <w:szCs w:val="12"/>
                <w:color w:val="auto"/>
              </w:rPr>
            </w:pPr>
          </w:p>
        </w:tc>
        <w:tc>
          <w:tcPr>
            <w:tcW w:w="3540" w:type="dxa"/>
            <w:vAlign w:val="bottom"/>
            <w:shd w:val="clear" w:color="auto" w:fill="516083"/>
          </w:tcPr>
          <w:p>
            <w:pPr>
              <w:spacing w:after="0"/>
              <w:rPr>
                <w:sz w:val="12"/>
                <w:szCs w:val="12"/>
                <w:color w:val="auto"/>
              </w:rPr>
            </w:pPr>
          </w:p>
        </w:tc>
        <w:tc>
          <w:tcPr>
            <w:tcW w:w="2260" w:type="dxa"/>
            <w:vAlign w:val="bottom"/>
            <w:shd w:val="clear" w:color="auto" w:fill="516083"/>
          </w:tcPr>
          <w:p>
            <w:pPr>
              <w:spacing w:after="0"/>
              <w:rPr>
                <w:sz w:val="12"/>
                <w:szCs w:val="12"/>
                <w:color w:val="auto"/>
              </w:rPr>
            </w:pPr>
          </w:p>
        </w:tc>
        <w:tc>
          <w:tcPr>
            <w:tcW w:w="60" w:type="dxa"/>
            <w:vAlign w:val="bottom"/>
            <w:shd w:val="clear" w:color="auto" w:fill="516083"/>
          </w:tcPr>
          <w:p>
            <w:pPr>
              <w:spacing w:after="0"/>
              <w:rPr>
                <w:sz w:val="12"/>
                <w:szCs w:val="12"/>
                <w:color w:val="auto"/>
              </w:rPr>
            </w:pPr>
          </w:p>
        </w:tc>
      </w:tr>
    </w:tbl>
    <w:p>
      <w:pPr>
        <w:spacing w:after="0" w:line="77" w:lineRule="exact"/>
        <w:rPr>
          <w:sz w:val="20"/>
          <w:szCs w:val="20"/>
          <w:color w:val="auto"/>
        </w:rPr>
      </w:pPr>
    </w:p>
    <w:p>
      <w:pPr>
        <w:ind w:left="20"/>
        <w:spacing w:after="0"/>
        <w:rPr>
          <w:sz w:val="20"/>
          <w:szCs w:val="20"/>
          <w:color w:val="auto"/>
        </w:rPr>
      </w:pPr>
      <w:r>
        <w:rPr>
          <w:rFonts w:ascii="Arial" w:cs="Arial" w:eastAsia="Arial" w:hAnsi="Arial"/>
          <w:sz w:val="29"/>
          <w:szCs w:val="29"/>
          <w:color w:val="002E6D"/>
        </w:rPr>
        <w:t>Supplier Engagement</w:t>
      </w:r>
    </w:p>
    <w:p>
      <w:pPr>
        <w:spacing w:after="0" w:line="83" w:lineRule="exact"/>
        <w:rPr>
          <w:sz w:val="20"/>
          <w:szCs w:val="20"/>
          <w:color w:val="auto"/>
        </w:rPr>
      </w:pPr>
    </w:p>
    <w:p>
      <w:pPr>
        <w:ind w:right="680"/>
        <w:spacing w:after="0" w:line="243" w:lineRule="auto"/>
        <w:rPr>
          <w:sz w:val="20"/>
          <w:szCs w:val="20"/>
          <w:color w:val="auto"/>
        </w:rPr>
      </w:pPr>
      <w:r>
        <w:rPr>
          <w:rFonts w:ascii="Arial" w:cs="Arial" w:eastAsia="Arial" w:hAnsi="Arial"/>
          <w:sz w:val="17"/>
          <w:szCs w:val="17"/>
          <w:color w:val="auto"/>
        </w:rPr>
        <w:t>Lockheed Martin works closely with suppliers to strengthen our communities and foster responsible growth. Lockheed Martin's efforts and accomplishments in these areas during the year-long measuring period from October 1, 2019 to September 30, 2020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7115175" cy="1499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15175" cy="149987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type w:val="continuous"/>
        </w:sect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&gt;21.9 percent </w:t>
      </w:r>
      <w:r>
        <w:rPr>
          <w:rFonts w:ascii="Arial" w:cs="Arial" w:eastAsia="Arial" w:hAnsi="Arial"/>
          <w:sz w:val="17"/>
          <w:szCs w:val="17"/>
          <w:color w:val="auto"/>
        </w:rPr>
        <w:t>of suppliers selected were small businesses</w:t>
      </w: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&gt;$6.2 billion </w:t>
      </w:r>
      <w:r>
        <w:rPr>
          <w:rFonts w:ascii="Arial" w:cs="Arial" w:eastAsia="Arial" w:hAnsi="Arial"/>
          <w:sz w:val="17"/>
          <w:szCs w:val="17"/>
          <w:color w:val="auto"/>
        </w:rPr>
        <w:t>spent with over 7,500 small businesses</w:t>
      </w:r>
    </w:p>
    <w:p>
      <w:pPr>
        <w:spacing w:after="0" w:line="371" w:lineRule="exact"/>
        <w:rPr>
          <w:sz w:val="20"/>
          <w:szCs w:val="20"/>
          <w:color w:val="auto"/>
        </w:rPr>
      </w:pPr>
    </w:p>
    <w:tbl>
      <w:tblPr>
        <w:tblLayout w:type="fixed"/>
        <w:tblInd w:w="220" w:type="dxa"/>
        <w:tblCellMar>
          <w:top w:w="0" w:type="dxa"/>
          <w:left w:w="0" w:type="dxa"/>
          <w:bottom w:w="0" w:type="dxa"/>
          <w:right w:w="0" w:type="dxa"/>
        </w:tblCellMar>
      </w:tblPr>
      <w:tr>
        <w:trPr>
          <w:trHeight w:val="275"/>
        </w:trPr>
        <w:tc>
          <w:tcPr>
            <w:tcW w:w="1240" w:type="dxa"/>
            <w:vAlign w:val="bottom"/>
          </w:tcPr>
          <w:p>
            <w:pPr>
              <w:spacing w:after="0"/>
              <w:rPr>
                <w:sz w:val="20"/>
                <w:szCs w:val="20"/>
                <w:color w:val="auto"/>
              </w:rPr>
            </w:pPr>
            <w:r>
              <w:rPr>
                <w:rFonts w:ascii="Arial" w:cs="Arial" w:eastAsia="Arial" w:hAnsi="Arial"/>
                <w:sz w:val="14"/>
                <w:szCs w:val="14"/>
                <w:b w:val="1"/>
                <w:bCs w:val="1"/>
                <w:color w:val="auto"/>
              </w:rPr>
              <w:t xml:space="preserve">&gt;$1.2 billion </w:t>
            </w:r>
            <w:r>
              <w:rPr>
                <w:rFonts w:ascii="Arial" w:cs="Arial" w:eastAsia="Arial" w:hAnsi="Arial"/>
                <w:sz w:val="14"/>
                <w:szCs w:val="14"/>
                <w:color w:val="auto"/>
              </w:rPr>
              <w:t>spent</w:t>
            </w:r>
          </w:p>
        </w:tc>
        <w:tc>
          <w:tcPr>
            <w:tcW w:w="140" w:type="dxa"/>
            <w:vAlign w:val="bottom"/>
            <w:shd w:val="clear" w:color="auto" w:fill="E5E7EF"/>
          </w:tcPr>
          <w:p>
            <w:pPr>
              <w:spacing w:after="0"/>
              <w:rPr>
                <w:sz w:val="23"/>
                <w:szCs w:val="23"/>
                <w:color w:val="auto"/>
              </w:rPr>
            </w:pPr>
          </w:p>
        </w:tc>
        <w:tc>
          <w:tcPr>
            <w:tcW w:w="1760" w:type="dxa"/>
            <w:vAlign w:val="bottom"/>
          </w:tcPr>
          <w:p>
            <w:pPr>
              <w:ind w:left="100"/>
              <w:spacing w:after="0"/>
              <w:rPr>
                <w:sz w:val="20"/>
                <w:szCs w:val="20"/>
                <w:color w:val="auto"/>
              </w:rPr>
            </w:pPr>
            <w:r>
              <w:rPr>
                <w:rFonts w:ascii="Arial" w:cs="Arial" w:eastAsia="Arial" w:hAnsi="Arial"/>
                <w:sz w:val="14"/>
                <w:szCs w:val="14"/>
                <w:b w:val="1"/>
                <w:bCs w:val="1"/>
                <w:color w:val="auto"/>
              </w:rPr>
              <w:t xml:space="preserve">&gt;$681.4 million </w:t>
            </w:r>
            <w:r>
              <w:rPr>
                <w:rFonts w:ascii="Arial" w:cs="Arial" w:eastAsia="Arial" w:hAnsi="Arial"/>
                <w:sz w:val="14"/>
                <w:szCs w:val="14"/>
                <w:color w:val="auto"/>
              </w:rPr>
              <w:t>spent</w:t>
            </w:r>
          </w:p>
        </w:tc>
        <w:tc>
          <w:tcPr>
            <w:tcW w:w="140" w:type="dxa"/>
            <w:vAlign w:val="bottom"/>
            <w:shd w:val="clear" w:color="auto" w:fill="E5E7EF"/>
          </w:tcPr>
          <w:p>
            <w:pPr>
              <w:spacing w:after="0"/>
              <w:rPr>
                <w:sz w:val="23"/>
                <w:szCs w:val="23"/>
                <w:color w:val="auto"/>
              </w:rPr>
            </w:pPr>
          </w:p>
        </w:tc>
        <w:tc>
          <w:tcPr>
            <w:tcW w:w="1680" w:type="dxa"/>
            <w:vAlign w:val="bottom"/>
          </w:tcPr>
          <w:p>
            <w:pPr>
              <w:ind w:left="100"/>
              <w:spacing w:after="0"/>
              <w:rPr>
                <w:sz w:val="20"/>
                <w:szCs w:val="20"/>
                <w:color w:val="auto"/>
              </w:rPr>
            </w:pPr>
            <w:r>
              <w:rPr>
                <w:rFonts w:ascii="Arial" w:cs="Arial" w:eastAsia="Arial" w:hAnsi="Arial"/>
                <w:sz w:val="14"/>
                <w:szCs w:val="14"/>
                <w:b w:val="1"/>
                <w:bCs w:val="1"/>
                <w:color w:val="auto"/>
              </w:rPr>
              <w:t xml:space="preserve">&gt;$68 million </w:t>
            </w:r>
            <w:r>
              <w:rPr>
                <w:rFonts w:ascii="Arial" w:cs="Arial" w:eastAsia="Arial" w:hAnsi="Arial"/>
                <w:sz w:val="14"/>
                <w:szCs w:val="14"/>
                <w:color w:val="auto"/>
              </w:rPr>
              <w:t>spent with</w:t>
            </w:r>
          </w:p>
        </w:tc>
        <w:tc>
          <w:tcPr>
            <w:tcW w:w="140" w:type="dxa"/>
            <w:vAlign w:val="bottom"/>
            <w:shd w:val="clear" w:color="auto" w:fill="E5E7EF"/>
          </w:tcPr>
          <w:p>
            <w:pPr>
              <w:spacing w:after="0"/>
              <w:rPr>
                <w:sz w:val="23"/>
                <w:szCs w:val="23"/>
                <w:color w:val="auto"/>
              </w:rPr>
            </w:pPr>
          </w:p>
        </w:tc>
        <w:tc>
          <w:tcPr>
            <w:tcW w:w="2040" w:type="dxa"/>
            <w:vAlign w:val="bottom"/>
          </w:tcPr>
          <w:p>
            <w:pPr>
              <w:ind w:left="100"/>
              <w:spacing w:after="0"/>
              <w:rPr>
                <w:sz w:val="20"/>
                <w:szCs w:val="20"/>
                <w:color w:val="auto"/>
              </w:rPr>
            </w:pPr>
            <w:r>
              <w:rPr>
                <w:rFonts w:ascii="Arial" w:cs="Arial" w:eastAsia="Arial" w:hAnsi="Arial"/>
                <w:sz w:val="14"/>
                <w:szCs w:val="14"/>
                <w:b w:val="1"/>
                <w:bCs w:val="1"/>
                <w:color w:val="auto"/>
              </w:rPr>
              <w:t xml:space="preserve">&gt;$333.9 million </w:t>
            </w:r>
            <w:r>
              <w:rPr>
                <w:rFonts w:ascii="Arial" w:cs="Arial" w:eastAsia="Arial" w:hAnsi="Arial"/>
                <w:sz w:val="14"/>
                <w:szCs w:val="14"/>
                <w:color w:val="auto"/>
              </w:rPr>
              <w:t>spent with</w:t>
            </w:r>
          </w:p>
        </w:tc>
      </w:tr>
      <w:tr>
        <w:trPr>
          <w:trHeight w:val="148"/>
        </w:trPr>
        <w:tc>
          <w:tcPr>
            <w:tcW w:w="1240" w:type="dxa"/>
            <w:vAlign w:val="bottom"/>
          </w:tcPr>
          <w:p>
            <w:pPr>
              <w:spacing w:after="0" w:line="149" w:lineRule="exact"/>
              <w:rPr>
                <w:sz w:val="20"/>
                <w:szCs w:val="20"/>
                <w:color w:val="auto"/>
              </w:rPr>
            </w:pPr>
            <w:r>
              <w:rPr>
                <w:rFonts w:ascii="Arial" w:cs="Arial" w:eastAsia="Arial" w:hAnsi="Arial"/>
                <w:sz w:val="14"/>
                <w:szCs w:val="14"/>
                <w:color w:val="auto"/>
              </w:rPr>
              <w:t>with woman-</w:t>
            </w:r>
          </w:p>
        </w:tc>
        <w:tc>
          <w:tcPr>
            <w:tcW w:w="140" w:type="dxa"/>
            <w:vAlign w:val="bottom"/>
            <w:shd w:val="clear" w:color="auto" w:fill="E5E7EF"/>
          </w:tcPr>
          <w:p>
            <w:pPr>
              <w:spacing w:after="0"/>
              <w:rPr>
                <w:sz w:val="12"/>
                <w:szCs w:val="12"/>
                <w:color w:val="auto"/>
              </w:rPr>
            </w:pPr>
          </w:p>
        </w:tc>
        <w:tc>
          <w:tcPr>
            <w:tcW w:w="1760" w:type="dxa"/>
            <w:vAlign w:val="bottom"/>
          </w:tcPr>
          <w:p>
            <w:pPr>
              <w:ind w:left="100"/>
              <w:spacing w:after="0" w:line="149" w:lineRule="exact"/>
              <w:rPr>
                <w:sz w:val="20"/>
                <w:szCs w:val="20"/>
                <w:color w:val="auto"/>
              </w:rPr>
            </w:pPr>
            <w:r>
              <w:rPr>
                <w:rFonts w:ascii="Arial" w:cs="Arial" w:eastAsia="Arial" w:hAnsi="Arial"/>
                <w:sz w:val="14"/>
                <w:szCs w:val="14"/>
                <w:color w:val="auto"/>
              </w:rPr>
              <w:t>with nearly 800 veteran-</w:t>
            </w:r>
          </w:p>
        </w:tc>
        <w:tc>
          <w:tcPr>
            <w:tcW w:w="140" w:type="dxa"/>
            <w:vAlign w:val="bottom"/>
            <w:shd w:val="clear" w:color="auto" w:fill="E5E7EF"/>
          </w:tcPr>
          <w:p>
            <w:pPr>
              <w:spacing w:after="0"/>
              <w:rPr>
                <w:sz w:val="12"/>
                <w:szCs w:val="12"/>
                <w:color w:val="auto"/>
              </w:rPr>
            </w:pPr>
          </w:p>
        </w:tc>
        <w:tc>
          <w:tcPr>
            <w:tcW w:w="1680" w:type="dxa"/>
            <w:vAlign w:val="bottom"/>
          </w:tcPr>
          <w:p>
            <w:pPr>
              <w:ind w:left="100"/>
              <w:spacing w:after="0" w:line="149" w:lineRule="exact"/>
              <w:rPr>
                <w:sz w:val="20"/>
                <w:szCs w:val="20"/>
                <w:color w:val="auto"/>
              </w:rPr>
            </w:pPr>
            <w:r>
              <w:rPr>
                <w:rFonts w:ascii="Arial" w:cs="Arial" w:eastAsia="Arial" w:hAnsi="Arial"/>
                <w:sz w:val="14"/>
                <w:szCs w:val="14"/>
                <w:color w:val="auto"/>
              </w:rPr>
              <w:t>Alaskan Native and</w:t>
            </w:r>
          </w:p>
        </w:tc>
        <w:tc>
          <w:tcPr>
            <w:tcW w:w="140" w:type="dxa"/>
            <w:vAlign w:val="bottom"/>
            <w:shd w:val="clear" w:color="auto" w:fill="E5E7EF"/>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rPr>
              <w:t>over 200 service-disabled,</w:t>
            </w: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color w:val="auto"/>
              </w:rPr>
              <w:t>owned businesses</w:t>
            </w:r>
          </w:p>
        </w:tc>
        <w:tc>
          <w:tcPr>
            <w:tcW w:w="140" w:type="dxa"/>
            <w:vAlign w:val="bottom"/>
            <w:shd w:val="clear" w:color="auto" w:fill="E5E7EF"/>
          </w:tcPr>
          <w:p>
            <w:pPr>
              <w:spacing w:after="0"/>
              <w:rPr>
                <w:sz w:val="12"/>
                <w:szCs w:val="12"/>
                <w:color w:val="auto"/>
              </w:rPr>
            </w:pPr>
          </w:p>
        </w:tc>
        <w:tc>
          <w:tcPr>
            <w:tcW w:w="1760" w:type="dxa"/>
            <w:vAlign w:val="bottom"/>
          </w:tcPr>
          <w:p>
            <w:pPr>
              <w:ind w:left="100"/>
              <w:spacing w:after="0" w:line="149" w:lineRule="exact"/>
              <w:rPr>
                <w:sz w:val="20"/>
                <w:szCs w:val="20"/>
                <w:color w:val="auto"/>
              </w:rPr>
            </w:pPr>
            <w:r>
              <w:rPr>
                <w:rFonts w:ascii="Arial" w:cs="Arial" w:eastAsia="Arial" w:hAnsi="Arial"/>
                <w:sz w:val="14"/>
                <w:szCs w:val="14"/>
                <w:color w:val="auto"/>
              </w:rPr>
              <w:t>owned businesses</w:t>
            </w:r>
          </w:p>
        </w:tc>
        <w:tc>
          <w:tcPr>
            <w:tcW w:w="140" w:type="dxa"/>
            <w:vAlign w:val="bottom"/>
            <w:shd w:val="clear" w:color="auto" w:fill="E5E7EF"/>
          </w:tcPr>
          <w:p>
            <w:pPr>
              <w:spacing w:after="0"/>
              <w:rPr>
                <w:sz w:val="12"/>
                <w:szCs w:val="12"/>
                <w:color w:val="auto"/>
              </w:rPr>
            </w:pPr>
          </w:p>
        </w:tc>
        <w:tc>
          <w:tcPr>
            <w:tcW w:w="1680" w:type="dxa"/>
            <w:vAlign w:val="bottom"/>
          </w:tcPr>
          <w:p>
            <w:pPr>
              <w:ind w:left="100"/>
              <w:spacing w:after="0" w:line="149" w:lineRule="exact"/>
              <w:rPr>
                <w:sz w:val="20"/>
                <w:szCs w:val="20"/>
                <w:color w:val="auto"/>
              </w:rPr>
            </w:pPr>
            <w:r>
              <w:rPr>
                <w:rFonts w:ascii="Arial" w:cs="Arial" w:eastAsia="Arial" w:hAnsi="Arial"/>
                <w:sz w:val="14"/>
                <w:szCs w:val="14"/>
                <w:color w:val="auto"/>
              </w:rPr>
              <w:t>Tribally Owned</w:t>
            </w:r>
          </w:p>
        </w:tc>
        <w:tc>
          <w:tcPr>
            <w:tcW w:w="140" w:type="dxa"/>
            <w:vAlign w:val="bottom"/>
            <w:shd w:val="clear" w:color="auto" w:fill="E5E7EF"/>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rPr>
              <w:t>veteran-owned small</w:t>
            </w:r>
          </w:p>
        </w:tc>
      </w:tr>
      <w:tr>
        <w:trPr>
          <w:trHeight w:val="172"/>
        </w:trPr>
        <w:tc>
          <w:tcPr>
            <w:tcW w:w="1240" w:type="dxa"/>
            <w:vAlign w:val="bottom"/>
          </w:tcPr>
          <w:p>
            <w:pPr>
              <w:spacing w:after="0"/>
              <w:rPr>
                <w:sz w:val="14"/>
                <w:szCs w:val="14"/>
                <w:color w:val="auto"/>
              </w:rPr>
            </w:pPr>
          </w:p>
        </w:tc>
        <w:tc>
          <w:tcPr>
            <w:tcW w:w="140" w:type="dxa"/>
            <w:vAlign w:val="bottom"/>
            <w:shd w:val="clear" w:color="auto" w:fill="E5E7EF"/>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shd w:val="clear" w:color="auto" w:fill="E5E7EF"/>
          </w:tcPr>
          <w:p>
            <w:pPr>
              <w:spacing w:after="0"/>
              <w:rPr>
                <w:sz w:val="14"/>
                <w:szCs w:val="14"/>
                <w:color w:val="auto"/>
              </w:rPr>
            </w:pPr>
          </w:p>
        </w:tc>
        <w:tc>
          <w:tcPr>
            <w:tcW w:w="1680" w:type="dxa"/>
            <w:vAlign w:val="bottom"/>
          </w:tcPr>
          <w:p>
            <w:pPr>
              <w:ind w:left="100"/>
              <w:spacing w:after="0"/>
              <w:rPr>
                <w:sz w:val="20"/>
                <w:szCs w:val="20"/>
                <w:color w:val="auto"/>
              </w:rPr>
            </w:pPr>
            <w:r>
              <w:rPr>
                <w:rFonts w:ascii="Arial" w:cs="Arial" w:eastAsia="Arial" w:hAnsi="Arial"/>
                <w:sz w:val="14"/>
                <w:szCs w:val="14"/>
                <w:color w:val="auto"/>
              </w:rPr>
              <w:t>Corporations</w:t>
            </w:r>
          </w:p>
        </w:tc>
        <w:tc>
          <w:tcPr>
            <w:tcW w:w="140" w:type="dxa"/>
            <w:vAlign w:val="bottom"/>
            <w:shd w:val="clear" w:color="auto" w:fill="E5E7EF"/>
          </w:tcPr>
          <w:p>
            <w:pPr>
              <w:spacing w:after="0"/>
              <w:rPr>
                <w:sz w:val="14"/>
                <w:szCs w:val="14"/>
                <w:color w:val="auto"/>
              </w:rPr>
            </w:pPr>
          </w:p>
        </w:tc>
        <w:tc>
          <w:tcPr>
            <w:tcW w:w="2040" w:type="dxa"/>
            <w:vAlign w:val="bottom"/>
          </w:tcPr>
          <w:p>
            <w:pPr>
              <w:ind w:left="100"/>
              <w:spacing w:after="0"/>
              <w:rPr>
                <w:sz w:val="20"/>
                <w:szCs w:val="20"/>
                <w:color w:val="auto"/>
              </w:rPr>
            </w:pPr>
            <w:r>
              <w:rPr>
                <w:rFonts w:ascii="Arial" w:cs="Arial" w:eastAsia="Arial" w:hAnsi="Arial"/>
                <w:sz w:val="14"/>
                <w:szCs w:val="14"/>
                <w:color w:val="auto"/>
              </w:rPr>
              <w:t>businesses</w:t>
            </w:r>
          </w:p>
        </w:tc>
      </w:tr>
      <w:tr>
        <w:trPr>
          <w:trHeight w:val="120"/>
        </w:trPr>
        <w:tc>
          <w:tcPr>
            <w:tcW w:w="1240" w:type="dxa"/>
            <w:vAlign w:val="bottom"/>
          </w:tcPr>
          <w:p>
            <w:pPr>
              <w:spacing w:after="0"/>
              <w:rPr>
                <w:sz w:val="10"/>
                <w:szCs w:val="10"/>
                <w:color w:val="auto"/>
              </w:rPr>
            </w:pPr>
          </w:p>
        </w:tc>
        <w:tc>
          <w:tcPr>
            <w:tcW w:w="140" w:type="dxa"/>
            <w:vAlign w:val="bottom"/>
            <w:shd w:val="clear" w:color="auto" w:fill="E5E7EF"/>
          </w:tcPr>
          <w:p>
            <w:pPr>
              <w:spacing w:after="0"/>
              <w:rPr>
                <w:sz w:val="10"/>
                <w:szCs w:val="10"/>
                <w:color w:val="auto"/>
              </w:rPr>
            </w:pPr>
          </w:p>
        </w:tc>
        <w:tc>
          <w:tcPr>
            <w:tcW w:w="1760" w:type="dxa"/>
            <w:vAlign w:val="bottom"/>
          </w:tcPr>
          <w:p>
            <w:pPr>
              <w:spacing w:after="0"/>
              <w:rPr>
                <w:sz w:val="10"/>
                <w:szCs w:val="10"/>
                <w:color w:val="auto"/>
              </w:rPr>
            </w:pPr>
          </w:p>
        </w:tc>
        <w:tc>
          <w:tcPr>
            <w:tcW w:w="140" w:type="dxa"/>
            <w:vAlign w:val="bottom"/>
            <w:shd w:val="clear" w:color="auto" w:fill="E5E7EF"/>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shd w:val="clear" w:color="auto" w:fill="E5E7EF"/>
          </w:tcPr>
          <w:p>
            <w:pPr>
              <w:spacing w:after="0"/>
              <w:rPr>
                <w:sz w:val="10"/>
                <w:szCs w:val="10"/>
                <w:color w:val="auto"/>
              </w:rPr>
            </w:pPr>
          </w:p>
        </w:tc>
        <w:tc>
          <w:tcPr>
            <w:tcW w:w="2040" w:type="dxa"/>
            <w:vAlign w:val="bottom"/>
          </w:tcPr>
          <w:p>
            <w:pPr>
              <w:spacing w:after="0"/>
              <w:rPr>
                <w:sz w:val="10"/>
                <w:szCs w:val="10"/>
                <w:color w:val="auto"/>
              </w:rPr>
            </w:pPr>
          </w:p>
        </w:tc>
      </w:tr>
      <w:tr>
        <w:trPr>
          <w:trHeight w:val="95"/>
        </w:trPr>
        <w:tc>
          <w:tcPr>
            <w:tcW w:w="1240" w:type="dxa"/>
            <w:vAlign w:val="bottom"/>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1760" w:type="dxa"/>
            <w:vAlign w:val="bottom"/>
            <w:shd w:val="clear" w:color="auto" w:fill="E5E7EF"/>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1680" w:type="dxa"/>
            <w:vAlign w:val="bottom"/>
            <w:shd w:val="clear" w:color="auto" w:fill="E5E7EF"/>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2040" w:type="dxa"/>
            <w:vAlign w:val="bottom"/>
            <w:shd w:val="clear" w:color="auto" w:fill="E5E7EF"/>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1620"/>
        <w:spacing w:after="0" w:line="228" w:lineRule="auto"/>
        <w:rPr>
          <w:sz w:val="20"/>
          <w:szCs w:val="20"/>
          <w:color w:val="auto"/>
        </w:rPr>
      </w:pPr>
      <w:r>
        <w:rPr>
          <w:rFonts w:ascii="Arial" w:cs="Arial" w:eastAsia="Arial" w:hAnsi="Arial"/>
          <w:sz w:val="14"/>
          <w:szCs w:val="14"/>
          <w:b w:val="1"/>
          <w:bCs w:val="1"/>
          <w:color w:val="auto"/>
        </w:rPr>
        <w:t xml:space="preserve">Earned a “very good” rating from the Defense Contract Management Agency </w:t>
      </w:r>
      <w:r>
        <w:rPr>
          <w:rFonts w:ascii="Arial" w:cs="Arial" w:eastAsia="Arial" w:hAnsi="Arial"/>
          <w:sz w:val="14"/>
          <w:szCs w:val="14"/>
          <w:color w:val="auto"/>
        </w:rPr>
        <w:t>for small</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performance on Department of Defense Contracts with a strategic focus on advancing STEM education and supporting military and veteran causes</w:t>
      </w:r>
    </w:p>
    <w:p>
      <w:pPr>
        <w:spacing w:after="0" w:line="952" w:lineRule="exact"/>
        <w:rPr>
          <w:sz w:val="20"/>
          <w:szCs w:val="20"/>
          <w:color w:val="auto"/>
        </w:rPr>
      </w:pPr>
    </w:p>
    <w:p>
      <w:pPr>
        <w:sectPr>
          <w:pgSz w:w="11900" w:h="16838" w:orient="portrait"/>
          <w:cols w:equalWidth="0" w:num="2">
            <w:col w:w="7360" w:space="240"/>
            <w:col w:w="3640"/>
          </w:cols>
          <w:pgMar w:left="320" w:top="609" w:right="339" w:bottom="1440" w:gutter="0" w:footer="0" w:header="0"/>
          <w:type w:val="continuous"/>
        </w:sectPr>
      </w:pPr>
    </w:p>
    <w:p>
      <w:pPr>
        <w:ind w:right="160"/>
        <w:spacing w:after="0" w:line="268" w:lineRule="auto"/>
        <w:rPr>
          <w:sz w:val="20"/>
          <w:szCs w:val="20"/>
          <w:color w:val="auto"/>
        </w:rPr>
      </w:pPr>
      <w:r>
        <w:rPr>
          <w:rFonts w:ascii="Arial" w:cs="Arial" w:eastAsia="Arial" w:hAnsi="Arial"/>
          <w:sz w:val="17"/>
          <w:szCs w:val="17"/>
          <w:color w:val="auto"/>
        </w:rPr>
        <w:t>Our Global Supply Chain Operation’s team conducted its first-ever Human Trafficking Supply Chain Assessment based on the U.S. Department of State Trafficking in Persons Report in 2019. Since then, we expanded the input sources and have developed a visual dashboard that maps Lockheed Martin’s human trafficking risk across its supply chain. We will continue monitoring emerging global legislation as we advance our preventative approaches and are working to integrate Transparency International’s Corruption Perception Index, and Conflict Mineral data from our annual due diligence process, to provide additional perspectives.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35</w:t>
      </w:r>
    </w:p>
    <w:p>
      <w:pPr>
        <w:sectPr>
          <w:pgSz w:w="11900" w:h="16838" w:orient="portrait"/>
          <w:cols w:equalWidth="0" w:num="1">
            <w:col w:w="11240"/>
          </w:cols>
          <w:pgMar w:left="320" w:top="609"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43"/>
          <w:szCs w:val="43"/>
          <w:color w:val="002E6D"/>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487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48790"/>
                    </a:xfrm>
                    <a:prstGeom prst="rect">
                      <a:avLst/>
                    </a:prstGeom>
                    <a:noFill/>
                  </pic:spPr>
                </pic:pic>
              </a:graphicData>
            </a:graphic>
          </wp:anchor>
        </w:drawing>
      </w:r>
    </w:p>
    <w:p>
      <w:pPr>
        <w:sectPr>
          <w:pgSz w:w="11900" w:h="16838" w:orient="portrait"/>
          <w:cols w:equalWidth="0" w:num="1">
            <w:col w:w="11200"/>
          </w:cols>
          <w:pgMar w:left="320" w:top="13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9"/>
          <w:szCs w:val="19"/>
          <w:color w:val="012E6C"/>
        </w:rPr>
        <w:t>Proposal</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29"/>
          <w:szCs w:val="29"/>
          <w:color w:val="012E6C"/>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
        <w:spacing w:after="0"/>
        <w:rPr>
          <w:sz w:val="20"/>
          <w:szCs w:val="20"/>
          <w:color w:val="auto"/>
        </w:rPr>
      </w:pPr>
      <w:r>
        <w:rPr>
          <w:rFonts w:ascii="Arial" w:cs="Arial" w:eastAsia="Arial" w:hAnsi="Arial"/>
          <w:sz w:val="29"/>
          <w:szCs w:val="29"/>
          <w:color w:val="002E6D"/>
        </w:rPr>
        <w:t>Ratification of Appointment of Independent Auditors</w:t>
      </w:r>
    </w:p>
    <w:p>
      <w:pPr>
        <w:spacing w:after="0" w:line="200" w:lineRule="exact"/>
        <w:rPr>
          <w:sz w:val="20"/>
          <w:szCs w:val="20"/>
          <w:color w:val="auto"/>
        </w:rPr>
      </w:pPr>
    </w:p>
    <w:p>
      <w:pPr>
        <w:spacing w:after="0" w:line="234" w:lineRule="exact"/>
        <w:rPr>
          <w:sz w:val="20"/>
          <w:szCs w:val="20"/>
          <w:color w:val="auto"/>
        </w:rPr>
      </w:pPr>
    </w:p>
    <w:p>
      <w:pPr>
        <w:ind w:left="163" w:hanging="163"/>
        <w:spacing w:after="0" w:line="276" w:lineRule="auto"/>
        <w:tabs>
          <w:tab w:leader="none" w:pos="251" w:val="left"/>
        </w:tabs>
        <w:numPr>
          <w:ilvl w:val="0"/>
          <w:numId w:val="64"/>
        </w:numPr>
        <w:rPr>
          <w:rFonts w:ascii="Arial" w:cs="Arial" w:eastAsia="Arial" w:hAnsi="Arial"/>
          <w:sz w:val="17"/>
          <w:szCs w:val="17"/>
          <w:color w:val="012E6C"/>
        </w:rPr>
      </w:pPr>
      <w:r>
        <w:rPr>
          <w:rFonts w:ascii="Arial" w:cs="Arial" w:eastAsia="Arial" w:hAnsi="Arial"/>
          <w:sz w:val="17"/>
          <w:szCs w:val="17"/>
          <w:color w:val="012E6C"/>
        </w:rPr>
        <w:t>Independent accounting firm with the breadth of knowledge, support and expertise of its national office.</w:t>
      </w:r>
    </w:p>
    <w:p>
      <w:pPr>
        <w:spacing w:after="0" w:line="36" w:lineRule="exact"/>
        <w:rPr>
          <w:rFonts w:ascii="Arial" w:cs="Arial" w:eastAsia="Arial" w:hAnsi="Arial"/>
          <w:sz w:val="17"/>
          <w:szCs w:val="17"/>
          <w:color w:val="012E6C"/>
        </w:rPr>
      </w:pPr>
    </w:p>
    <w:p>
      <w:pPr>
        <w:ind w:left="243" w:hanging="243"/>
        <w:spacing w:after="0"/>
        <w:tabs>
          <w:tab w:leader="none" w:pos="243" w:val="left"/>
        </w:tabs>
        <w:numPr>
          <w:ilvl w:val="0"/>
          <w:numId w:val="64"/>
        </w:numPr>
        <w:rPr>
          <w:rFonts w:ascii="Arial" w:cs="Arial" w:eastAsia="Arial" w:hAnsi="Arial"/>
          <w:sz w:val="17"/>
          <w:szCs w:val="17"/>
          <w:color w:val="012E6C"/>
        </w:rPr>
      </w:pPr>
      <w:r>
        <w:rPr>
          <w:rFonts w:ascii="Arial" w:cs="Arial" w:eastAsia="Arial" w:hAnsi="Arial"/>
          <w:sz w:val="17"/>
          <w:szCs w:val="17"/>
          <w:color w:val="012E6C"/>
        </w:rPr>
        <w:t>Significant industry and government contracting expertise.</w:t>
      </w:r>
    </w:p>
    <w:p>
      <w:pPr>
        <w:spacing w:after="0" w:line="74" w:lineRule="exact"/>
        <w:rPr>
          <w:rFonts w:ascii="Arial" w:cs="Arial" w:eastAsia="Arial" w:hAnsi="Arial"/>
          <w:sz w:val="17"/>
          <w:szCs w:val="17"/>
          <w:color w:val="012E6C"/>
        </w:rPr>
      </w:pPr>
    </w:p>
    <w:p>
      <w:pPr>
        <w:ind w:left="243" w:hanging="243"/>
        <w:spacing w:after="0"/>
        <w:tabs>
          <w:tab w:leader="none" w:pos="243" w:val="left"/>
        </w:tabs>
        <w:numPr>
          <w:ilvl w:val="0"/>
          <w:numId w:val="64"/>
        </w:numPr>
        <w:rPr>
          <w:rFonts w:ascii="Arial" w:cs="Arial" w:eastAsia="Arial" w:hAnsi="Arial"/>
          <w:sz w:val="17"/>
          <w:szCs w:val="17"/>
          <w:color w:val="012E6C"/>
        </w:rPr>
      </w:pPr>
      <w:r>
        <w:rPr>
          <w:rFonts w:ascii="Arial" w:cs="Arial" w:eastAsia="Arial" w:hAnsi="Arial"/>
          <w:sz w:val="17"/>
          <w:szCs w:val="17"/>
          <w:color w:val="012E6C"/>
        </w:rPr>
        <w:t>Periodic mandated rotation of the audit firm’s lead engagement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012E6C"/>
        </w:rPr>
        <w:t>The Board unanimously recommends that you vote FOR the ratification of the appointment of Ernst &amp; Young as independent auditors for 2021.</w:t>
      </w:r>
    </w:p>
    <w:p>
      <w:pPr>
        <w:spacing w:after="0" w:line="200" w:lineRule="exact"/>
        <w:rPr>
          <w:sz w:val="20"/>
          <w:szCs w:val="20"/>
          <w:color w:val="auto"/>
        </w:rPr>
      </w:pPr>
    </w:p>
    <w:p>
      <w:pPr>
        <w:sectPr>
          <w:pgSz w:w="11900" w:h="16838" w:orient="portrait"/>
          <w:cols w:equalWidth="0" w:num="3">
            <w:col w:w="1260" w:space="197"/>
            <w:col w:w="6863" w:space="520"/>
            <w:col w:w="2360"/>
          </w:cols>
          <w:pgMar w:left="320" w:top="1340" w:right="379" w:bottom="1440" w:gutter="0" w:footer="0" w:header="0"/>
          <w:type w:val="continuous"/>
        </w:sectPr>
      </w:pP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Audit Committee has appointed Ernst &amp; Young LLP (Ernst &amp; Young), an independent registered public accounting firm, as the independent auditors to perform an integrated audit of the Corporation’s consolidated financial statements and internal control over financial reporting for the year ending December 31, 2021. The services provided to the Corporation by Ernst &amp; Young for the last two fiscal years are described under the caption “Fees Paid to Independent Auditors” on the following page.</w:t>
      </w:r>
    </w:p>
    <w:p>
      <w:pPr>
        <w:spacing w:after="0" w:line="99" w:lineRule="exact"/>
        <w:rPr>
          <w:sz w:val="20"/>
          <w:szCs w:val="20"/>
          <w:color w:val="auto"/>
        </w:rPr>
      </w:pPr>
    </w:p>
    <w:p>
      <w:pPr>
        <w:ind w:right="700"/>
        <w:spacing w:after="0" w:line="268" w:lineRule="auto"/>
        <w:rPr>
          <w:sz w:val="20"/>
          <w:szCs w:val="20"/>
          <w:color w:val="auto"/>
        </w:rPr>
      </w:pPr>
      <w:r>
        <w:rPr>
          <w:rFonts w:ascii="Arial" w:cs="Arial" w:eastAsia="Arial" w:hAnsi="Arial"/>
          <w:sz w:val="17"/>
          <w:szCs w:val="17"/>
          <w:color w:val="auto"/>
        </w:rPr>
        <w:t>The Audit Committee is directly responsible for the appointment, compensation, retention, oversight and termination of the Corporation’s independent auditors in accordance with the NYSE listing standards. The Audit Committee also is responsible for the audit fee negotiations associated with the retention of Ernst &amp; Young. The Audit Committee and its Chairman are involved in the selection of Ernst &amp; Young’s lead engagement partner. The Audit Committee regularly meets with Ernst &amp; Young without management present.</w:t>
      </w:r>
    </w:p>
    <w:p>
      <w:pPr>
        <w:spacing w:after="0" w:line="99"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Ernst &amp; Young has served as the Corporation’s independent auditors since 1994. The Audit Committee reviews the engagement of Ernst &amp; Young annually following completion of Ernst &amp; Young’s audit of the prior year’s financial statements. The Audit Committee also conducts a mid-year assessment of the quality of Ernst &amp; Young’s work. As part of its annual and mid-year assessment of Ernst &amp; Young, the Audit Committee has considered:</w:t>
      </w:r>
    </w:p>
    <w:p>
      <w:pPr>
        <w:spacing w:after="0" w:line="99" w:lineRule="exact"/>
        <w:rPr>
          <w:sz w:val="20"/>
          <w:szCs w:val="20"/>
          <w:color w:val="auto"/>
        </w:rPr>
      </w:pPr>
    </w:p>
    <w:p>
      <w:pPr>
        <w:ind w:left="220" w:hanging="131"/>
        <w:spacing w:after="0"/>
        <w:tabs>
          <w:tab w:leader="none" w:pos="220" w:val="left"/>
        </w:tabs>
        <w:numPr>
          <w:ilvl w:val="0"/>
          <w:numId w:val="65"/>
        </w:numPr>
        <w:rPr>
          <w:rFonts w:ascii="Arial" w:cs="Arial" w:eastAsia="Arial" w:hAnsi="Arial"/>
          <w:sz w:val="17"/>
          <w:szCs w:val="17"/>
          <w:color w:val="012E6C"/>
        </w:rPr>
      </w:pPr>
      <w:r>
        <w:rPr>
          <w:rFonts w:ascii="Arial" w:cs="Arial" w:eastAsia="Arial" w:hAnsi="Arial"/>
          <w:sz w:val="17"/>
          <w:szCs w:val="17"/>
          <w:color w:val="auto"/>
        </w:rPr>
        <w:t>the materials on independence provided by Ernst &amp; Young;</w:t>
      </w:r>
    </w:p>
    <w:p>
      <w:pPr>
        <w:spacing w:after="0" w:line="128" w:lineRule="exact"/>
        <w:rPr>
          <w:rFonts w:ascii="Arial" w:cs="Arial" w:eastAsia="Arial" w:hAnsi="Arial"/>
          <w:sz w:val="17"/>
          <w:szCs w:val="17"/>
          <w:color w:val="012E6C"/>
        </w:rPr>
      </w:pPr>
    </w:p>
    <w:p>
      <w:pPr>
        <w:ind w:left="220" w:hanging="131"/>
        <w:spacing w:after="0"/>
        <w:tabs>
          <w:tab w:leader="none" w:pos="220" w:val="left"/>
        </w:tabs>
        <w:numPr>
          <w:ilvl w:val="0"/>
          <w:numId w:val="65"/>
        </w:numPr>
        <w:rPr>
          <w:rFonts w:ascii="Arial" w:cs="Arial" w:eastAsia="Arial" w:hAnsi="Arial"/>
          <w:sz w:val="17"/>
          <w:szCs w:val="17"/>
          <w:color w:val="012E6C"/>
        </w:rPr>
      </w:pPr>
      <w:r>
        <w:rPr>
          <w:rFonts w:ascii="Arial" w:cs="Arial" w:eastAsia="Arial" w:hAnsi="Arial"/>
          <w:sz w:val="17"/>
          <w:szCs w:val="17"/>
          <w:color w:val="auto"/>
        </w:rPr>
        <w:t>work quality;</w:t>
      </w:r>
    </w:p>
    <w:p>
      <w:pPr>
        <w:spacing w:after="0" w:line="128" w:lineRule="exact"/>
        <w:rPr>
          <w:rFonts w:ascii="Arial" w:cs="Arial" w:eastAsia="Arial" w:hAnsi="Arial"/>
          <w:sz w:val="17"/>
          <w:szCs w:val="17"/>
          <w:color w:val="012E6C"/>
        </w:rPr>
      </w:pPr>
    </w:p>
    <w:p>
      <w:pPr>
        <w:ind w:left="220" w:hanging="131"/>
        <w:spacing w:after="0"/>
        <w:tabs>
          <w:tab w:leader="none" w:pos="220" w:val="left"/>
        </w:tabs>
        <w:numPr>
          <w:ilvl w:val="0"/>
          <w:numId w:val="65"/>
        </w:numPr>
        <w:rPr>
          <w:rFonts w:ascii="Arial" w:cs="Arial" w:eastAsia="Arial" w:hAnsi="Arial"/>
          <w:sz w:val="17"/>
          <w:szCs w:val="17"/>
          <w:color w:val="012E6C"/>
        </w:rPr>
      </w:pPr>
      <w:r>
        <w:rPr>
          <w:rFonts w:ascii="Arial" w:cs="Arial" w:eastAsia="Arial" w:hAnsi="Arial"/>
          <w:sz w:val="17"/>
          <w:szCs w:val="17"/>
          <w:color w:val="auto"/>
        </w:rPr>
        <w:t>management’s level of satisfaction with its services;</w:t>
      </w:r>
    </w:p>
    <w:p>
      <w:pPr>
        <w:spacing w:after="0" w:line="128" w:lineRule="exact"/>
        <w:rPr>
          <w:rFonts w:ascii="Arial" w:cs="Arial" w:eastAsia="Arial" w:hAnsi="Arial"/>
          <w:sz w:val="17"/>
          <w:szCs w:val="17"/>
          <w:color w:val="012E6C"/>
        </w:rPr>
      </w:pPr>
    </w:p>
    <w:p>
      <w:pPr>
        <w:ind w:left="220" w:hanging="131"/>
        <w:spacing w:after="0"/>
        <w:tabs>
          <w:tab w:leader="none" w:pos="220" w:val="left"/>
        </w:tabs>
        <w:numPr>
          <w:ilvl w:val="0"/>
          <w:numId w:val="65"/>
        </w:numPr>
        <w:rPr>
          <w:rFonts w:ascii="Arial" w:cs="Arial" w:eastAsia="Arial" w:hAnsi="Arial"/>
          <w:sz w:val="17"/>
          <w:szCs w:val="17"/>
          <w:color w:val="012E6C"/>
        </w:rPr>
      </w:pPr>
      <w:r>
        <w:rPr>
          <w:rFonts w:ascii="Arial" w:cs="Arial" w:eastAsia="Arial" w:hAnsi="Arial"/>
          <w:sz w:val="17"/>
          <w:szCs w:val="17"/>
          <w:color w:val="auto"/>
        </w:rPr>
        <w:t>the adequacy of Ernst &amp; Young’s staffing;</w:t>
      </w:r>
    </w:p>
    <w:p>
      <w:pPr>
        <w:spacing w:after="0" w:line="128" w:lineRule="exact"/>
        <w:rPr>
          <w:rFonts w:ascii="Arial" w:cs="Arial" w:eastAsia="Arial" w:hAnsi="Arial"/>
          <w:sz w:val="17"/>
          <w:szCs w:val="17"/>
          <w:color w:val="012E6C"/>
        </w:rPr>
      </w:pPr>
    </w:p>
    <w:p>
      <w:pPr>
        <w:ind w:left="220" w:hanging="131"/>
        <w:spacing w:after="0"/>
        <w:tabs>
          <w:tab w:leader="none" w:pos="220" w:val="left"/>
        </w:tabs>
        <w:numPr>
          <w:ilvl w:val="0"/>
          <w:numId w:val="65"/>
        </w:numPr>
        <w:rPr>
          <w:rFonts w:ascii="Arial" w:cs="Arial" w:eastAsia="Arial" w:hAnsi="Arial"/>
          <w:sz w:val="17"/>
          <w:szCs w:val="17"/>
          <w:color w:val="012E6C"/>
        </w:rPr>
      </w:pPr>
      <w:r>
        <w:rPr>
          <w:rFonts w:ascii="Arial" w:cs="Arial" w:eastAsia="Arial" w:hAnsi="Arial"/>
          <w:sz w:val="17"/>
          <w:szCs w:val="17"/>
          <w:color w:val="auto"/>
        </w:rPr>
        <w:t>the breadth of knowledge, support and expertise of its national office;</w:t>
      </w:r>
    </w:p>
    <w:p>
      <w:pPr>
        <w:spacing w:after="0" w:line="128" w:lineRule="exact"/>
        <w:rPr>
          <w:rFonts w:ascii="Arial" w:cs="Arial" w:eastAsia="Arial" w:hAnsi="Arial"/>
          <w:sz w:val="17"/>
          <w:szCs w:val="17"/>
          <w:color w:val="012E6C"/>
        </w:rPr>
      </w:pPr>
    </w:p>
    <w:p>
      <w:pPr>
        <w:ind w:left="220" w:hanging="131"/>
        <w:spacing w:after="0"/>
        <w:tabs>
          <w:tab w:leader="none" w:pos="220" w:val="left"/>
        </w:tabs>
        <w:numPr>
          <w:ilvl w:val="0"/>
          <w:numId w:val="65"/>
        </w:numPr>
        <w:rPr>
          <w:rFonts w:ascii="Arial" w:cs="Arial" w:eastAsia="Arial" w:hAnsi="Arial"/>
          <w:sz w:val="17"/>
          <w:szCs w:val="17"/>
          <w:color w:val="012E6C"/>
        </w:rPr>
      </w:pPr>
      <w:r>
        <w:rPr>
          <w:rFonts w:ascii="Arial" w:cs="Arial" w:eastAsia="Arial" w:hAnsi="Arial"/>
          <w:sz w:val="17"/>
          <w:szCs w:val="17"/>
          <w:color w:val="auto"/>
        </w:rPr>
        <w:t>the length of time Ernst &amp; Young has been engaged;</w:t>
      </w:r>
    </w:p>
    <w:p>
      <w:pPr>
        <w:spacing w:after="0" w:line="128" w:lineRule="exact"/>
        <w:rPr>
          <w:rFonts w:ascii="Arial" w:cs="Arial" w:eastAsia="Arial" w:hAnsi="Arial"/>
          <w:sz w:val="17"/>
          <w:szCs w:val="17"/>
          <w:color w:val="012E6C"/>
        </w:rPr>
      </w:pPr>
    </w:p>
    <w:p>
      <w:pPr>
        <w:ind w:left="260" w:right="160" w:hanging="171"/>
        <w:spacing w:after="0" w:line="276" w:lineRule="auto"/>
        <w:tabs>
          <w:tab w:leader="none" w:pos="225" w:val="left"/>
        </w:tabs>
        <w:numPr>
          <w:ilvl w:val="0"/>
          <w:numId w:val="65"/>
        </w:numPr>
        <w:rPr>
          <w:rFonts w:ascii="Arial" w:cs="Arial" w:eastAsia="Arial" w:hAnsi="Arial"/>
          <w:sz w:val="17"/>
          <w:szCs w:val="17"/>
          <w:color w:val="012E6C"/>
        </w:rPr>
      </w:pPr>
      <w:r>
        <w:rPr>
          <w:rFonts w:ascii="Arial" w:cs="Arial" w:eastAsia="Arial" w:hAnsi="Arial"/>
          <w:sz w:val="17"/>
          <w:szCs w:val="17"/>
          <w:color w:val="auto"/>
        </w:rPr>
        <w:t>external data regarding Ernst &amp; Young’s audit quality and performance, including recent Public Company Accounting Oversight Board (PCAOB) reports on Ernst &amp; Young and its peer firms;</w:t>
      </w:r>
    </w:p>
    <w:p>
      <w:pPr>
        <w:spacing w:after="0" w:line="90" w:lineRule="exact"/>
        <w:rPr>
          <w:rFonts w:ascii="Arial" w:cs="Arial" w:eastAsia="Arial" w:hAnsi="Arial"/>
          <w:sz w:val="17"/>
          <w:szCs w:val="17"/>
          <w:color w:val="012E6C"/>
        </w:rPr>
      </w:pPr>
    </w:p>
    <w:p>
      <w:pPr>
        <w:ind w:left="260" w:right="240" w:hanging="171"/>
        <w:spacing w:after="0" w:line="276" w:lineRule="auto"/>
        <w:tabs>
          <w:tab w:leader="none" w:pos="225" w:val="left"/>
        </w:tabs>
        <w:numPr>
          <w:ilvl w:val="0"/>
          <w:numId w:val="65"/>
        </w:numPr>
        <w:rPr>
          <w:rFonts w:ascii="Arial" w:cs="Arial" w:eastAsia="Arial" w:hAnsi="Arial"/>
          <w:sz w:val="17"/>
          <w:szCs w:val="17"/>
          <w:color w:val="012E6C"/>
        </w:rPr>
      </w:pPr>
      <w:r>
        <w:rPr>
          <w:rFonts w:ascii="Arial" w:cs="Arial" w:eastAsia="Arial" w:hAnsi="Arial"/>
          <w:sz w:val="17"/>
          <w:szCs w:val="17"/>
          <w:color w:val="auto"/>
        </w:rPr>
        <w:t>Ernst &amp; Young’s institutional knowledge and expertise with respect to the Corporation’s business and government contracting practices, quality and cost-effective services;</w:t>
      </w:r>
    </w:p>
    <w:p>
      <w:pPr>
        <w:spacing w:after="0" w:line="90" w:lineRule="exact"/>
        <w:rPr>
          <w:rFonts w:ascii="Arial" w:cs="Arial" w:eastAsia="Arial" w:hAnsi="Arial"/>
          <w:sz w:val="17"/>
          <w:szCs w:val="17"/>
          <w:color w:val="012E6C"/>
        </w:rPr>
      </w:pPr>
    </w:p>
    <w:p>
      <w:pPr>
        <w:ind w:left="220" w:hanging="131"/>
        <w:spacing w:after="0"/>
        <w:tabs>
          <w:tab w:leader="none" w:pos="220" w:val="left"/>
        </w:tabs>
        <w:numPr>
          <w:ilvl w:val="0"/>
          <w:numId w:val="65"/>
        </w:numPr>
        <w:rPr>
          <w:rFonts w:ascii="Arial" w:cs="Arial" w:eastAsia="Arial" w:hAnsi="Arial"/>
          <w:sz w:val="17"/>
          <w:szCs w:val="17"/>
          <w:color w:val="012E6C"/>
        </w:rPr>
      </w:pPr>
      <w:r>
        <w:rPr>
          <w:rFonts w:ascii="Arial" w:cs="Arial" w:eastAsia="Arial" w:hAnsi="Arial"/>
          <w:sz w:val="17"/>
          <w:szCs w:val="17"/>
          <w:color w:val="auto"/>
        </w:rPr>
        <w:t>familiarity with the Corporation’s account;</w:t>
      </w:r>
    </w:p>
    <w:p>
      <w:pPr>
        <w:spacing w:after="0" w:line="128" w:lineRule="exact"/>
        <w:rPr>
          <w:rFonts w:ascii="Arial" w:cs="Arial" w:eastAsia="Arial" w:hAnsi="Arial"/>
          <w:sz w:val="17"/>
          <w:szCs w:val="17"/>
          <w:color w:val="012E6C"/>
        </w:rPr>
      </w:pPr>
    </w:p>
    <w:p>
      <w:pPr>
        <w:ind w:left="220" w:hanging="131"/>
        <w:spacing w:after="0"/>
        <w:tabs>
          <w:tab w:leader="none" w:pos="220" w:val="left"/>
        </w:tabs>
        <w:numPr>
          <w:ilvl w:val="0"/>
          <w:numId w:val="65"/>
        </w:numPr>
        <w:rPr>
          <w:rFonts w:ascii="Arial" w:cs="Arial" w:eastAsia="Arial" w:hAnsi="Arial"/>
          <w:sz w:val="17"/>
          <w:szCs w:val="17"/>
          <w:color w:val="012E6C"/>
        </w:rPr>
      </w:pPr>
      <w:r>
        <w:rPr>
          <w:rFonts w:ascii="Arial" w:cs="Arial" w:eastAsia="Arial" w:hAnsi="Arial"/>
          <w:sz w:val="17"/>
          <w:szCs w:val="17"/>
          <w:color w:val="auto"/>
        </w:rPr>
        <w:t>level of expertise in accounting issues relating to government contracts; and</w:t>
      </w:r>
    </w:p>
    <w:p>
      <w:pPr>
        <w:spacing w:after="0" w:line="128" w:lineRule="exact"/>
        <w:rPr>
          <w:rFonts w:ascii="Arial" w:cs="Arial" w:eastAsia="Arial" w:hAnsi="Arial"/>
          <w:sz w:val="17"/>
          <w:szCs w:val="17"/>
          <w:color w:val="012E6C"/>
        </w:rPr>
      </w:pPr>
    </w:p>
    <w:p>
      <w:pPr>
        <w:ind w:left="220" w:hanging="131"/>
        <w:spacing w:after="0"/>
        <w:tabs>
          <w:tab w:leader="none" w:pos="220" w:val="left"/>
        </w:tabs>
        <w:numPr>
          <w:ilvl w:val="0"/>
          <w:numId w:val="65"/>
        </w:numPr>
        <w:rPr>
          <w:rFonts w:ascii="Arial" w:cs="Arial" w:eastAsia="Arial" w:hAnsi="Arial"/>
          <w:sz w:val="17"/>
          <w:szCs w:val="17"/>
          <w:color w:val="012E6C"/>
        </w:rPr>
      </w:pPr>
      <w:r>
        <w:rPr>
          <w:rFonts w:ascii="Arial" w:cs="Arial" w:eastAsia="Arial" w:hAnsi="Arial"/>
          <w:sz w:val="17"/>
          <w:szCs w:val="17"/>
          <w:color w:val="auto"/>
        </w:rPr>
        <w:t>Ernst &amp; Young’s performance in providing independent analysis of management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282575</wp:posOffset>
            </wp:positionV>
            <wp:extent cx="969010" cy="2228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36</w:t>
      </w:r>
    </w:p>
    <w:p>
      <w:pPr>
        <w:sectPr>
          <w:pgSz w:w="11900" w:h="16838" w:orient="portrait"/>
          <w:cols w:equalWidth="0" w:num="1">
            <w:col w:w="11200"/>
          </w:cols>
          <w:pgMar w:left="320" w:top="1340" w:right="37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5"/>
          <w:szCs w:val="15"/>
          <w:color w:val="003478"/>
        </w:rPr>
        <w:t>Audit Matters</w:t>
      </w:r>
    </w:p>
    <w:p>
      <w:pPr>
        <w:spacing w:after="0" w:line="200" w:lineRule="exact"/>
        <w:rPr>
          <w:sz w:val="20"/>
          <w:szCs w:val="20"/>
          <w:color w:val="auto"/>
        </w:rPr>
      </w:pPr>
    </w:p>
    <w:p>
      <w:pPr>
        <w:spacing w:after="0" w:line="35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Stockholder approval of the appointment is not required. However, the Board believes that obtaining stockholder ratification of the appointment is a sound corporate governance practice. If the stockholders do not vote on an advisory basis in favor of Ernst &amp; Young, the Audit Committee will reconsider whether to hire the firm and may retain Ernst &amp; Young or hire another firm without resubmitting the matter for stockholders’ approval. The Audit Committee retains the discretion at any time to appoint a different independent auditor.</w:t>
      </w:r>
    </w:p>
    <w:p>
      <w:pPr>
        <w:spacing w:after="0" w:line="99" w:lineRule="exact"/>
        <w:rPr>
          <w:sz w:val="20"/>
          <w:szCs w:val="20"/>
          <w:color w:val="auto"/>
        </w:rPr>
      </w:pPr>
    </w:p>
    <w:p>
      <w:pPr>
        <w:ind w:right="600"/>
        <w:spacing w:after="0" w:line="276" w:lineRule="auto"/>
        <w:rPr>
          <w:sz w:val="20"/>
          <w:szCs w:val="20"/>
          <w:color w:val="auto"/>
        </w:rPr>
      </w:pPr>
      <w:r>
        <w:rPr>
          <w:rFonts w:ascii="Arial" w:cs="Arial" w:eastAsia="Arial" w:hAnsi="Arial"/>
          <w:sz w:val="17"/>
          <w:szCs w:val="17"/>
          <w:color w:val="auto"/>
        </w:rPr>
        <w:t>Representatives of Ernst &amp; Young are expected to be present at the Annual Meeting, and such representatives will be available to respond to appropriate questions and will have the opportunity to make a statement if they desire.</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color w:val="475C90"/>
        </w:rPr>
        <w:t>Pre-Approval of Independent Auditors Services</w:t>
      </w:r>
    </w:p>
    <w:p>
      <w:pPr>
        <w:spacing w:after="0" w:line="1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Audit Committee pre-approves all audit, audit-related, tax and other services performed by the independent auditors. The Audit Committee pre-approves specific categories of services up to pre-established fee thresholds. Unless the type of service has previously been pre-approved, the Audit Committee must approve that specific service before the independent auditors may perform such service. In addition, separate approval is required if the amount of fees for any pre-approved category of service exceeds the fee thresholds established by the Audit Committee. The Audit Committee also has delegated to the Committee Chairman or any member pre-approval authority with respect to permitted services up to $500,000, provided that the Committee Chairman or any committee member must report any pre-approval decisions to the Audit Committee at its next scheduled meeting.</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475C90"/>
        </w:rPr>
        <w:t>Fees Paid to Independent Auditors</w:t>
      </w:r>
    </w:p>
    <w:p>
      <w:pPr>
        <w:spacing w:after="0" w:line="12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following table sets forth the fees billed by Ernst &amp; Young, the Corporation’s independent auditors, for audit services, audit-related services, tax services and all other services rendered for 2020 and 2019. All fees were pre-approved in accordance with the Audit Committee’s pre-approval policy. The Audit Committee considered and concluded that the provision of these services by Ernst &amp; Young was compatible with the maintenance of the auditor’s independence.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80" w:type="dxa"/>
            <w:vAlign w:val="bottom"/>
            <w:shd w:val="clear" w:color="auto" w:fill="E5E7EF"/>
          </w:tcPr>
          <w:p>
            <w:pPr>
              <w:spacing w:after="0"/>
              <w:rPr>
                <w:sz w:val="15"/>
                <w:szCs w:val="15"/>
                <w:color w:val="auto"/>
              </w:rPr>
            </w:pPr>
          </w:p>
        </w:tc>
        <w:tc>
          <w:tcPr>
            <w:tcW w:w="1300" w:type="dxa"/>
            <w:vAlign w:val="bottom"/>
            <w:shd w:val="clear" w:color="auto" w:fill="E5E7EF"/>
          </w:tcPr>
          <w:p>
            <w:pPr>
              <w:jc w:val="right"/>
              <w:ind w:right="131"/>
              <w:spacing w:after="0"/>
              <w:rPr>
                <w:sz w:val="20"/>
                <w:szCs w:val="20"/>
                <w:color w:val="auto"/>
              </w:rPr>
            </w:pPr>
            <w:r>
              <w:rPr>
                <w:rFonts w:ascii="Arial" w:cs="Arial" w:eastAsia="Arial" w:hAnsi="Arial"/>
                <w:sz w:val="13"/>
                <w:szCs w:val="13"/>
                <w:color w:val="auto"/>
              </w:rPr>
              <w:t>2019</w:t>
            </w:r>
          </w:p>
        </w:tc>
        <w:tc>
          <w:tcPr>
            <w:tcW w:w="9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2020</w:t>
            </w:r>
          </w:p>
        </w:tc>
      </w:tr>
      <w:tr>
        <w:trPr>
          <w:trHeight w:val="237"/>
        </w:trPr>
        <w:tc>
          <w:tcPr>
            <w:tcW w:w="8980" w:type="dxa"/>
            <w:vAlign w:val="bottom"/>
            <w:tcBorders>
              <w:bottom w:val="single" w:sz="8" w:color="E5E7EF"/>
            </w:tcBorders>
            <w:shd w:val="clear" w:color="auto" w:fill="E5E7EF"/>
          </w:tcPr>
          <w:p>
            <w:pPr>
              <w:spacing w:after="0"/>
              <w:rPr>
                <w:sz w:val="20"/>
                <w:szCs w:val="20"/>
                <w:color w:val="auto"/>
              </w:rPr>
            </w:pPr>
          </w:p>
        </w:tc>
        <w:tc>
          <w:tcPr>
            <w:tcW w:w="1300" w:type="dxa"/>
            <w:vAlign w:val="bottom"/>
            <w:tcBorders>
              <w:bottom w:val="single" w:sz="8" w:color="E5E7EF"/>
            </w:tcBorders>
            <w:shd w:val="clear" w:color="auto" w:fill="E5E7EF"/>
          </w:tcPr>
          <w:p>
            <w:pPr>
              <w:jc w:val="right"/>
              <w:ind w:right="131"/>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980" w:type="dxa"/>
            <w:vAlign w:val="bottom"/>
            <w:tcBorders>
              <w:top w:val="single" w:sz="8" w:color="959595"/>
              <w:bottom w:val="single" w:sz="8" w:color="959595"/>
            </w:tcBorders>
          </w:tcPr>
          <w:p>
            <w:pPr>
              <w:ind w:left="20"/>
              <w:spacing w:after="0" w:line="182" w:lineRule="exact"/>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(a)</w:t>
            </w:r>
          </w:p>
        </w:tc>
        <w:tc>
          <w:tcPr>
            <w:tcW w:w="1300" w:type="dxa"/>
            <w:vAlign w:val="bottom"/>
            <w:tcBorders>
              <w:top w:val="single" w:sz="8" w:color="959595"/>
              <w:bottom w:val="single" w:sz="8" w:color="959595"/>
            </w:tcBorders>
          </w:tcPr>
          <w:p>
            <w:pPr>
              <w:jc w:val="right"/>
              <w:ind w:right="131"/>
              <w:spacing w:after="0"/>
              <w:rPr>
                <w:sz w:val="20"/>
                <w:szCs w:val="20"/>
                <w:color w:val="auto"/>
              </w:rPr>
            </w:pPr>
            <w:r>
              <w:rPr>
                <w:rFonts w:ascii="Arial" w:cs="Arial" w:eastAsia="Arial" w:hAnsi="Arial"/>
                <w:sz w:val="14"/>
                <w:szCs w:val="14"/>
                <w:color w:val="auto"/>
              </w:rPr>
              <w:t>22,775,000</w:t>
            </w:r>
          </w:p>
        </w:tc>
        <w:tc>
          <w:tcPr>
            <w:tcW w:w="94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23,500,000</w:t>
            </w:r>
          </w:p>
        </w:tc>
      </w:tr>
      <w:tr>
        <w:trPr>
          <w:trHeight w:val="183"/>
        </w:trPr>
        <w:tc>
          <w:tcPr>
            <w:tcW w:w="8980" w:type="dxa"/>
            <w:vAlign w:val="bottom"/>
            <w:tcBorders>
              <w:bottom w:val="single" w:sz="8" w:color="959595"/>
            </w:tcBorders>
          </w:tcPr>
          <w:p>
            <w:pPr>
              <w:ind w:left="20"/>
              <w:spacing w:after="0" w:line="182" w:lineRule="exact"/>
              <w:rPr>
                <w:sz w:val="20"/>
                <w:szCs w:val="20"/>
                <w:color w:val="auto"/>
              </w:rPr>
            </w:pPr>
            <w:r>
              <w:rPr>
                <w:rFonts w:ascii="Arial" w:cs="Arial" w:eastAsia="Arial" w:hAnsi="Arial"/>
                <w:sz w:val="14"/>
                <w:szCs w:val="14"/>
                <w:color w:val="auto"/>
              </w:rPr>
              <w:t>Audit-Related Fees</w:t>
            </w:r>
            <w:r>
              <w:rPr>
                <w:rFonts w:ascii="Arial" w:cs="Arial" w:eastAsia="Arial" w:hAnsi="Arial"/>
                <w:sz w:val="18"/>
                <w:szCs w:val="18"/>
                <w:color w:val="auto"/>
                <w:vertAlign w:val="superscript"/>
              </w:rPr>
              <w:t>(b)</w:t>
            </w:r>
          </w:p>
        </w:tc>
        <w:tc>
          <w:tcPr>
            <w:tcW w:w="130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195,000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310,000</w:t>
            </w:r>
          </w:p>
        </w:tc>
      </w:tr>
      <w:tr>
        <w:trPr>
          <w:trHeight w:val="183"/>
        </w:trPr>
        <w:tc>
          <w:tcPr>
            <w:tcW w:w="8980" w:type="dxa"/>
            <w:vAlign w:val="bottom"/>
            <w:tcBorders>
              <w:bottom w:val="single" w:sz="8" w:color="959595"/>
            </w:tcBorders>
          </w:tcPr>
          <w:p>
            <w:pPr>
              <w:ind w:left="20"/>
              <w:spacing w:after="0" w:line="182" w:lineRule="exact"/>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(c)</w:t>
            </w:r>
          </w:p>
        </w:tc>
        <w:tc>
          <w:tcPr>
            <w:tcW w:w="130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2,300,000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2,600,000</w:t>
            </w:r>
          </w:p>
        </w:tc>
      </w:tr>
      <w:tr>
        <w:trPr>
          <w:trHeight w:val="183"/>
        </w:trPr>
        <w:tc>
          <w:tcPr>
            <w:tcW w:w="898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auto"/>
              </w:rPr>
              <w:t>All Other Fees</w:t>
            </w:r>
          </w:p>
        </w:tc>
        <w:tc>
          <w:tcPr>
            <w:tcW w:w="1300" w:type="dxa"/>
            <w:vAlign w:val="bottom"/>
            <w:tcBorders>
              <w:bottom w:val="single" w:sz="8" w:color="808080"/>
            </w:tcBorders>
          </w:tcPr>
          <w:p>
            <w:pPr>
              <w:jc w:val="right"/>
              <w:ind w:right="131"/>
              <w:spacing w:after="0"/>
              <w:rPr>
                <w:sz w:val="20"/>
                <w:szCs w:val="20"/>
                <w:color w:val="auto"/>
              </w:rPr>
            </w:pPr>
            <w:r>
              <w:rPr>
                <w:rFonts w:ascii="Arial" w:cs="Arial" w:eastAsia="Arial" w:hAnsi="Arial"/>
                <w:sz w:val="14"/>
                <w:szCs w:val="14"/>
                <w:color w:val="auto"/>
              </w:rPr>
              <w:t>0</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0</w:t>
            </w:r>
          </w:p>
        </w:tc>
      </w:tr>
    </w:tbl>
    <w:p>
      <w:pPr>
        <w:spacing w:after="0" w:line="113" w:lineRule="exact"/>
        <w:rPr>
          <w:sz w:val="20"/>
          <w:szCs w:val="20"/>
          <w:color w:val="auto"/>
        </w:rPr>
      </w:pPr>
    </w:p>
    <w:p>
      <w:pPr>
        <w:ind w:left="260" w:right="240" w:hanging="252"/>
        <w:spacing w:after="0" w:line="219" w:lineRule="auto"/>
        <w:tabs>
          <w:tab w:leader="none" w:pos="266"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Audit fees are for services related to the annual audit of the Corporation’s consolidated financial statements, including the audit of internal control over financial reporting, the interim reviews of the Corporation’s quarterly financial statements, statutory audits of the Corporation’s foreign subsidiaries and consultations on accounting matters.</w:t>
      </w:r>
    </w:p>
    <w:p>
      <w:pPr>
        <w:spacing w:after="0" w:line="12"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Audit-related fees are primarily related to audits of the Corporation’s employee benefit plans and due diligence services in connection with acquisitions.</w:t>
      </w:r>
    </w:p>
    <w:p>
      <w:pPr>
        <w:spacing w:after="0" w:line="57" w:lineRule="exact"/>
        <w:rPr>
          <w:rFonts w:ascii="Arial" w:cs="Arial" w:eastAsia="Arial" w:hAnsi="Arial"/>
          <w:sz w:val="19"/>
          <w:szCs w:val="19"/>
          <w:color w:val="auto"/>
          <w:vertAlign w:val="superscript"/>
        </w:rPr>
      </w:pPr>
    </w:p>
    <w:p>
      <w:pPr>
        <w:ind w:left="260" w:right="280" w:hanging="252"/>
        <w:spacing w:after="0" w:line="219" w:lineRule="auto"/>
        <w:tabs>
          <w:tab w:leader="none" w:pos="261"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Tax fees are for domestic and international tax compliance and advisory services. Tax compliance fees were $1.7 million and $1.3 million in 2020 and 2019, respectively, and fees for advisory services were $0.9 million and $1.0 million in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37</w:t>
      </w:r>
    </w:p>
    <w:p>
      <w:pPr>
        <w:sectPr>
          <w:pgSz w:w="11900" w:h="16838" w:orient="portrait"/>
          <w:cols w:equalWidth="0" w:num="1">
            <w:col w:w="11240"/>
          </w:cols>
          <w:pgMar w:left="320" w:top="609"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color w:val="003478"/>
        </w:rPr>
        <w:t>Audit Matters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Audit Committee Report</w:t>
      </w:r>
    </w:p>
    <w:p>
      <w:pPr>
        <w:spacing w:after="0" w:line="123"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The Audit Committee of the Board of Directors is responsible for overseeing the Corporation’s accounting, auditing and financial reporting process, financial risk assessment and management process and for monitoring compliance with certain regulatory and compliance matters, on behalf of the Board of Directors.</w:t>
      </w:r>
    </w:p>
    <w:p>
      <w:pPr>
        <w:spacing w:after="0" w:line="96"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color w:val="auto"/>
        </w:rPr>
        <w:t>The Corporation’s management is responsible for preparing the quarterly and annual consolidated financial statements, the financial reporting process, and maintaining and evaluating disclosure controls and procedures and a system of internal control over financial reporting.</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addition to its oversight of the Corporation’s internal audit organization, the Audit Committee is directly responsible for the appointment, compensation, retention, oversight and termination of the Corporation’s independent auditors, Ernst &amp; Young, an independent registered public accounting firm. The independent auditors are responsible for performing an independent audit of the Corporation’s annual consolidated financial statements and internal control over financial reporting and expressing an opinion on the material conformity of those consolidated financial statements with U.S. generally accepted accounting principles and on the effectiveness of the Corporation’s internal control over financial reporting.</w:t>
      </w:r>
    </w:p>
    <w:p>
      <w:pPr>
        <w:spacing w:after="0" w:line="9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connection with the preparation of the Corporation’s consolidated financial statements as of and for the year ended December 31, 2020, the Audit Committee reviewed and discussed with management and Ernst &amp; Young the Corporation’s audited consolidated financial statements, including discussions regarding critical accounting policies, financial accounting and reporting principles and practices, the quality of such principles and practices, the reasonableness of significant judgments and estimates, and the effectiveness of internal control over financial reporting. The Audit Committee also discussed with Ernst &amp; Young, with and without management, the quality of the financial statements, clarity of the related disclosures, effectiveness of internal control over financial reporting and other items required by the applicable requirements of the Public Company Accounting Oversight Board (PCAOB) and the SEC. Additionally, the Audit Committee received and reviewed the written disclosures and letter from Ernst &amp; Young required by applicable requirements of the PCAOB regarding Ernst &amp; Young's communications with the Audit Committee concerning independence, and has discussed with Ernst &amp; Young its independence.</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Based on the Audit Committee’s reviews and discussions described in this report, the Audit Committee recommended to the Board of Directors that the audited consolidated financial statements as of and for the year ended December 31, 2020 be included in Lockheed Martin Corporation’s Annual Report on Form 10-K for 2020 for filing with the SEC. The Audit Committee also reappointed Ernst &amp; Young to serve as the Corporation’s independent auditors for 2021, and requested that this appointment be submitted to the Corporation’s stockholders for ratification at the Annual Meeting. The Board of Directors approved the Audit Committee’s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82550</wp:posOffset>
            </wp:positionV>
            <wp:extent cx="771525" cy="7715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82550</wp:posOffset>
            </wp:positionV>
            <wp:extent cx="771525" cy="7715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82550</wp:posOffset>
            </wp:positionV>
            <wp:extent cx="771525" cy="7715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82550</wp:posOffset>
            </wp:positionV>
            <wp:extent cx="771525" cy="7715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82550</wp:posOffset>
            </wp:positionV>
            <wp:extent cx="771525" cy="7715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2180" w:val="left"/>
          <w:tab w:leader="none" w:pos="4360" w:val="left"/>
          <w:tab w:leader="none" w:pos="6560" w:val="left"/>
          <w:tab w:leader="none" w:pos="8760" w:val="left"/>
        </w:tabs>
        <w:rPr>
          <w:sz w:val="20"/>
          <w:szCs w:val="20"/>
          <w:color w:val="auto"/>
        </w:rPr>
      </w:pPr>
      <w:r>
        <w:rPr>
          <w:rFonts w:ascii="Arial" w:cs="Arial" w:eastAsia="Arial" w:hAnsi="Arial"/>
          <w:sz w:val="17"/>
          <w:szCs w:val="17"/>
          <w:b w:val="1"/>
          <w:bCs w:val="1"/>
          <w:color w:val="auto"/>
        </w:rPr>
        <w:t>Thomas J. Falk</w:t>
      </w:r>
      <w:r>
        <w:rPr>
          <w:sz w:val="20"/>
          <w:szCs w:val="20"/>
          <w:color w:val="auto"/>
        </w:rPr>
        <w:tab/>
      </w:r>
      <w:r>
        <w:rPr>
          <w:rFonts w:ascii="Arial" w:cs="Arial" w:eastAsia="Arial" w:hAnsi="Arial"/>
          <w:sz w:val="17"/>
          <w:szCs w:val="17"/>
          <w:b w:val="1"/>
          <w:bCs w:val="1"/>
          <w:color w:val="auto"/>
        </w:rPr>
        <w:t>David B. Burritt</w:t>
      </w:r>
      <w:r>
        <w:rPr>
          <w:sz w:val="20"/>
          <w:szCs w:val="20"/>
          <w:color w:val="auto"/>
        </w:rPr>
        <w:tab/>
      </w:r>
      <w:r>
        <w:rPr>
          <w:rFonts w:ascii="Arial" w:cs="Arial" w:eastAsia="Arial" w:hAnsi="Arial"/>
          <w:sz w:val="17"/>
          <w:szCs w:val="17"/>
          <w:b w:val="1"/>
          <w:bCs w:val="1"/>
          <w:color w:val="auto"/>
        </w:rPr>
        <w:t>James O. Ellis, Jr.</w:t>
      </w:r>
      <w:r>
        <w:rPr>
          <w:sz w:val="20"/>
          <w:szCs w:val="20"/>
          <w:color w:val="auto"/>
        </w:rPr>
        <w:tab/>
      </w:r>
      <w:r>
        <w:rPr>
          <w:rFonts w:ascii="Arial" w:cs="Arial" w:eastAsia="Arial" w:hAnsi="Arial"/>
          <w:sz w:val="17"/>
          <w:szCs w:val="17"/>
          <w:b w:val="1"/>
          <w:bCs w:val="1"/>
          <w:color w:val="auto"/>
        </w:rPr>
        <w:t>Ilene S. Gordon</w:t>
      </w:r>
      <w:r>
        <w:rPr>
          <w:sz w:val="20"/>
          <w:szCs w:val="20"/>
          <w:color w:val="auto"/>
        </w:rPr>
        <w:tab/>
      </w:r>
      <w:r>
        <w:rPr>
          <w:rFonts w:ascii="Arial" w:cs="Arial" w:eastAsia="Arial" w:hAnsi="Arial"/>
          <w:sz w:val="17"/>
          <w:szCs w:val="17"/>
          <w:b w:val="1"/>
          <w:bCs w:val="1"/>
          <w:color w:val="auto"/>
        </w:rPr>
        <w:t>Debra L. Reed-Klages</w:t>
      </w:r>
    </w:p>
    <w:p>
      <w:pPr>
        <w:ind w:left="20"/>
        <w:spacing w:after="0"/>
        <w:rPr>
          <w:sz w:val="20"/>
          <w:szCs w:val="20"/>
          <w:color w:val="auto"/>
        </w:rPr>
      </w:pPr>
      <w:r>
        <w:rPr>
          <w:rFonts w:ascii="Arial" w:cs="Arial" w:eastAsia="Arial" w:hAnsi="Arial"/>
          <w:sz w:val="17"/>
          <w:szCs w:val="17"/>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282575</wp:posOffset>
            </wp:positionV>
            <wp:extent cx="969010" cy="2228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38</w:t>
      </w:r>
    </w:p>
    <w:p>
      <w:pPr>
        <w:sectPr>
          <w:pgSz w:w="11900" w:h="16838" w:orient="portrait"/>
          <w:cols w:equalWidth="0" w:num="1">
            <w:col w:w="11200"/>
          </w:cols>
          <w:pgMar w:left="320" w:top="609" w:right="379" w:bottom="1440" w:gutter="0" w:footer="0" w:header="0"/>
        </w:sectPr>
      </w:pPr>
    </w:p>
    <w:bookmarkStart w:id="42" w:name="page43"/>
    <w:bookmarkEnd w:id="42"/>
    <w:p>
      <w:pPr>
        <w:spacing w:after="0"/>
        <w:rPr>
          <w:sz w:val="20"/>
          <w:szCs w:val="20"/>
          <w:color w:val="auto"/>
        </w:rPr>
      </w:pPr>
      <w:r>
        <w:rPr>
          <w:rFonts w:ascii="Arial" w:cs="Arial" w:eastAsia="Arial" w:hAnsi="Arial"/>
          <w:sz w:val="43"/>
          <w:szCs w:val="43"/>
          <w:color w:val="002E6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834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834515"/>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480"/>
        <w:spacing w:after="0"/>
        <w:rPr>
          <w:sz w:val="20"/>
          <w:szCs w:val="20"/>
          <w:color w:val="auto"/>
        </w:rPr>
      </w:pPr>
      <w:r>
        <w:rPr>
          <w:rFonts w:ascii="Arial" w:cs="Arial" w:eastAsia="Arial" w:hAnsi="Arial"/>
          <w:sz w:val="39"/>
          <w:szCs w:val="39"/>
          <w:color w:val="012E6C"/>
          <w:vertAlign w:val="superscript"/>
        </w:rPr>
        <w:t>Proposal</w:t>
      </w:r>
      <w:r>
        <w:rPr>
          <w:rFonts w:ascii="Arial" w:cs="Arial" w:eastAsia="Arial" w:hAnsi="Arial"/>
          <w:sz w:val="29"/>
          <w:szCs w:val="29"/>
          <w:color w:val="002E6D"/>
        </w:rPr>
        <w:t xml:space="preserve">  Advisory Vote to Approve the Compensation of Our</w:t>
      </w:r>
    </w:p>
    <w:p>
      <w:pPr>
        <w:ind w:left="1460" w:hanging="361"/>
        <w:spacing w:after="0" w:line="180" w:lineRule="auto"/>
        <w:tabs>
          <w:tab w:leader="none" w:pos="1460" w:val="left"/>
        </w:tabs>
        <w:numPr>
          <w:ilvl w:val="0"/>
          <w:numId w:val="67"/>
        </w:numPr>
        <w:rPr>
          <w:rFonts w:ascii="Arial" w:cs="Arial" w:eastAsia="Arial" w:hAnsi="Arial"/>
          <w:sz w:val="48"/>
          <w:szCs w:val="48"/>
          <w:color w:val="012E6C"/>
          <w:vertAlign w:val="superscript"/>
        </w:rPr>
      </w:pPr>
      <w:r>
        <w:rPr>
          <w:rFonts w:ascii="Arial" w:cs="Arial" w:eastAsia="Arial" w:hAnsi="Arial"/>
          <w:sz w:val="26"/>
          <w:szCs w:val="26"/>
          <w:color w:val="002E6D"/>
        </w:rPr>
        <w:t>NEOs (Say-on-Pay)</w:t>
      </w:r>
    </w:p>
    <w:p>
      <w:pPr>
        <w:spacing w:after="0" w:line="218" w:lineRule="exact"/>
        <w:rPr>
          <w:rFonts w:ascii="Arial" w:cs="Arial" w:eastAsia="Arial" w:hAnsi="Arial"/>
          <w:sz w:val="48"/>
          <w:szCs w:val="48"/>
          <w:color w:val="012E6C"/>
          <w:vertAlign w:val="superscript"/>
        </w:rPr>
      </w:pPr>
    </w:p>
    <w:p>
      <w:pPr>
        <w:ind w:left="1620" w:right="620" w:hanging="163"/>
        <w:spacing w:after="0" w:line="276" w:lineRule="auto"/>
        <w:tabs>
          <w:tab w:leader="none" w:pos="1708" w:val="left"/>
        </w:tabs>
        <w:numPr>
          <w:ilvl w:val="1"/>
          <w:numId w:val="67"/>
        </w:numPr>
        <w:rPr>
          <w:rFonts w:ascii="Arial" w:cs="Arial" w:eastAsia="Arial" w:hAnsi="Arial"/>
          <w:sz w:val="17"/>
          <w:szCs w:val="17"/>
          <w:color w:val="012E6C"/>
        </w:rPr>
      </w:pPr>
      <w:r>
        <w:rPr>
          <w:rFonts w:ascii="Arial" w:cs="Arial" w:eastAsia="Arial" w:hAnsi="Arial"/>
          <w:sz w:val="17"/>
          <w:szCs w:val="17"/>
          <w:color w:val="012E6C"/>
        </w:rPr>
        <w:t>Pay-for-performance alignment is built into the design of our annual and long-term incentive programs.</w:t>
      </w:r>
    </w:p>
    <w:p>
      <w:pPr>
        <w:spacing w:after="0" w:line="36" w:lineRule="exact"/>
        <w:rPr>
          <w:rFonts w:ascii="Arial" w:cs="Arial" w:eastAsia="Arial" w:hAnsi="Arial"/>
          <w:sz w:val="17"/>
          <w:szCs w:val="17"/>
          <w:color w:val="012E6C"/>
        </w:rPr>
      </w:pPr>
    </w:p>
    <w:p>
      <w:pPr>
        <w:ind w:left="1620" w:hanging="163"/>
        <w:spacing w:after="0" w:line="225" w:lineRule="auto"/>
        <w:tabs>
          <w:tab w:leader="none" w:pos="1708" w:val="left"/>
        </w:tabs>
        <w:numPr>
          <w:ilvl w:val="1"/>
          <w:numId w:val="67"/>
        </w:numPr>
        <w:rPr>
          <w:rFonts w:ascii="Arial" w:cs="Arial" w:eastAsia="Arial" w:hAnsi="Arial"/>
          <w:sz w:val="17"/>
          <w:szCs w:val="17"/>
          <w:color w:val="012E6C"/>
        </w:rPr>
      </w:pPr>
      <w:r>
        <w:rPr>
          <w:rFonts w:ascii="Arial" w:cs="Arial" w:eastAsia="Arial" w:hAnsi="Arial"/>
          <w:sz w:val="17"/>
          <w:szCs w:val="17"/>
          <w:color w:val="012E6C"/>
        </w:rPr>
        <w:t>Executive compensation targets are set by reference to 50</w:t>
      </w:r>
      <w:r>
        <w:rPr>
          <w:rFonts w:ascii="Arial" w:cs="Arial" w:eastAsia="Arial" w:hAnsi="Arial"/>
          <w:sz w:val="22"/>
          <w:szCs w:val="22"/>
          <w:color w:val="012E6C"/>
          <w:vertAlign w:val="superscript"/>
        </w:rPr>
        <w:t>th</w:t>
      </w:r>
      <w:r>
        <w:rPr>
          <w:rFonts w:ascii="Arial" w:cs="Arial" w:eastAsia="Arial" w:hAnsi="Arial"/>
          <w:sz w:val="17"/>
          <w:szCs w:val="17"/>
          <w:color w:val="012E6C"/>
        </w:rPr>
        <w:t xml:space="preserve"> percentile of peers with actual payouts dependent on performance outcomes.</w:t>
      </w:r>
    </w:p>
    <w:p>
      <w:pPr>
        <w:spacing w:after="0" w:line="65" w:lineRule="exact"/>
        <w:rPr>
          <w:rFonts w:ascii="Arial" w:cs="Arial" w:eastAsia="Arial" w:hAnsi="Arial"/>
          <w:sz w:val="17"/>
          <w:szCs w:val="17"/>
          <w:color w:val="012E6C"/>
        </w:rPr>
      </w:pPr>
    </w:p>
    <w:p>
      <w:pPr>
        <w:ind w:left="1620" w:right="240" w:hanging="163"/>
        <w:spacing w:after="0" w:line="276" w:lineRule="auto"/>
        <w:tabs>
          <w:tab w:leader="none" w:pos="1708" w:val="left"/>
        </w:tabs>
        <w:numPr>
          <w:ilvl w:val="1"/>
          <w:numId w:val="67"/>
        </w:numPr>
        <w:rPr>
          <w:rFonts w:ascii="Arial" w:cs="Arial" w:eastAsia="Arial" w:hAnsi="Arial"/>
          <w:sz w:val="17"/>
          <w:szCs w:val="17"/>
          <w:color w:val="012E6C"/>
        </w:rPr>
      </w:pPr>
      <w:r>
        <w:rPr>
          <w:rFonts w:ascii="Arial" w:cs="Arial" w:eastAsia="Arial" w:hAnsi="Arial"/>
          <w:sz w:val="17"/>
          <w:szCs w:val="17"/>
          <w:color w:val="012E6C"/>
        </w:rPr>
        <w:t>More than 94% of votes cast at the 2020 annual meeting approved Say-on-Pay and we continue to engage with our stockholders on an on-going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012E6C"/>
        </w:rPr>
        <w:t>The Board unanimously recommends that you vote FOR the advisory vote to approve the compensation of our named executive officers.</w:t>
      </w:r>
    </w:p>
    <w:p>
      <w:pPr>
        <w:spacing w:after="0" w:line="476" w:lineRule="exact"/>
        <w:rPr>
          <w:sz w:val="20"/>
          <w:szCs w:val="20"/>
          <w:color w:val="auto"/>
        </w:rPr>
      </w:pPr>
    </w:p>
    <w:p>
      <w:pPr>
        <w:sectPr>
          <w:pgSz w:w="11900" w:h="16838" w:orient="portrait"/>
          <w:cols w:equalWidth="0" w:num="2">
            <w:col w:w="8520" w:space="320"/>
            <w:col w:w="2380"/>
          </w:cols>
          <w:pgMar w:left="320" w:top="1340" w:right="359" w:bottom="1440" w:gutter="0" w:footer="0" w:header="0"/>
          <w:type w:val="continuous"/>
        </w:sectPr>
      </w:pP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As required by Section 14A of the Securities Exchange Act of 1934, as amended, we ask our stockholders to vote annually to approve, on an advisory (non-binding) basis, the compensation of our named executive officers (NEOs) as described in detail in the Compensation Discussion and Analysis (CD&amp;A) and the accompanying tables in the Executive Compensation section of this Proxy Statement. This vote is commonly known as Say-on-Pay.</w:t>
      </w:r>
    </w:p>
    <w:p>
      <w:pPr>
        <w:spacing w:after="0" w:line="9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Stockholders should review the entire Proxy Statement and, in particular, the CD&amp;A beginning on page 40 and the Executive Compensation Tables beginning on page 58, for information on our executive compensation programs and other important items.</w:t>
      </w:r>
    </w:p>
    <w:p>
      <w:pPr>
        <w:spacing w:after="0" w:line="90"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auto"/>
        </w:rPr>
        <w:t>We believe that the information provided in this Proxy Statement demonstrates that our executive compensation programs are designed to link pay to performance. Accordingly, the Board recommends that stockholders approve the compensation of our NEOs by approving the following Say-on-Pay resolution:</w:t>
      </w:r>
    </w:p>
    <w:p>
      <w:pPr>
        <w:spacing w:after="0" w:line="9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RESOLVED, that the stockholders of Lockheed Martin Corporation approve, on an advisory basis, the compensation of the named executive officers identified in the “Summary Compensation Table,” as disclosed in the Lockheed Martin Corporation 2021 Proxy Statement pursuant to Item 402 of Regulation S-K, including the Compensation Discussion and Analysis, the compensation tables and the accompanying footnotes and narratives. This vote is not intended to address any specific item of compensation, but rather our overall compensation policies and procedures related to the NEOs. Although the results of the Say-on-Pay vote do not bind the Corporation, the Board will, as it does each year, continue to review the results carefully and plans to continue to seek the views of our stockholders throughout the year.</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color w:val="002E6D"/>
        </w:rPr>
        <w:t>Compensation Committee Report</w:t>
      </w:r>
    </w:p>
    <w:p>
      <w:pPr>
        <w:spacing w:after="0" w:line="1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Management Development and Compensation Committee makes recommendations to the Board of Directors concerning the compensation of the Corporation’s NEOs. We have reviewed and discussed with management the Compensation Discussion and Analysis that will be included in the Corporation’s Schedule 14A Proxy Statement, filed pursuant to Section 14(a) of the Securities Exchange Act of 1934, as amended. Based on that review and discussion, we recommended to the Board of Directors that the Compensation Discussion and Analysis be included in the Proxy Statement. The Board approved our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151130</wp:posOffset>
            </wp:positionV>
            <wp:extent cx="771525" cy="7715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151130</wp:posOffset>
            </wp:positionV>
            <wp:extent cx="771525" cy="7715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151130</wp:posOffset>
            </wp:positionV>
            <wp:extent cx="762635" cy="7715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2635" cy="77152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151130</wp:posOffset>
            </wp:positionV>
            <wp:extent cx="771525" cy="7715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3080" w:val="left"/>
          <w:tab w:leader="none" w:pos="6180" w:val="left"/>
          <w:tab w:leader="none" w:pos="9300" w:val="left"/>
        </w:tabs>
        <w:rPr>
          <w:sz w:val="20"/>
          <w:szCs w:val="20"/>
          <w:color w:val="auto"/>
        </w:rPr>
      </w:pPr>
      <w:r>
        <w:rPr>
          <w:rFonts w:ascii="Arial" w:cs="Arial" w:eastAsia="Arial" w:hAnsi="Arial"/>
          <w:sz w:val="17"/>
          <w:szCs w:val="17"/>
          <w:b w:val="1"/>
          <w:bCs w:val="1"/>
          <w:color w:val="auto"/>
        </w:rPr>
        <w:t>Ilene S. Gordon</w:t>
      </w:r>
      <w:r>
        <w:rPr>
          <w:sz w:val="20"/>
          <w:szCs w:val="20"/>
          <w:color w:val="auto"/>
        </w:rPr>
        <w:tab/>
      </w:r>
      <w:r>
        <w:rPr>
          <w:rFonts w:ascii="Arial" w:cs="Arial" w:eastAsia="Arial" w:hAnsi="Arial"/>
          <w:sz w:val="17"/>
          <w:szCs w:val="17"/>
          <w:b w:val="1"/>
          <w:bCs w:val="1"/>
          <w:color w:val="auto"/>
        </w:rPr>
        <w:t>Thomas J. Falk</w:t>
      </w:r>
      <w:r>
        <w:rPr>
          <w:sz w:val="20"/>
          <w:szCs w:val="20"/>
          <w:color w:val="auto"/>
        </w:rPr>
        <w:tab/>
      </w:r>
      <w:r>
        <w:rPr>
          <w:rFonts w:ascii="Arial" w:cs="Arial" w:eastAsia="Arial" w:hAnsi="Arial"/>
          <w:sz w:val="17"/>
          <w:szCs w:val="17"/>
          <w:b w:val="1"/>
          <w:bCs w:val="1"/>
          <w:color w:val="auto"/>
        </w:rPr>
        <w:t>Vicki A. Hollub</w:t>
      </w:r>
      <w:r>
        <w:rPr>
          <w:sz w:val="20"/>
          <w:szCs w:val="20"/>
          <w:color w:val="auto"/>
        </w:rPr>
        <w:tab/>
      </w:r>
      <w:r>
        <w:rPr>
          <w:rFonts w:ascii="Arial" w:cs="Arial" w:eastAsia="Arial" w:hAnsi="Arial"/>
          <w:sz w:val="17"/>
          <w:szCs w:val="17"/>
          <w:b w:val="1"/>
          <w:bCs w:val="1"/>
          <w:color w:val="auto"/>
        </w:rPr>
        <w:t>Debra L. Reed-Klages</w:t>
      </w:r>
    </w:p>
    <w:p>
      <w:pPr>
        <w:ind w:left="20"/>
        <w:spacing w:after="0"/>
        <w:rPr>
          <w:sz w:val="20"/>
          <w:szCs w:val="20"/>
          <w:color w:val="auto"/>
        </w:rPr>
      </w:pPr>
      <w:r>
        <w:rPr>
          <w:rFonts w:ascii="Arial" w:cs="Arial" w:eastAsia="Arial" w:hAnsi="Arial"/>
          <w:sz w:val="17"/>
          <w:szCs w:val="17"/>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39</w:t>
      </w:r>
    </w:p>
    <w:p>
      <w:pPr>
        <w:sectPr>
          <w:pgSz w:w="11900" w:h="16838" w:orient="portrait"/>
          <w:cols w:equalWidth="0" w:num="1">
            <w:col w:w="11220"/>
          </w:cols>
          <w:pgMar w:left="320" w:top="1340"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Compensation Discussion and Analysis (CD&amp;A)</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This CD&amp;A discusses the compensation decisions for the NEOs listed in the Summary Compensation Table on page 58.</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475C90"/>
        </w:rPr>
        <w:t>2020-2021 Leadership Changes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In 2020 and early 2021, there were the following leadership changes affecting the NEOs:</w:t>
      </w:r>
    </w:p>
    <w:p>
      <w:pPr>
        <w:spacing w:after="0" w:line="129" w:lineRule="exact"/>
        <w:rPr>
          <w:sz w:val="20"/>
          <w:szCs w:val="20"/>
          <w:color w:val="auto"/>
        </w:rPr>
      </w:pPr>
    </w:p>
    <w:p>
      <w:pPr>
        <w:ind w:left="260" w:hanging="171"/>
        <w:spacing w:after="0" w:line="276" w:lineRule="auto"/>
        <w:tabs>
          <w:tab w:leader="none" w:pos="236" w:val="left"/>
        </w:tabs>
        <w:numPr>
          <w:ilvl w:val="0"/>
          <w:numId w:val="68"/>
        </w:numPr>
        <w:rPr>
          <w:rFonts w:ascii="Arial" w:cs="Arial" w:eastAsia="Arial" w:hAnsi="Arial"/>
          <w:sz w:val="16"/>
          <w:szCs w:val="16"/>
          <w:color w:val="002E6D"/>
        </w:rPr>
      </w:pPr>
      <w:r>
        <w:rPr>
          <w:rFonts w:ascii="Arial" w:cs="Arial" w:eastAsia="Arial" w:hAnsi="Arial"/>
          <w:sz w:val="17"/>
          <w:szCs w:val="17"/>
          <w:color w:val="auto"/>
        </w:rPr>
        <w:t>James D. Taiclet was elected President and Chief Executive Officer effective June 15, 2020, succeeding Ms. Hewson, and was elected Chairman effective March 1, 2021;</w:t>
      </w:r>
    </w:p>
    <w:p>
      <w:pPr>
        <w:spacing w:after="0" w:line="90" w:lineRule="exact"/>
        <w:rPr>
          <w:rFonts w:ascii="Arial" w:cs="Arial" w:eastAsia="Arial" w:hAnsi="Arial"/>
          <w:sz w:val="16"/>
          <w:szCs w:val="16"/>
          <w:color w:val="002E6D"/>
        </w:rPr>
      </w:pPr>
    </w:p>
    <w:p>
      <w:pPr>
        <w:ind w:left="260" w:right="20" w:hanging="171"/>
        <w:spacing w:after="0" w:line="270" w:lineRule="auto"/>
        <w:tabs>
          <w:tab w:leader="none" w:pos="225" w:val="left"/>
        </w:tabs>
        <w:numPr>
          <w:ilvl w:val="0"/>
          <w:numId w:val="68"/>
        </w:numPr>
        <w:rPr>
          <w:rFonts w:ascii="Arial" w:cs="Arial" w:eastAsia="Arial" w:hAnsi="Arial"/>
          <w:sz w:val="17"/>
          <w:szCs w:val="17"/>
          <w:color w:val="002E6D"/>
        </w:rPr>
      </w:pPr>
      <w:r>
        <w:rPr>
          <w:rFonts w:ascii="Arial" w:cs="Arial" w:eastAsia="Arial" w:hAnsi="Arial"/>
          <w:sz w:val="17"/>
          <w:szCs w:val="17"/>
          <w:color w:val="auto"/>
        </w:rPr>
        <w:t>Marillyn A. Hewson transitioned to Executive Chairman effective June 15, 2020, after serving as President and Chief Executive Officer since January 2013 and Chairman of the Board since January 2014. Effective March 1, 2021, Ms. Hewson became Strategic Advisor to the CEO and is expected to serve in that role through February 28, 2022;</w:t>
      </w:r>
    </w:p>
    <w:p>
      <w:pPr>
        <w:spacing w:after="0" w:line="96" w:lineRule="exact"/>
        <w:rPr>
          <w:rFonts w:ascii="Arial" w:cs="Arial" w:eastAsia="Arial" w:hAnsi="Arial"/>
          <w:sz w:val="17"/>
          <w:szCs w:val="17"/>
          <w:color w:val="002E6D"/>
        </w:rPr>
      </w:pPr>
    </w:p>
    <w:p>
      <w:pPr>
        <w:ind w:left="260" w:right="40" w:hanging="171"/>
        <w:spacing w:after="0" w:line="276" w:lineRule="auto"/>
        <w:tabs>
          <w:tab w:leader="none" w:pos="225" w:val="left"/>
        </w:tabs>
        <w:numPr>
          <w:ilvl w:val="0"/>
          <w:numId w:val="68"/>
        </w:numPr>
        <w:rPr>
          <w:rFonts w:ascii="Arial" w:cs="Arial" w:eastAsia="Arial" w:hAnsi="Arial"/>
          <w:sz w:val="17"/>
          <w:szCs w:val="17"/>
          <w:color w:val="002E6D"/>
        </w:rPr>
      </w:pPr>
      <w:r>
        <w:rPr>
          <w:rFonts w:ascii="Arial" w:cs="Arial" w:eastAsia="Arial" w:hAnsi="Arial"/>
          <w:sz w:val="17"/>
          <w:szCs w:val="17"/>
          <w:color w:val="auto"/>
        </w:rPr>
        <w:t>Frank A. St. John was promoted to Chief Operating Officer effective June 15, 2020, after serving as Executive Vice President, Rotary and Mission Systems since August 26, 2019; and</w:t>
      </w:r>
    </w:p>
    <w:p>
      <w:pPr>
        <w:spacing w:after="0" w:line="90" w:lineRule="exact"/>
        <w:rPr>
          <w:rFonts w:ascii="Arial" w:cs="Arial" w:eastAsia="Arial" w:hAnsi="Arial"/>
          <w:sz w:val="17"/>
          <w:szCs w:val="17"/>
          <w:color w:val="002E6D"/>
        </w:rPr>
      </w:pPr>
    </w:p>
    <w:p>
      <w:pPr>
        <w:ind w:left="260" w:right="320" w:hanging="171"/>
        <w:spacing w:after="0" w:line="276" w:lineRule="auto"/>
        <w:tabs>
          <w:tab w:leader="none" w:pos="236" w:val="left"/>
        </w:tabs>
        <w:numPr>
          <w:ilvl w:val="0"/>
          <w:numId w:val="68"/>
        </w:numPr>
        <w:rPr>
          <w:rFonts w:ascii="Arial" w:cs="Arial" w:eastAsia="Arial" w:hAnsi="Arial"/>
          <w:sz w:val="16"/>
          <w:szCs w:val="16"/>
          <w:color w:val="002E6D"/>
        </w:rPr>
      </w:pPr>
      <w:r>
        <w:rPr>
          <w:rFonts w:ascii="Arial" w:cs="Arial" w:eastAsia="Arial" w:hAnsi="Arial"/>
          <w:sz w:val="16"/>
          <w:szCs w:val="16"/>
          <w:color w:val="auto"/>
        </w:rPr>
        <w:t xml:space="preserve">Michele A. Evans, </w:t>
      </w:r>
      <w:r>
        <w:rPr>
          <w:rFonts w:ascii="Arial" w:cs="Arial" w:eastAsia="Arial" w:hAnsi="Arial"/>
          <w:sz w:val="17"/>
          <w:szCs w:val="17"/>
          <w:color w:val="auto"/>
        </w:rPr>
        <w:t>Executive Vice President, Aeronautics, passed away on January 1, 2021 and was succeeded by Gregory M. Ulmer effective</w:t>
      </w:r>
      <w:r>
        <w:rPr>
          <w:rFonts w:ascii="Arial" w:cs="Arial" w:eastAsia="Arial" w:hAnsi="Arial"/>
          <w:sz w:val="16"/>
          <w:szCs w:val="16"/>
          <w:color w:val="auto"/>
        </w:rPr>
        <w:t xml:space="preserve"> </w:t>
      </w:r>
      <w:r>
        <w:rPr>
          <w:rFonts w:ascii="Arial" w:cs="Arial" w:eastAsia="Arial" w:hAnsi="Arial"/>
          <w:sz w:val="17"/>
          <w:szCs w:val="17"/>
          <w:color w:val="auto"/>
        </w:rPr>
        <w:t>February 1, 2021.</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shd w:val="clear" w:color="auto" w:fill="E5E7EF"/>
          </w:tcPr>
          <w:p>
            <w:pPr>
              <w:spacing w:after="0"/>
              <w:rPr>
                <w:sz w:val="14"/>
                <w:szCs w:val="14"/>
                <w:color w:val="auto"/>
              </w:rPr>
            </w:pPr>
          </w:p>
        </w:tc>
        <w:tc>
          <w:tcPr>
            <w:tcW w:w="6500" w:type="dxa"/>
            <w:vAlign w:val="bottom"/>
            <w:shd w:val="clear" w:color="auto" w:fill="E5E7EF"/>
          </w:tcPr>
          <w:p>
            <w:pPr>
              <w:spacing w:after="0"/>
              <w:rPr>
                <w:sz w:val="14"/>
                <w:szCs w:val="14"/>
                <w:color w:val="auto"/>
              </w:rPr>
            </w:pPr>
          </w:p>
        </w:tc>
        <w:tc>
          <w:tcPr>
            <w:tcW w:w="24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Years of Service</w:t>
            </w:r>
          </w:p>
        </w:tc>
      </w:tr>
      <w:tr>
        <w:trPr>
          <w:trHeight w:val="148"/>
        </w:trPr>
        <w:tc>
          <w:tcPr>
            <w:tcW w:w="2300" w:type="dxa"/>
            <w:vAlign w:val="bottom"/>
            <w:shd w:val="clear" w:color="auto" w:fill="E5E7EF"/>
          </w:tcPr>
          <w:p>
            <w:pPr>
              <w:spacing w:after="0"/>
              <w:rPr>
                <w:sz w:val="12"/>
                <w:szCs w:val="12"/>
                <w:color w:val="auto"/>
              </w:rPr>
            </w:pPr>
          </w:p>
        </w:tc>
        <w:tc>
          <w:tcPr>
            <w:tcW w:w="6500" w:type="dxa"/>
            <w:vAlign w:val="bottom"/>
            <w:shd w:val="clear" w:color="auto" w:fill="E5E7EF"/>
          </w:tcPr>
          <w:p>
            <w:pPr>
              <w:spacing w:after="0"/>
              <w:rPr>
                <w:sz w:val="12"/>
                <w:szCs w:val="12"/>
                <w:color w:val="auto"/>
              </w:rPr>
            </w:pPr>
          </w:p>
        </w:tc>
        <w:tc>
          <w:tcPr>
            <w:tcW w:w="24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At End of 2020</w:t>
            </w:r>
          </w:p>
        </w:tc>
      </w:tr>
      <w:tr>
        <w:trPr>
          <w:trHeight w:val="186"/>
        </w:trPr>
        <w:tc>
          <w:tcPr>
            <w:tcW w:w="230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NEO</w:t>
            </w:r>
          </w:p>
        </w:tc>
        <w:tc>
          <w:tcPr>
            <w:tcW w:w="6500" w:type="dxa"/>
            <w:vAlign w:val="bottom"/>
            <w:tcBorders>
              <w:bottom w:val="single" w:sz="8" w:color="E5E7EF"/>
            </w:tcBorders>
            <w:shd w:val="clear" w:color="auto" w:fill="E5E7EF"/>
          </w:tcPr>
          <w:p>
            <w:pPr>
              <w:ind w:left="620"/>
              <w:spacing w:after="0"/>
              <w:rPr>
                <w:sz w:val="20"/>
                <w:szCs w:val="20"/>
                <w:color w:val="auto"/>
              </w:rPr>
            </w:pPr>
            <w:r>
              <w:rPr>
                <w:rFonts w:ascii="Arial" w:cs="Arial" w:eastAsia="Arial" w:hAnsi="Arial"/>
                <w:sz w:val="13"/>
                <w:szCs w:val="13"/>
                <w:color w:val="auto"/>
              </w:rPr>
              <w:t>Title</w:t>
            </w:r>
          </w:p>
        </w:tc>
        <w:tc>
          <w:tcPr>
            <w:tcW w:w="24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(rounded)</w:t>
            </w:r>
          </w:p>
        </w:tc>
      </w:tr>
      <w:tr>
        <w:trPr>
          <w:trHeight w:val="183"/>
        </w:trPr>
        <w:tc>
          <w:tcPr>
            <w:tcW w:w="2300" w:type="dxa"/>
            <w:vAlign w:val="bottom"/>
            <w:tcBorders>
              <w:top w:val="single" w:sz="8" w:color="959595"/>
              <w:bottom w:val="single" w:sz="8" w:color="959595"/>
            </w:tcBorders>
          </w:tcPr>
          <w:p>
            <w:pPr>
              <w:ind w:left="20"/>
              <w:spacing w:after="0"/>
              <w:rPr>
                <w:sz w:val="20"/>
                <w:szCs w:val="20"/>
                <w:color w:val="auto"/>
              </w:rPr>
            </w:pPr>
            <w:r>
              <w:rPr>
                <w:rFonts w:ascii="Arial" w:cs="Arial" w:eastAsia="Arial" w:hAnsi="Arial"/>
                <w:sz w:val="14"/>
                <w:szCs w:val="14"/>
                <w:b w:val="1"/>
                <w:bCs w:val="1"/>
                <w:color w:val="auto"/>
              </w:rPr>
              <w:t>James D. Taiclet</w:t>
            </w:r>
          </w:p>
        </w:tc>
        <w:tc>
          <w:tcPr>
            <w:tcW w:w="6500" w:type="dxa"/>
            <w:vAlign w:val="bottom"/>
            <w:tcBorders>
              <w:top w:val="single" w:sz="8" w:color="959595"/>
              <w:bottom w:val="single" w:sz="8" w:color="959595"/>
            </w:tcBorders>
          </w:tcPr>
          <w:p>
            <w:pPr>
              <w:ind w:left="620"/>
              <w:spacing w:after="0"/>
              <w:rPr>
                <w:sz w:val="20"/>
                <w:szCs w:val="20"/>
                <w:color w:val="auto"/>
              </w:rPr>
            </w:pPr>
            <w:r>
              <w:rPr>
                <w:rFonts w:ascii="Arial" w:cs="Arial" w:eastAsia="Arial" w:hAnsi="Arial"/>
                <w:sz w:val="14"/>
                <w:szCs w:val="14"/>
                <w:color w:val="auto"/>
              </w:rPr>
              <w:t>Chairman, President and Chief Executive Officer</w:t>
            </w:r>
          </w:p>
        </w:tc>
        <w:tc>
          <w:tcPr>
            <w:tcW w:w="244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6 months</w:t>
            </w:r>
          </w:p>
        </w:tc>
      </w:tr>
      <w:tr>
        <w:trPr>
          <w:trHeight w:val="147"/>
        </w:trPr>
        <w:tc>
          <w:tcPr>
            <w:tcW w:w="23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Marillyn A. Hewson</w:t>
            </w:r>
          </w:p>
        </w:tc>
        <w:tc>
          <w:tcPr>
            <w:tcW w:w="6500" w:type="dxa"/>
            <w:vAlign w:val="bottom"/>
          </w:tcPr>
          <w:p>
            <w:pPr>
              <w:ind w:left="620"/>
              <w:spacing w:after="0" w:line="147" w:lineRule="exact"/>
              <w:rPr>
                <w:sz w:val="20"/>
                <w:szCs w:val="20"/>
                <w:color w:val="auto"/>
              </w:rPr>
            </w:pPr>
            <w:r>
              <w:rPr>
                <w:rFonts w:ascii="Arial" w:cs="Arial" w:eastAsia="Arial" w:hAnsi="Arial"/>
                <w:sz w:val="14"/>
                <w:szCs w:val="14"/>
                <w:color w:val="auto"/>
              </w:rPr>
              <w:t>Strategic Advisor to the CEO; Former Chairman, President and Chief</w:t>
            </w:r>
          </w:p>
        </w:tc>
        <w:tc>
          <w:tcPr>
            <w:tcW w:w="2440" w:type="dxa"/>
            <w:vAlign w:val="bottom"/>
          </w:tcPr>
          <w:p>
            <w:pPr>
              <w:jc w:val="right"/>
              <w:spacing w:after="0" w:line="147" w:lineRule="exact"/>
              <w:rPr>
                <w:sz w:val="20"/>
                <w:szCs w:val="20"/>
                <w:color w:val="auto"/>
              </w:rPr>
            </w:pPr>
            <w:r>
              <w:rPr>
                <w:rFonts w:ascii="Arial" w:cs="Arial" w:eastAsia="Arial" w:hAnsi="Arial"/>
                <w:sz w:val="14"/>
                <w:szCs w:val="14"/>
                <w:color w:val="auto"/>
              </w:rPr>
              <w:t>38 years</w:t>
            </w:r>
          </w:p>
        </w:tc>
      </w:tr>
      <w:tr>
        <w:trPr>
          <w:trHeight w:val="171"/>
        </w:trPr>
        <w:tc>
          <w:tcPr>
            <w:tcW w:w="2300" w:type="dxa"/>
            <w:vAlign w:val="bottom"/>
            <w:tcBorders>
              <w:bottom w:val="single" w:sz="8" w:color="959595"/>
            </w:tcBorders>
          </w:tcPr>
          <w:p>
            <w:pPr>
              <w:spacing w:after="0"/>
              <w:rPr>
                <w:sz w:val="14"/>
                <w:szCs w:val="14"/>
                <w:color w:val="auto"/>
              </w:rPr>
            </w:pPr>
          </w:p>
        </w:tc>
        <w:tc>
          <w:tcPr>
            <w:tcW w:w="6500" w:type="dxa"/>
            <w:vAlign w:val="bottom"/>
            <w:tcBorders>
              <w:bottom w:val="single" w:sz="8" w:color="959595"/>
            </w:tcBorders>
          </w:tcPr>
          <w:p>
            <w:pPr>
              <w:ind w:left="620"/>
              <w:spacing w:after="0"/>
              <w:rPr>
                <w:sz w:val="20"/>
                <w:szCs w:val="20"/>
                <w:color w:val="auto"/>
              </w:rPr>
            </w:pPr>
            <w:r>
              <w:rPr>
                <w:rFonts w:ascii="Arial" w:cs="Arial" w:eastAsia="Arial" w:hAnsi="Arial"/>
                <w:sz w:val="14"/>
                <w:szCs w:val="14"/>
                <w:color w:val="auto"/>
              </w:rPr>
              <w:t>Executive Officer</w:t>
            </w:r>
          </w:p>
        </w:tc>
        <w:tc>
          <w:tcPr>
            <w:tcW w:w="2440" w:type="dxa"/>
            <w:vAlign w:val="bottom"/>
            <w:tcBorders>
              <w:bottom w:val="single" w:sz="8" w:color="959595"/>
            </w:tcBorders>
          </w:tcPr>
          <w:p>
            <w:pPr>
              <w:spacing w:after="0"/>
              <w:rPr>
                <w:sz w:val="14"/>
                <w:szCs w:val="14"/>
                <w:color w:val="auto"/>
              </w:rPr>
            </w:pPr>
          </w:p>
        </w:tc>
      </w:tr>
      <w:tr>
        <w:trPr>
          <w:trHeight w:val="183"/>
        </w:trPr>
        <w:tc>
          <w:tcPr>
            <w:tcW w:w="23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Kenneth R. Possenriede</w:t>
            </w:r>
          </w:p>
        </w:tc>
        <w:tc>
          <w:tcPr>
            <w:tcW w:w="6500" w:type="dxa"/>
            <w:vAlign w:val="bottom"/>
            <w:tcBorders>
              <w:bottom w:val="single" w:sz="8" w:color="959595"/>
            </w:tcBorders>
          </w:tcPr>
          <w:p>
            <w:pPr>
              <w:ind w:left="620"/>
              <w:spacing w:after="0"/>
              <w:rPr>
                <w:sz w:val="20"/>
                <w:szCs w:val="20"/>
                <w:color w:val="auto"/>
              </w:rPr>
            </w:pPr>
            <w:r>
              <w:rPr>
                <w:rFonts w:ascii="Arial" w:cs="Arial" w:eastAsia="Arial" w:hAnsi="Arial"/>
                <w:sz w:val="14"/>
                <w:szCs w:val="14"/>
                <w:color w:val="auto"/>
              </w:rPr>
              <w:t>Chief Financial Officer</w:t>
            </w:r>
          </w:p>
        </w:tc>
        <w:tc>
          <w:tcPr>
            <w:tcW w:w="24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34 years</w:t>
            </w:r>
          </w:p>
        </w:tc>
      </w:tr>
      <w:tr>
        <w:trPr>
          <w:trHeight w:val="182"/>
        </w:trPr>
        <w:tc>
          <w:tcPr>
            <w:tcW w:w="23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Frank A. St. John</w:t>
            </w:r>
          </w:p>
        </w:tc>
        <w:tc>
          <w:tcPr>
            <w:tcW w:w="6500" w:type="dxa"/>
            <w:vAlign w:val="bottom"/>
            <w:tcBorders>
              <w:bottom w:val="single" w:sz="8" w:color="959595"/>
            </w:tcBorders>
          </w:tcPr>
          <w:p>
            <w:pPr>
              <w:ind w:left="620"/>
              <w:spacing w:after="0"/>
              <w:rPr>
                <w:sz w:val="20"/>
                <w:szCs w:val="20"/>
                <w:color w:val="auto"/>
              </w:rPr>
            </w:pPr>
            <w:r>
              <w:rPr>
                <w:rFonts w:ascii="Arial" w:cs="Arial" w:eastAsia="Arial" w:hAnsi="Arial"/>
                <w:sz w:val="14"/>
                <w:szCs w:val="14"/>
                <w:color w:val="auto"/>
              </w:rPr>
              <w:t>Chief Operating Officer</w:t>
            </w:r>
          </w:p>
        </w:tc>
        <w:tc>
          <w:tcPr>
            <w:tcW w:w="24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34 years</w:t>
            </w:r>
          </w:p>
        </w:tc>
      </w:tr>
      <w:tr>
        <w:trPr>
          <w:trHeight w:val="183"/>
        </w:trPr>
        <w:tc>
          <w:tcPr>
            <w:tcW w:w="23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Richard F. Ambrose</w:t>
            </w:r>
          </w:p>
        </w:tc>
        <w:tc>
          <w:tcPr>
            <w:tcW w:w="6500" w:type="dxa"/>
            <w:vAlign w:val="bottom"/>
            <w:tcBorders>
              <w:bottom w:val="single" w:sz="8" w:color="959595"/>
            </w:tcBorders>
          </w:tcPr>
          <w:p>
            <w:pPr>
              <w:ind w:left="620"/>
              <w:spacing w:after="0"/>
              <w:rPr>
                <w:sz w:val="20"/>
                <w:szCs w:val="20"/>
                <w:color w:val="auto"/>
              </w:rPr>
            </w:pPr>
            <w:r>
              <w:rPr>
                <w:rFonts w:ascii="Arial" w:cs="Arial" w:eastAsia="Arial" w:hAnsi="Arial"/>
                <w:sz w:val="14"/>
                <w:szCs w:val="14"/>
                <w:color w:val="auto"/>
              </w:rPr>
              <w:t>Executive Vice President, Space</w:t>
            </w:r>
          </w:p>
        </w:tc>
        <w:tc>
          <w:tcPr>
            <w:tcW w:w="24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20 years</w:t>
            </w:r>
          </w:p>
        </w:tc>
      </w:tr>
      <w:tr>
        <w:trPr>
          <w:trHeight w:val="184"/>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Michele A. Evans</w:t>
            </w:r>
          </w:p>
        </w:tc>
        <w:tc>
          <w:tcPr>
            <w:tcW w:w="6500" w:type="dxa"/>
            <w:vAlign w:val="bottom"/>
          </w:tcPr>
          <w:p>
            <w:pPr>
              <w:ind w:left="620"/>
              <w:spacing w:after="0"/>
              <w:rPr>
                <w:sz w:val="20"/>
                <w:szCs w:val="20"/>
                <w:color w:val="auto"/>
              </w:rPr>
            </w:pPr>
            <w:r>
              <w:rPr>
                <w:rFonts w:ascii="Arial" w:cs="Arial" w:eastAsia="Arial" w:hAnsi="Arial"/>
                <w:sz w:val="14"/>
                <w:szCs w:val="14"/>
                <w:color w:val="auto"/>
              </w:rPr>
              <w:t>Former Executive Vice President, Aeronautics</w:t>
            </w:r>
          </w:p>
        </w:tc>
        <w:tc>
          <w:tcPr>
            <w:tcW w:w="2440" w:type="dxa"/>
            <w:vAlign w:val="bottom"/>
          </w:tcPr>
          <w:p>
            <w:pPr>
              <w:jc w:val="right"/>
              <w:spacing w:after="0"/>
              <w:rPr>
                <w:sz w:val="20"/>
                <w:szCs w:val="20"/>
                <w:color w:val="auto"/>
              </w:rPr>
            </w:pPr>
            <w:r>
              <w:rPr>
                <w:rFonts w:ascii="Arial" w:cs="Arial" w:eastAsia="Arial" w:hAnsi="Arial"/>
                <w:sz w:val="14"/>
                <w:szCs w:val="14"/>
                <w:color w:val="auto"/>
              </w:rPr>
              <w:t>34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4655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6558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33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To assist stockholders in finding important information in the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CD&amp;A, sections are highlighted as follows: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Page(s)</w:t>
      </w:r>
    </w:p>
    <w:p>
      <w:pPr>
        <w:spacing w:after="0" w:line="21" w:lineRule="exact"/>
        <w:rPr>
          <w:sz w:val="20"/>
          <w:szCs w:val="20"/>
          <w:color w:val="auto"/>
        </w:rPr>
      </w:pPr>
    </w:p>
    <w:p>
      <w:pPr>
        <w:ind w:left="980" w:hanging="770"/>
        <w:spacing w:after="0"/>
        <w:tabs>
          <w:tab w:leader="none" w:pos="980" w:val="left"/>
        </w:tabs>
        <w:numPr>
          <w:ilvl w:val="0"/>
          <w:numId w:val="69"/>
        </w:numPr>
        <w:rPr>
          <w:rFonts w:ascii="Arial" w:cs="Arial" w:eastAsia="Arial" w:hAnsi="Arial"/>
          <w:sz w:val="17"/>
          <w:szCs w:val="17"/>
          <w:b w:val="1"/>
          <w:bCs w:val="1"/>
          <w:color w:val="002E60"/>
        </w:rPr>
      </w:pPr>
      <w:r>
        <w:rPr>
          <w:rFonts w:ascii="Arial" w:cs="Arial" w:eastAsia="Arial" w:hAnsi="Arial"/>
          <w:sz w:val="17"/>
          <w:szCs w:val="17"/>
          <w:color w:val="auto"/>
        </w:rPr>
        <w:t>Our 2020 Performance</w:t>
      </w:r>
    </w:p>
    <w:p>
      <w:pPr>
        <w:spacing w:after="0" w:line="20" w:lineRule="exact"/>
        <w:rPr>
          <w:rFonts w:ascii="Arial" w:cs="Arial" w:eastAsia="Arial" w:hAnsi="Arial"/>
          <w:sz w:val="17"/>
          <w:szCs w:val="17"/>
          <w:b w:val="1"/>
          <w:bCs w:val="1"/>
          <w:color w:val="002E60"/>
        </w:rPr>
      </w:pPr>
    </w:p>
    <w:p>
      <w:pPr>
        <w:ind w:left="980" w:hanging="770"/>
        <w:spacing w:after="0"/>
        <w:tabs>
          <w:tab w:leader="none" w:pos="980" w:val="left"/>
        </w:tabs>
        <w:numPr>
          <w:ilvl w:val="0"/>
          <w:numId w:val="70"/>
        </w:numPr>
        <w:rPr>
          <w:rFonts w:ascii="Arial" w:cs="Arial" w:eastAsia="Arial" w:hAnsi="Arial"/>
          <w:sz w:val="17"/>
          <w:szCs w:val="17"/>
          <w:b w:val="1"/>
          <w:bCs w:val="1"/>
          <w:color w:val="002E60"/>
        </w:rPr>
      </w:pPr>
      <w:r>
        <w:rPr>
          <w:rFonts w:ascii="Arial" w:cs="Arial" w:eastAsia="Arial" w:hAnsi="Arial"/>
          <w:sz w:val="17"/>
          <w:szCs w:val="17"/>
          <w:color w:val="auto"/>
        </w:rPr>
        <w:t>2020 CEO Compensation</w:t>
      </w:r>
    </w:p>
    <w:p>
      <w:pPr>
        <w:spacing w:after="0" w:line="20" w:lineRule="exact"/>
        <w:rPr>
          <w:rFonts w:ascii="Arial" w:cs="Arial" w:eastAsia="Arial" w:hAnsi="Arial"/>
          <w:sz w:val="17"/>
          <w:szCs w:val="17"/>
          <w:b w:val="1"/>
          <w:bCs w:val="1"/>
          <w:color w:val="002E60"/>
        </w:rPr>
      </w:pPr>
    </w:p>
    <w:p>
      <w:pPr>
        <w:ind w:left="980" w:hanging="770"/>
        <w:spacing w:after="0"/>
        <w:tabs>
          <w:tab w:leader="none" w:pos="980" w:val="left"/>
        </w:tabs>
        <w:numPr>
          <w:ilvl w:val="0"/>
          <w:numId w:val="71"/>
        </w:numPr>
        <w:rPr>
          <w:rFonts w:ascii="Arial" w:cs="Arial" w:eastAsia="Arial" w:hAnsi="Arial"/>
          <w:sz w:val="17"/>
          <w:szCs w:val="17"/>
          <w:b w:val="1"/>
          <w:bCs w:val="1"/>
          <w:color w:val="002E60"/>
        </w:rPr>
      </w:pPr>
      <w:r>
        <w:rPr>
          <w:rFonts w:ascii="Arial" w:cs="Arial" w:eastAsia="Arial" w:hAnsi="Arial"/>
          <w:sz w:val="17"/>
          <w:szCs w:val="17"/>
          <w:color w:val="auto"/>
        </w:rPr>
        <w:t>2020 Comparator Group Companies</w:t>
      </w:r>
    </w:p>
    <w:p>
      <w:pPr>
        <w:spacing w:after="0" w:line="20" w:lineRule="exact"/>
        <w:rPr>
          <w:rFonts w:ascii="Arial" w:cs="Arial" w:eastAsia="Arial" w:hAnsi="Arial"/>
          <w:sz w:val="17"/>
          <w:szCs w:val="17"/>
          <w:b w:val="1"/>
          <w:bCs w:val="1"/>
          <w:color w:val="002E60"/>
        </w:rPr>
      </w:pPr>
    </w:p>
    <w:p>
      <w:pPr>
        <w:ind w:left="980" w:hanging="770"/>
        <w:spacing w:after="0"/>
        <w:tabs>
          <w:tab w:leader="none" w:pos="980" w:val="left"/>
        </w:tabs>
        <w:numPr>
          <w:ilvl w:val="0"/>
          <w:numId w:val="72"/>
        </w:numPr>
        <w:rPr>
          <w:rFonts w:ascii="Arial" w:cs="Arial" w:eastAsia="Arial" w:hAnsi="Arial"/>
          <w:sz w:val="17"/>
          <w:szCs w:val="17"/>
          <w:b w:val="1"/>
          <w:bCs w:val="1"/>
          <w:color w:val="002E60"/>
        </w:rPr>
      </w:pPr>
      <w:r>
        <w:rPr>
          <w:rFonts w:ascii="Arial" w:cs="Arial" w:eastAsia="Arial" w:hAnsi="Arial"/>
          <w:sz w:val="17"/>
          <w:szCs w:val="17"/>
          <w:color w:val="auto"/>
        </w:rPr>
        <w:t>2020 Compensation Elements</w:t>
      </w:r>
    </w:p>
    <w:p>
      <w:pPr>
        <w:spacing w:after="0" w:line="9" w:lineRule="exact"/>
        <w:rPr>
          <w:sz w:val="20"/>
          <w:szCs w:val="20"/>
          <w:color w:val="auto"/>
        </w:rPr>
      </w:pPr>
    </w:p>
    <w:p>
      <w:pPr>
        <w:ind w:left="80"/>
        <w:spacing w:after="0"/>
        <w:tabs>
          <w:tab w:leader="none" w:pos="960" w:val="left"/>
        </w:tabs>
        <w:rPr>
          <w:sz w:val="20"/>
          <w:szCs w:val="20"/>
          <w:color w:val="auto"/>
        </w:rPr>
      </w:pPr>
      <w:r>
        <w:rPr>
          <w:rFonts w:ascii="Arial" w:cs="Arial" w:eastAsia="Arial" w:hAnsi="Arial"/>
          <w:sz w:val="17"/>
          <w:szCs w:val="17"/>
          <w:b w:val="1"/>
          <w:bCs w:val="1"/>
          <w:color w:val="002E60"/>
        </w:rPr>
        <w:t>48-50</w:t>
      </w:r>
      <w:r>
        <w:rPr>
          <w:sz w:val="20"/>
          <w:szCs w:val="20"/>
          <w:color w:val="auto"/>
        </w:rPr>
        <w:tab/>
      </w:r>
      <w:r>
        <w:rPr>
          <w:rFonts w:ascii="Arial" w:cs="Arial" w:eastAsia="Arial" w:hAnsi="Arial"/>
          <w:sz w:val="17"/>
          <w:szCs w:val="17"/>
          <w:color w:val="auto"/>
        </w:rPr>
        <w:t>2020 Annual Incentive</w:t>
      </w:r>
    </w:p>
    <w:p>
      <w:pPr>
        <w:spacing w:after="0" w:line="21" w:lineRule="exact"/>
        <w:rPr>
          <w:sz w:val="20"/>
          <w:szCs w:val="20"/>
          <w:color w:val="auto"/>
        </w:rPr>
      </w:pPr>
    </w:p>
    <w:p>
      <w:pPr>
        <w:ind w:left="80"/>
        <w:spacing w:after="0"/>
        <w:tabs>
          <w:tab w:leader="none" w:pos="960" w:val="left"/>
        </w:tabs>
        <w:rPr>
          <w:sz w:val="20"/>
          <w:szCs w:val="20"/>
          <w:color w:val="auto"/>
        </w:rPr>
      </w:pPr>
      <w:r>
        <w:rPr>
          <w:rFonts w:ascii="Arial" w:cs="Arial" w:eastAsia="Arial" w:hAnsi="Arial"/>
          <w:sz w:val="17"/>
          <w:szCs w:val="17"/>
          <w:b w:val="1"/>
          <w:bCs w:val="1"/>
          <w:color w:val="002E60"/>
        </w:rPr>
        <w:t>50-53</w:t>
      </w:r>
      <w:r>
        <w:rPr>
          <w:sz w:val="20"/>
          <w:szCs w:val="20"/>
          <w:color w:val="auto"/>
        </w:rPr>
        <w:tab/>
      </w:r>
      <w:r>
        <w:rPr>
          <w:rFonts w:ascii="Arial" w:cs="Arial" w:eastAsia="Arial" w:hAnsi="Arial"/>
          <w:sz w:val="16"/>
          <w:szCs w:val="16"/>
          <w:color w:val="auto"/>
        </w:rPr>
        <w:t>2020 Long-Term Incentive Compensation</w:t>
      </w:r>
    </w:p>
    <w:p>
      <w:pPr>
        <w:spacing w:after="0" w:line="32" w:lineRule="exact"/>
        <w:rPr>
          <w:sz w:val="20"/>
          <w:szCs w:val="20"/>
          <w:color w:val="auto"/>
        </w:rPr>
      </w:pPr>
    </w:p>
    <w:p>
      <w:pPr>
        <w:ind w:left="980" w:hanging="770"/>
        <w:spacing w:after="0"/>
        <w:tabs>
          <w:tab w:leader="none" w:pos="980" w:val="left"/>
        </w:tabs>
        <w:numPr>
          <w:ilvl w:val="0"/>
          <w:numId w:val="73"/>
        </w:numPr>
        <w:rPr>
          <w:rFonts w:ascii="Arial" w:cs="Arial" w:eastAsia="Arial" w:hAnsi="Arial"/>
          <w:sz w:val="17"/>
          <w:szCs w:val="17"/>
          <w:b w:val="1"/>
          <w:bCs w:val="1"/>
          <w:color w:val="002E60"/>
        </w:rPr>
      </w:pPr>
      <w:r>
        <w:rPr>
          <w:rFonts w:ascii="Arial" w:cs="Arial" w:eastAsia="Arial" w:hAnsi="Arial"/>
          <w:sz w:val="17"/>
          <w:szCs w:val="17"/>
          <w:color w:val="auto"/>
        </w:rPr>
        <w:t>2018-2020 LTIP and PSU Awards</w:t>
      </w:r>
    </w:p>
    <w:p>
      <w:pPr>
        <w:spacing w:after="0" w:line="9" w:lineRule="exact"/>
        <w:rPr>
          <w:rFonts w:ascii="Arial" w:cs="Arial" w:eastAsia="Arial" w:hAnsi="Arial"/>
          <w:sz w:val="17"/>
          <w:szCs w:val="17"/>
          <w:b w:val="1"/>
          <w:bCs w:val="1"/>
          <w:color w:val="002E60"/>
        </w:rPr>
      </w:pPr>
    </w:p>
    <w:p>
      <w:pPr>
        <w:ind w:left="80"/>
        <w:spacing w:after="0"/>
        <w:rPr>
          <w:rFonts w:ascii="Arial" w:cs="Arial" w:eastAsia="Arial" w:hAnsi="Arial"/>
          <w:sz w:val="17"/>
          <w:szCs w:val="17"/>
          <w:b w:val="1"/>
          <w:bCs w:val="1"/>
          <w:color w:val="002E60"/>
        </w:rPr>
      </w:pPr>
      <w:r>
        <w:rPr>
          <w:rFonts w:ascii="Arial" w:cs="Arial" w:eastAsia="Arial" w:hAnsi="Arial"/>
          <w:sz w:val="17"/>
          <w:szCs w:val="17"/>
          <w:b w:val="1"/>
          <w:bCs w:val="1"/>
          <w:color w:val="002E60"/>
        </w:rPr>
        <w:t>54-55</w:t>
      </w:r>
      <w:r>
        <w:rPr>
          <w:rFonts w:ascii="Arial" w:cs="Arial" w:eastAsia="Arial" w:hAnsi="Arial"/>
          <w:sz w:val="17"/>
          <w:szCs w:val="17"/>
          <w:color w:val="auto"/>
        </w:rPr>
        <w:t>2021 Incentives</w:t>
      </w:r>
    </w:p>
    <w:p>
      <w:pPr>
        <w:spacing w:after="0" w:line="20" w:lineRule="exact"/>
        <w:rPr>
          <w:rFonts w:ascii="Arial" w:cs="Arial" w:eastAsia="Arial" w:hAnsi="Arial"/>
          <w:sz w:val="17"/>
          <w:szCs w:val="17"/>
          <w:b w:val="1"/>
          <w:bCs w:val="1"/>
          <w:color w:val="002E60"/>
        </w:rPr>
      </w:pPr>
    </w:p>
    <w:p>
      <w:pPr>
        <w:ind w:left="80"/>
        <w:spacing w:after="0"/>
        <w:rPr>
          <w:rFonts w:ascii="Arial" w:cs="Arial" w:eastAsia="Arial" w:hAnsi="Arial"/>
          <w:sz w:val="17"/>
          <w:szCs w:val="17"/>
          <w:b w:val="1"/>
          <w:bCs w:val="1"/>
          <w:color w:val="002E60"/>
        </w:rPr>
      </w:pPr>
      <w:r>
        <w:rPr>
          <w:rFonts w:ascii="Arial" w:cs="Arial" w:eastAsia="Arial" w:hAnsi="Arial"/>
          <w:sz w:val="17"/>
          <w:szCs w:val="17"/>
          <w:b w:val="1"/>
          <w:bCs w:val="1"/>
          <w:color w:val="002E60"/>
        </w:rPr>
        <w:t>55-57</w:t>
      </w:r>
      <w:r>
        <w:rPr>
          <w:rFonts w:ascii="Arial" w:cs="Arial" w:eastAsia="Arial" w:hAnsi="Arial"/>
          <w:sz w:val="17"/>
          <w:szCs w:val="17"/>
          <w:color w:val="auto"/>
        </w:rPr>
        <w:t>Other Compensation Matters</w:t>
      </w:r>
    </w:p>
    <w:p>
      <w:pPr>
        <w:spacing w:after="0" w:line="200" w:lineRule="exact"/>
        <w:rPr>
          <w:sz w:val="20"/>
          <w:szCs w:val="20"/>
          <w:color w:val="auto"/>
        </w:rPr>
      </w:pPr>
    </w:p>
    <w:p>
      <w:pPr>
        <w:sectPr>
          <w:pgSz w:w="11900" w:h="16838" w:orient="portrait"/>
          <w:cols w:equalWidth="0" w:num="2">
            <w:col w:w="4680" w:space="720"/>
            <w:col w:w="5840"/>
          </w:cols>
          <w:pgMar w:left="320" w:top="609"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color w:val="475C90"/>
        </w:rPr>
        <w:t>2020 Say-on-Pay Vote</w:t>
      </w:r>
    </w:p>
    <w:p>
      <w:pPr>
        <w:spacing w:after="0" w:line="123"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At our 2020 annual meeting, more than 94% of the votes cast by our stockholders approved our Say-on-Pay proposal and more than 95% of the votes cast approved our new equity plan. We meet with our key investors throughout the year to understand the topics that matter most to them as they relate to executive compensation. We sought the views of our stockholders with respect to our existing policies and practices. (Please see “Stockholder Engagement and Responsiveness” on page 28 for more specific details). Investors we engaged with during 2020 reacted positively to our pay governance and executive compensation programs. We consider the input of our stockholders, along with emerging best practices, to ensure alignment with our executive pay programs. We welcome feedback regarding our executive compensation programs and will continue to engage with our stockholders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262890</wp:posOffset>
            </wp:positionV>
            <wp:extent cx="969010" cy="2228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40</w:t>
      </w:r>
    </w:p>
    <w:p>
      <w:pPr>
        <w:sectPr>
          <w:pgSz w:w="11900" w:h="16838" w:orient="portrait"/>
          <w:cols w:equalWidth="0" w:num="1">
            <w:col w:w="11240"/>
          </w:cols>
          <w:pgMar w:left="320" w:top="609"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80" w:type="dxa"/>
            <w:vAlign w:val="bottom"/>
          </w:tcPr>
          <w:p>
            <w:pPr>
              <w:ind w:left="180"/>
              <w:spacing w:after="0"/>
              <w:rPr>
                <w:sz w:val="20"/>
                <w:szCs w:val="20"/>
                <w:color w:val="auto"/>
              </w:rPr>
            </w:pPr>
            <w:r>
              <w:rPr>
                <w:rFonts w:ascii="Arial" w:cs="Arial" w:eastAsia="Arial" w:hAnsi="Arial"/>
                <w:sz w:val="15"/>
                <w:szCs w:val="15"/>
                <w:color w:val="003478"/>
              </w:rPr>
              <w:t>Executive Compensation</w:t>
            </w:r>
          </w:p>
        </w:tc>
        <w:tc>
          <w:tcPr>
            <w:tcW w:w="0" w:type="dxa"/>
            <w:vAlign w:val="bottom"/>
          </w:tcPr>
          <w:p>
            <w:pPr>
              <w:spacing w:after="0"/>
              <w:rPr>
                <w:sz w:val="1"/>
                <w:szCs w:val="1"/>
                <w:color w:val="auto"/>
              </w:rPr>
            </w:pPr>
          </w:p>
        </w:tc>
      </w:tr>
      <w:tr>
        <w:trPr>
          <w:trHeight w:val="840"/>
        </w:trPr>
        <w:tc>
          <w:tcPr>
            <w:tcW w:w="2540" w:type="dxa"/>
            <w:vAlign w:val="bottom"/>
            <w:gridSpan w:val="2"/>
          </w:tcPr>
          <w:p>
            <w:pPr>
              <w:spacing w:after="0"/>
              <w:rPr>
                <w:sz w:val="20"/>
                <w:szCs w:val="20"/>
                <w:color w:val="auto"/>
              </w:rPr>
            </w:pPr>
            <w:r>
              <w:rPr>
                <w:rFonts w:ascii="Arial" w:cs="Arial" w:eastAsia="Arial" w:hAnsi="Arial"/>
                <w:sz w:val="25"/>
                <w:szCs w:val="25"/>
                <w:color w:val="475C90"/>
              </w:rPr>
              <w:t>Executive Summary</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540" w:type="dxa"/>
            <w:vAlign w:val="bottom"/>
            <w:gridSpan w:val="2"/>
          </w:tcPr>
          <w:p>
            <w:pPr>
              <w:spacing w:after="0"/>
              <w:rPr>
                <w:sz w:val="20"/>
                <w:szCs w:val="20"/>
                <w:color w:val="auto"/>
              </w:rPr>
            </w:pPr>
            <w:r>
              <w:rPr>
                <w:rFonts w:ascii="Arial" w:cs="Arial" w:eastAsia="Arial" w:hAnsi="Arial"/>
                <w:sz w:val="22"/>
                <w:szCs w:val="22"/>
                <w:color w:val="475C90"/>
              </w:rPr>
              <w:t>Our 2020 Performance</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shd w:val="clear" w:color="auto" w:fill="475C90"/>
          </w:tcPr>
          <w:p>
            <w:pPr>
              <w:spacing w:after="0"/>
              <w:rPr>
                <w:sz w:val="9"/>
                <w:szCs w:val="9"/>
                <w:color w:val="auto"/>
              </w:rPr>
            </w:pPr>
          </w:p>
        </w:tc>
        <w:tc>
          <w:tcPr>
            <w:tcW w:w="1600" w:type="dxa"/>
            <w:vAlign w:val="bottom"/>
            <w:shd w:val="clear" w:color="auto" w:fill="475C90"/>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shd w:val="clear" w:color="auto" w:fill="475C90"/>
          </w:tcPr>
          <w:p>
            <w:pPr>
              <w:spacing w:after="0"/>
              <w:rPr>
                <w:sz w:val="9"/>
                <w:szCs w:val="9"/>
                <w:color w:val="auto"/>
              </w:rPr>
            </w:pPr>
          </w:p>
        </w:tc>
        <w:tc>
          <w:tcPr>
            <w:tcW w:w="2100" w:type="dxa"/>
            <w:vAlign w:val="bottom"/>
            <w:shd w:val="clear" w:color="auto" w:fill="475C90"/>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shd w:val="clear" w:color="auto" w:fill="475C90"/>
          </w:tcPr>
          <w:p>
            <w:pPr>
              <w:spacing w:after="0"/>
              <w:rPr>
                <w:sz w:val="9"/>
                <w:szCs w:val="9"/>
                <w:color w:val="auto"/>
              </w:rPr>
            </w:pPr>
          </w:p>
        </w:tc>
        <w:tc>
          <w:tcPr>
            <w:tcW w:w="680" w:type="dxa"/>
            <w:vAlign w:val="bottom"/>
            <w:shd w:val="clear" w:color="auto" w:fill="475C90"/>
          </w:tcPr>
          <w:p>
            <w:pPr>
              <w:spacing w:after="0"/>
              <w:rPr>
                <w:sz w:val="9"/>
                <w:szCs w:val="9"/>
                <w:color w:val="auto"/>
              </w:rPr>
            </w:pPr>
          </w:p>
        </w:tc>
        <w:tc>
          <w:tcPr>
            <w:tcW w:w="1520" w:type="dxa"/>
            <w:vAlign w:val="bottom"/>
            <w:shd w:val="clear" w:color="auto" w:fill="475C90"/>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shd w:val="clear" w:color="auto" w:fill="475C90"/>
          </w:tcPr>
          <w:p>
            <w:pPr>
              <w:spacing w:after="0"/>
              <w:rPr>
                <w:sz w:val="9"/>
                <w:szCs w:val="9"/>
                <w:color w:val="auto"/>
              </w:rPr>
            </w:pPr>
          </w:p>
        </w:tc>
        <w:tc>
          <w:tcPr>
            <w:tcW w:w="1880" w:type="dxa"/>
            <w:vAlign w:val="bottom"/>
            <w:shd w:val="clear" w:color="auto" w:fill="475C90"/>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540" w:type="dxa"/>
            <w:vAlign w:val="bottom"/>
            <w:gridSpan w:val="2"/>
            <w:shd w:val="clear" w:color="auto" w:fill="E5E7EF"/>
          </w:tcPr>
          <w:p>
            <w:pPr>
              <w:ind w:left="20"/>
              <w:spacing w:after="0" w:line="169" w:lineRule="exact"/>
              <w:rPr>
                <w:sz w:val="20"/>
                <w:szCs w:val="20"/>
                <w:color w:val="auto"/>
              </w:rPr>
            </w:pPr>
            <w:r>
              <w:rPr>
                <w:rFonts w:ascii="Arial" w:cs="Arial" w:eastAsia="Arial" w:hAnsi="Arial"/>
                <w:sz w:val="17"/>
                <w:szCs w:val="17"/>
                <w:color w:val="002E6D"/>
              </w:rPr>
              <w:t>Record</w:t>
            </w:r>
          </w:p>
        </w:tc>
        <w:tc>
          <w:tcPr>
            <w:tcW w:w="160" w:type="dxa"/>
            <w:vAlign w:val="bottom"/>
          </w:tcPr>
          <w:p>
            <w:pPr>
              <w:spacing w:after="0"/>
              <w:rPr>
                <w:sz w:val="14"/>
                <w:szCs w:val="14"/>
                <w:color w:val="auto"/>
              </w:rPr>
            </w:pPr>
          </w:p>
        </w:tc>
        <w:tc>
          <w:tcPr>
            <w:tcW w:w="2860" w:type="dxa"/>
            <w:vAlign w:val="bottom"/>
            <w:gridSpan w:val="2"/>
            <w:shd w:val="clear" w:color="auto" w:fill="E5E7EF"/>
          </w:tcPr>
          <w:p>
            <w:pPr>
              <w:ind w:left="20"/>
              <w:spacing w:after="0" w:line="169" w:lineRule="exact"/>
              <w:rPr>
                <w:sz w:val="20"/>
                <w:szCs w:val="20"/>
                <w:color w:val="auto"/>
              </w:rPr>
            </w:pPr>
            <w:r>
              <w:rPr>
                <w:rFonts w:ascii="Arial" w:cs="Arial" w:eastAsia="Arial" w:hAnsi="Arial"/>
                <w:sz w:val="17"/>
                <w:szCs w:val="17"/>
                <w:color w:val="002E6D"/>
              </w:rPr>
              <w:t>Record Segment</w:t>
            </w:r>
          </w:p>
        </w:tc>
        <w:tc>
          <w:tcPr>
            <w:tcW w:w="140" w:type="dxa"/>
            <w:vAlign w:val="bottom"/>
          </w:tcPr>
          <w:p>
            <w:pPr>
              <w:spacing w:after="0"/>
              <w:rPr>
                <w:sz w:val="14"/>
                <w:szCs w:val="14"/>
                <w:color w:val="auto"/>
              </w:rPr>
            </w:pPr>
          </w:p>
        </w:tc>
        <w:tc>
          <w:tcPr>
            <w:tcW w:w="2620" w:type="dxa"/>
            <w:vAlign w:val="bottom"/>
            <w:gridSpan w:val="3"/>
            <w:shd w:val="clear" w:color="auto" w:fill="E5E7EF"/>
          </w:tcPr>
          <w:p>
            <w:pPr>
              <w:ind w:left="20"/>
              <w:spacing w:after="0" w:line="169" w:lineRule="exact"/>
              <w:rPr>
                <w:sz w:val="20"/>
                <w:szCs w:val="20"/>
                <w:color w:val="auto"/>
              </w:rPr>
            </w:pPr>
            <w:r>
              <w:rPr>
                <w:rFonts w:ascii="Arial" w:cs="Arial" w:eastAsia="Arial" w:hAnsi="Arial"/>
                <w:sz w:val="17"/>
                <w:szCs w:val="17"/>
                <w:color w:val="002E6D"/>
              </w:rPr>
              <w:t>Year-End Backlog of</w:t>
            </w:r>
          </w:p>
        </w:tc>
        <w:tc>
          <w:tcPr>
            <w:tcW w:w="140" w:type="dxa"/>
            <w:vAlign w:val="bottom"/>
          </w:tcPr>
          <w:p>
            <w:pPr>
              <w:spacing w:after="0"/>
              <w:rPr>
                <w:sz w:val="14"/>
                <w:szCs w:val="14"/>
                <w:color w:val="auto"/>
              </w:rPr>
            </w:pPr>
          </w:p>
        </w:tc>
        <w:tc>
          <w:tcPr>
            <w:tcW w:w="2780" w:type="dxa"/>
            <w:vAlign w:val="bottom"/>
            <w:gridSpan w:val="2"/>
            <w:shd w:val="clear" w:color="auto" w:fill="E5E7EF"/>
          </w:tcPr>
          <w:p>
            <w:pPr>
              <w:ind w:left="20"/>
              <w:spacing w:after="0" w:line="169" w:lineRule="exact"/>
              <w:rPr>
                <w:sz w:val="20"/>
                <w:szCs w:val="20"/>
                <w:color w:val="auto"/>
              </w:rPr>
            </w:pPr>
            <w:r>
              <w:rPr>
                <w:rFonts w:ascii="Arial" w:cs="Arial" w:eastAsia="Arial" w:hAnsi="Arial"/>
                <w:sz w:val="17"/>
                <w:szCs w:val="17"/>
                <w:color w:val="002E6D"/>
              </w:rPr>
              <w:t>Record Earnings</w:t>
            </w:r>
          </w:p>
        </w:tc>
        <w:tc>
          <w:tcPr>
            <w:tcW w:w="0" w:type="dxa"/>
            <w:vAlign w:val="bottom"/>
          </w:tcPr>
          <w:p>
            <w:pPr>
              <w:spacing w:after="0"/>
              <w:rPr>
                <w:sz w:val="1"/>
                <w:szCs w:val="1"/>
                <w:color w:val="auto"/>
              </w:rPr>
            </w:pPr>
          </w:p>
        </w:tc>
      </w:tr>
      <w:tr>
        <w:trPr>
          <w:trHeight w:val="162"/>
        </w:trPr>
        <w:tc>
          <w:tcPr>
            <w:tcW w:w="2540" w:type="dxa"/>
            <w:vAlign w:val="bottom"/>
            <w:gridSpan w:val="2"/>
            <w:shd w:val="clear" w:color="auto" w:fill="E5E7EF"/>
          </w:tcPr>
          <w:p>
            <w:pPr>
              <w:ind w:left="20"/>
              <w:spacing w:after="0" w:line="162" w:lineRule="exact"/>
              <w:rPr>
                <w:sz w:val="20"/>
                <w:szCs w:val="20"/>
                <w:color w:val="auto"/>
              </w:rPr>
            </w:pPr>
            <w:r>
              <w:rPr>
                <w:rFonts w:ascii="Arial" w:cs="Arial" w:eastAsia="Arial" w:hAnsi="Arial"/>
                <w:sz w:val="17"/>
                <w:szCs w:val="17"/>
                <w:color w:val="002E6D"/>
              </w:rPr>
              <w:t>Sales of</w:t>
            </w:r>
          </w:p>
        </w:tc>
        <w:tc>
          <w:tcPr>
            <w:tcW w:w="160" w:type="dxa"/>
            <w:vAlign w:val="bottom"/>
          </w:tcPr>
          <w:p>
            <w:pPr>
              <w:spacing w:after="0"/>
              <w:rPr>
                <w:sz w:val="14"/>
                <w:szCs w:val="14"/>
                <w:color w:val="auto"/>
              </w:rPr>
            </w:pPr>
          </w:p>
        </w:tc>
        <w:tc>
          <w:tcPr>
            <w:tcW w:w="2860" w:type="dxa"/>
            <w:vAlign w:val="bottom"/>
            <w:gridSpan w:val="2"/>
            <w:shd w:val="clear" w:color="auto" w:fill="E5E7EF"/>
          </w:tcPr>
          <w:p>
            <w:pPr>
              <w:ind w:left="20"/>
              <w:spacing w:after="0" w:line="162" w:lineRule="exact"/>
              <w:rPr>
                <w:sz w:val="20"/>
                <w:szCs w:val="20"/>
                <w:color w:val="auto"/>
              </w:rPr>
            </w:pPr>
            <w:r>
              <w:rPr>
                <w:rFonts w:ascii="Arial" w:cs="Arial" w:eastAsia="Arial" w:hAnsi="Arial"/>
                <w:sz w:val="17"/>
                <w:szCs w:val="17"/>
                <w:color w:val="002E6D"/>
              </w:rPr>
              <w:t>Operating Profit* of</w:t>
            </w:r>
          </w:p>
        </w:tc>
        <w:tc>
          <w:tcPr>
            <w:tcW w:w="140" w:type="dxa"/>
            <w:vAlign w:val="bottom"/>
          </w:tcPr>
          <w:p>
            <w:pPr>
              <w:spacing w:after="0"/>
              <w:rPr>
                <w:sz w:val="14"/>
                <w:szCs w:val="14"/>
                <w:color w:val="auto"/>
              </w:rPr>
            </w:pPr>
          </w:p>
        </w:tc>
        <w:tc>
          <w:tcPr>
            <w:tcW w:w="1100" w:type="dxa"/>
            <w:vAlign w:val="bottom"/>
            <w:gridSpan w:val="2"/>
            <w:vMerge w:val="restart"/>
            <w:shd w:val="clear" w:color="auto" w:fill="E5E7EF"/>
          </w:tcPr>
          <w:p>
            <w:pPr>
              <w:ind w:left="20"/>
              <w:spacing w:after="0" w:line="324" w:lineRule="exact"/>
              <w:rPr>
                <w:sz w:val="20"/>
                <w:szCs w:val="20"/>
                <w:color w:val="auto"/>
              </w:rPr>
            </w:pPr>
            <w:r>
              <w:rPr>
                <w:rFonts w:ascii="Arial" w:cs="Arial" w:eastAsia="Arial" w:hAnsi="Arial"/>
                <w:sz w:val="29"/>
                <w:szCs w:val="29"/>
                <w:color w:val="002E6D"/>
                <w:w w:val="98"/>
                <w:shd w:val="clear" w:color="auto" w:fill="E5E7EF"/>
              </w:rPr>
              <w:t>$147.1B</w:t>
            </w:r>
          </w:p>
        </w:tc>
        <w:tc>
          <w:tcPr>
            <w:tcW w:w="1520" w:type="dxa"/>
            <w:vAlign w:val="bottom"/>
            <w:shd w:val="clear" w:color="auto" w:fill="E5E7EF"/>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2"/>
            <w:shd w:val="clear" w:color="auto" w:fill="E5E7EF"/>
          </w:tcPr>
          <w:p>
            <w:pPr>
              <w:ind w:left="20"/>
              <w:spacing w:after="0" w:line="162" w:lineRule="exact"/>
              <w:rPr>
                <w:sz w:val="20"/>
                <w:szCs w:val="20"/>
                <w:color w:val="auto"/>
              </w:rPr>
            </w:pPr>
            <w:r>
              <w:rPr>
                <w:rFonts w:ascii="Arial" w:cs="Arial" w:eastAsia="Arial" w:hAnsi="Arial"/>
                <w:sz w:val="17"/>
                <w:szCs w:val="17"/>
                <w:color w:val="002E6D"/>
              </w:rPr>
              <w:t>per Share from</w:t>
            </w:r>
          </w:p>
        </w:tc>
        <w:tc>
          <w:tcPr>
            <w:tcW w:w="0" w:type="dxa"/>
            <w:vAlign w:val="bottom"/>
          </w:tcPr>
          <w:p>
            <w:pPr>
              <w:spacing w:after="0"/>
              <w:rPr>
                <w:sz w:val="1"/>
                <w:szCs w:val="1"/>
                <w:color w:val="auto"/>
              </w:rPr>
            </w:pPr>
          </w:p>
        </w:tc>
      </w:tr>
      <w:tr>
        <w:trPr>
          <w:trHeight w:val="162"/>
        </w:trPr>
        <w:tc>
          <w:tcPr>
            <w:tcW w:w="940" w:type="dxa"/>
            <w:vAlign w:val="bottom"/>
            <w:vMerge w:val="restart"/>
            <w:shd w:val="clear" w:color="auto" w:fill="E5E7EF"/>
          </w:tcPr>
          <w:p>
            <w:pPr>
              <w:ind w:left="20"/>
              <w:spacing w:after="0"/>
              <w:rPr>
                <w:sz w:val="20"/>
                <w:szCs w:val="20"/>
                <w:color w:val="auto"/>
              </w:rPr>
            </w:pPr>
            <w:r>
              <w:rPr>
                <w:rFonts w:ascii="Arial" w:cs="Arial" w:eastAsia="Arial" w:hAnsi="Arial"/>
                <w:sz w:val="29"/>
                <w:szCs w:val="29"/>
                <w:color w:val="002E6D"/>
                <w:w w:val="97"/>
                <w:shd w:val="clear" w:color="auto" w:fill="E5E7EF"/>
              </w:rPr>
              <w:t>$65.4B</w:t>
            </w:r>
          </w:p>
        </w:tc>
        <w:tc>
          <w:tcPr>
            <w:tcW w:w="1600" w:type="dxa"/>
            <w:vAlign w:val="bottom"/>
            <w:shd w:val="clear" w:color="auto" w:fill="E5E7EF"/>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shd w:val="clear" w:color="auto" w:fill="E5E7EF"/>
          </w:tcPr>
          <w:p>
            <w:pPr>
              <w:ind w:left="20"/>
              <w:spacing w:after="0"/>
              <w:rPr>
                <w:sz w:val="20"/>
                <w:szCs w:val="20"/>
                <w:color w:val="auto"/>
              </w:rPr>
            </w:pPr>
            <w:r>
              <w:rPr>
                <w:rFonts w:ascii="Arial" w:cs="Arial" w:eastAsia="Arial" w:hAnsi="Arial"/>
                <w:sz w:val="29"/>
                <w:szCs w:val="29"/>
                <w:color w:val="002E6D"/>
                <w:w w:val="94"/>
                <w:shd w:val="clear" w:color="auto" w:fill="E5E7EF"/>
              </w:rPr>
              <w:t>$7.2B</w:t>
            </w:r>
          </w:p>
        </w:tc>
        <w:tc>
          <w:tcPr>
            <w:tcW w:w="2100" w:type="dxa"/>
            <w:vAlign w:val="bottom"/>
            <w:shd w:val="clear" w:color="auto" w:fill="E5E7EF"/>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shd w:val="clear" w:color="auto" w:fill="E5E7EF"/>
          </w:tcPr>
          <w:p>
            <w:pPr>
              <w:spacing w:after="0"/>
              <w:rPr>
                <w:sz w:val="14"/>
                <w:szCs w:val="14"/>
                <w:color w:val="auto"/>
              </w:rPr>
            </w:pPr>
          </w:p>
        </w:tc>
        <w:tc>
          <w:tcPr>
            <w:tcW w:w="1520" w:type="dxa"/>
            <w:vAlign w:val="bottom"/>
            <w:shd w:val="clear" w:color="auto" w:fill="E5E7EF"/>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2"/>
            <w:shd w:val="clear" w:color="auto" w:fill="E5E7EF"/>
          </w:tcPr>
          <w:p>
            <w:pPr>
              <w:ind w:left="20"/>
              <w:spacing w:after="0" w:line="162" w:lineRule="exact"/>
              <w:rPr>
                <w:sz w:val="20"/>
                <w:szCs w:val="20"/>
                <w:color w:val="auto"/>
              </w:rPr>
            </w:pPr>
            <w:r>
              <w:rPr>
                <w:rFonts w:ascii="Arial" w:cs="Arial" w:eastAsia="Arial" w:hAnsi="Arial"/>
                <w:sz w:val="17"/>
                <w:szCs w:val="17"/>
                <w:color w:val="002E6D"/>
              </w:rPr>
              <w:t>continuing operations</w:t>
            </w:r>
          </w:p>
        </w:tc>
        <w:tc>
          <w:tcPr>
            <w:tcW w:w="0" w:type="dxa"/>
            <w:vAlign w:val="bottom"/>
          </w:tcPr>
          <w:p>
            <w:pPr>
              <w:spacing w:after="0"/>
              <w:rPr>
                <w:sz w:val="1"/>
                <w:szCs w:val="1"/>
                <w:color w:val="auto"/>
              </w:rPr>
            </w:pPr>
          </w:p>
        </w:tc>
      </w:tr>
      <w:tr>
        <w:trPr>
          <w:trHeight w:val="232"/>
        </w:trPr>
        <w:tc>
          <w:tcPr>
            <w:tcW w:w="940" w:type="dxa"/>
            <w:vAlign w:val="bottom"/>
            <w:vMerge w:val="continue"/>
            <w:shd w:val="clear" w:color="auto" w:fill="E5E7EF"/>
          </w:tcPr>
          <w:p>
            <w:pPr>
              <w:spacing w:after="0"/>
              <w:rPr>
                <w:sz w:val="20"/>
                <w:szCs w:val="20"/>
                <w:color w:val="auto"/>
              </w:rPr>
            </w:pPr>
          </w:p>
        </w:tc>
        <w:tc>
          <w:tcPr>
            <w:tcW w:w="1600" w:type="dxa"/>
            <w:vAlign w:val="bottom"/>
            <w:shd w:val="clear" w:color="auto" w:fill="E5E7EF"/>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vMerge w:val="continue"/>
            <w:shd w:val="clear" w:color="auto" w:fill="E5E7EF"/>
          </w:tcPr>
          <w:p>
            <w:pPr>
              <w:spacing w:after="0"/>
              <w:rPr>
                <w:sz w:val="20"/>
                <w:szCs w:val="20"/>
                <w:color w:val="auto"/>
              </w:rPr>
            </w:pPr>
          </w:p>
        </w:tc>
        <w:tc>
          <w:tcPr>
            <w:tcW w:w="2100" w:type="dxa"/>
            <w:vAlign w:val="bottom"/>
            <w:shd w:val="clear" w:color="auto" w:fill="E5E7EF"/>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shd w:val="clear" w:color="auto" w:fill="E5E7EF"/>
          </w:tcPr>
          <w:p>
            <w:pPr>
              <w:spacing w:after="0"/>
              <w:rPr>
                <w:sz w:val="20"/>
                <w:szCs w:val="20"/>
                <w:color w:val="auto"/>
              </w:rPr>
            </w:pPr>
          </w:p>
        </w:tc>
        <w:tc>
          <w:tcPr>
            <w:tcW w:w="680" w:type="dxa"/>
            <w:vAlign w:val="bottom"/>
            <w:shd w:val="clear" w:color="auto" w:fill="E5E7EF"/>
          </w:tcPr>
          <w:p>
            <w:pPr>
              <w:spacing w:after="0"/>
              <w:rPr>
                <w:sz w:val="20"/>
                <w:szCs w:val="20"/>
                <w:color w:val="auto"/>
              </w:rPr>
            </w:pPr>
          </w:p>
        </w:tc>
        <w:tc>
          <w:tcPr>
            <w:tcW w:w="1520" w:type="dxa"/>
            <w:vAlign w:val="bottom"/>
            <w:shd w:val="clear" w:color="auto" w:fill="E5E7EF"/>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2"/>
            <w:shd w:val="clear" w:color="auto" w:fill="E5E7EF"/>
          </w:tcPr>
          <w:p>
            <w:pPr>
              <w:ind w:left="20"/>
              <w:spacing w:after="0"/>
              <w:rPr>
                <w:sz w:val="20"/>
                <w:szCs w:val="20"/>
                <w:color w:val="auto"/>
              </w:rPr>
            </w:pPr>
            <w:r>
              <w:rPr>
                <w:rFonts w:ascii="Arial" w:cs="Arial" w:eastAsia="Arial" w:hAnsi="Arial"/>
                <w:sz w:val="17"/>
                <w:szCs w:val="17"/>
                <w:color w:val="002E6D"/>
              </w:rPr>
              <w:t>of</w:t>
            </w:r>
          </w:p>
        </w:tc>
        <w:tc>
          <w:tcPr>
            <w:tcW w:w="0" w:type="dxa"/>
            <w:vAlign w:val="bottom"/>
          </w:tcPr>
          <w:p>
            <w:pPr>
              <w:spacing w:after="0"/>
              <w:rPr>
                <w:sz w:val="1"/>
                <w:szCs w:val="1"/>
                <w:color w:val="auto"/>
              </w:rPr>
            </w:pPr>
          </w:p>
        </w:tc>
      </w:tr>
      <w:tr>
        <w:trPr>
          <w:trHeight w:val="328"/>
        </w:trPr>
        <w:tc>
          <w:tcPr>
            <w:tcW w:w="940" w:type="dxa"/>
            <w:vAlign w:val="bottom"/>
            <w:shd w:val="clear" w:color="auto" w:fill="E5E7EF"/>
          </w:tcPr>
          <w:p>
            <w:pPr>
              <w:spacing w:after="0"/>
              <w:rPr>
                <w:sz w:val="24"/>
                <w:szCs w:val="24"/>
                <w:color w:val="auto"/>
              </w:rPr>
            </w:pPr>
          </w:p>
        </w:tc>
        <w:tc>
          <w:tcPr>
            <w:tcW w:w="1600" w:type="dxa"/>
            <w:vAlign w:val="bottom"/>
            <w:shd w:val="clear" w:color="auto" w:fill="E5E7EF"/>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shd w:val="clear" w:color="auto" w:fill="E5E7EF"/>
          </w:tcPr>
          <w:p>
            <w:pPr>
              <w:spacing w:after="0"/>
              <w:rPr>
                <w:sz w:val="24"/>
                <w:szCs w:val="24"/>
                <w:color w:val="auto"/>
              </w:rPr>
            </w:pPr>
          </w:p>
        </w:tc>
        <w:tc>
          <w:tcPr>
            <w:tcW w:w="2100" w:type="dxa"/>
            <w:vAlign w:val="bottom"/>
            <w:shd w:val="clear" w:color="auto" w:fill="E5E7EF"/>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shd w:val="clear" w:color="auto" w:fill="E5E7EF"/>
          </w:tcPr>
          <w:p>
            <w:pPr>
              <w:spacing w:after="0"/>
              <w:rPr>
                <w:sz w:val="24"/>
                <w:szCs w:val="24"/>
                <w:color w:val="auto"/>
              </w:rPr>
            </w:pPr>
          </w:p>
        </w:tc>
        <w:tc>
          <w:tcPr>
            <w:tcW w:w="680" w:type="dxa"/>
            <w:vAlign w:val="bottom"/>
            <w:shd w:val="clear" w:color="auto" w:fill="E5E7EF"/>
          </w:tcPr>
          <w:p>
            <w:pPr>
              <w:spacing w:after="0"/>
              <w:rPr>
                <w:sz w:val="24"/>
                <w:szCs w:val="24"/>
                <w:color w:val="auto"/>
              </w:rPr>
            </w:pPr>
          </w:p>
        </w:tc>
        <w:tc>
          <w:tcPr>
            <w:tcW w:w="1520" w:type="dxa"/>
            <w:vAlign w:val="bottom"/>
            <w:shd w:val="clear" w:color="auto" w:fill="E5E7EF"/>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shd w:val="clear" w:color="auto" w:fill="E5E7EF"/>
          </w:tcPr>
          <w:p>
            <w:pPr>
              <w:ind w:left="20"/>
              <w:spacing w:after="0" w:line="328" w:lineRule="exact"/>
              <w:rPr>
                <w:sz w:val="20"/>
                <w:szCs w:val="20"/>
                <w:color w:val="auto"/>
              </w:rPr>
            </w:pPr>
            <w:r>
              <w:rPr>
                <w:rFonts w:ascii="Arial" w:cs="Arial" w:eastAsia="Arial" w:hAnsi="Arial"/>
                <w:sz w:val="29"/>
                <w:szCs w:val="29"/>
                <w:color w:val="002E6D"/>
                <w:w w:val="96"/>
                <w:shd w:val="clear" w:color="auto" w:fill="E5E7EF"/>
              </w:rPr>
              <w:t>$24.50</w:t>
            </w:r>
          </w:p>
        </w:tc>
        <w:tc>
          <w:tcPr>
            <w:tcW w:w="1880" w:type="dxa"/>
            <w:vAlign w:val="bottom"/>
            <w:shd w:val="clear" w:color="auto" w:fill="E5E7E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E5E7EF"/>
          </w:tcPr>
          <w:p>
            <w:pPr>
              <w:spacing w:after="0"/>
              <w:rPr>
                <w:sz w:val="12"/>
                <w:szCs w:val="12"/>
                <w:color w:val="auto"/>
              </w:rPr>
            </w:pPr>
          </w:p>
        </w:tc>
        <w:tc>
          <w:tcPr>
            <w:tcW w:w="1600" w:type="dxa"/>
            <w:vAlign w:val="bottom"/>
            <w:shd w:val="clear" w:color="auto" w:fill="E5E7EF"/>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shd w:val="clear" w:color="auto" w:fill="E5E7EF"/>
          </w:tcPr>
          <w:p>
            <w:pPr>
              <w:spacing w:after="0"/>
              <w:rPr>
                <w:sz w:val="12"/>
                <w:szCs w:val="12"/>
                <w:color w:val="auto"/>
              </w:rPr>
            </w:pPr>
          </w:p>
        </w:tc>
        <w:tc>
          <w:tcPr>
            <w:tcW w:w="2100" w:type="dxa"/>
            <w:vAlign w:val="bottom"/>
            <w:shd w:val="clear" w:color="auto" w:fill="E5E7EF"/>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shd w:val="clear" w:color="auto" w:fill="E5E7EF"/>
          </w:tcPr>
          <w:p>
            <w:pPr>
              <w:spacing w:after="0"/>
              <w:rPr>
                <w:sz w:val="12"/>
                <w:szCs w:val="12"/>
                <w:color w:val="auto"/>
              </w:rPr>
            </w:pPr>
          </w:p>
        </w:tc>
        <w:tc>
          <w:tcPr>
            <w:tcW w:w="680" w:type="dxa"/>
            <w:vAlign w:val="bottom"/>
            <w:shd w:val="clear" w:color="auto" w:fill="E5E7EF"/>
          </w:tcPr>
          <w:p>
            <w:pPr>
              <w:spacing w:after="0"/>
              <w:rPr>
                <w:sz w:val="12"/>
                <w:szCs w:val="12"/>
                <w:color w:val="auto"/>
              </w:rPr>
            </w:pPr>
          </w:p>
        </w:tc>
        <w:tc>
          <w:tcPr>
            <w:tcW w:w="1520" w:type="dxa"/>
            <w:vAlign w:val="bottom"/>
            <w:shd w:val="clear" w:color="auto" w:fill="E5E7EF"/>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shd w:val="clear" w:color="auto" w:fill="E5E7EF"/>
          </w:tcPr>
          <w:p>
            <w:pPr>
              <w:spacing w:after="0"/>
              <w:rPr>
                <w:sz w:val="12"/>
                <w:szCs w:val="12"/>
                <w:color w:val="auto"/>
              </w:rPr>
            </w:pPr>
          </w:p>
        </w:tc>
        <w:tc>
          <w:tcPr>
            <w:tcW w:w="188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Borders>
              <w:bottom w:val="single" w:sz="8" w:color="002F6C"/>
            </w:tcBorders>
          </w:tcPr>
          <w:p>
            <w:pPr>
              <w:spacing w:after="0"/>
              <w:rPr>
                <w:sz w:val="9"/>
                <w:szCs w:val="9"/>
                <w:color w:val="auto"/>
              </w:rPr>
            </w:pPr>
          </w:p>
        </w:tc>
        <w:tc>
          <w:tcPr>
            <w:tcW w:w="1520" w:type="dxa"/>
            <w:vAlign w:val="bottom"/>
            <w:tcBorders>
              <w:bottom w:val="single" w:sz="8" w:color="002F6C"/>
            </w:tcBorders>
          </w:tcPr>
          <w:p>
            <w:pPr>
              <w:spacing w:after="0"/>
              <w:rPr>
                <w:sz w:val="9"/>
                <w:szCs w:val="9"/>
                <w:color w:val="auto"/>
              </w:rPr>
            </w:pPr>
          </w:p>
        </w:tc>
        <w:tc>
          <w:tcPr>
            <w:tcW w:w="140" w:type="dxa"/>
            <w:vAlign w:val="bottom"/>
            <w:tcBorders>
              <w:bottom w:val="single" w:sz="8" w:color="002F6C"/>
            </w:tcBorders>
          </w:tcPr>
          <w:p>
            <w:pPr>
              <w:spacing w:after="0"/>
              <w:rPr>
                <w:sz w:val="9"/>
                <w:szCs w:val="9"/>
                <w:color w:val="auto"/>
              </w:rPr>
            </w:pPr>
          </w:p>
        </w:tc>
        <w:tc>
          <w:tcPr>
            <w:tcW w:w="900" w:type="dxa"/>
            <w:vAlign w:val="bottom"/>
            <w:tcBorders>
              <w:bottom w:val="single" w:sz="8" w:color="002F6C"/>
            </w:tcBorders>
          </w:tcPr>
          <w:p>
            <w:pPr>
              <w:spacing w:after="0"/>
              <w:rPr>
                <w:sz w:val="9"/>
                <w:szCs w:val="9"/>
                <w:color w:val="auto"/>
              </w:rPr>
            </w:pPr>
          </w:p>
        </w:tc>
        <w:tc>
          <w:tcPr>
            <w:tcW w:w="1880" w:type="dxa"/>
            <w:vAlign w:val="bottom"/>
            <w:tcBorders>
              <w:bottom w:val="single" w:sz="8" w:color="002F6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-702310</wp:posOffset>
            </wp:positionV>
            <wp:extent cx="428625" cy="4286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-685165</wp:posOffset>
            </wp:positionV>
            <wp:extent cx="394335" cy="394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-694055</wp:posOffset>
            </wp:positionV>
            <wp:extent cx="411480" cy="411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-694055</wp:posOffset>
            </wp:positionV>
            <wp:extent cx="411480" cy="411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115" w:lineRule="exact"/>
        <w:rPr>
          <w:sz w:val="20"/>
          <w:szCs w:val="20"/>
          <w:color w:val="auto"/>
        </w:rPr>
      </w:pPr>
    </w:p>
    <w:p>
      <w:pPr>
        <w:ind w:left="20"/>
        <w:spacing w:after="0" w:line="233" w:lineRule="auto"/>
        <w:rPr>
          <w:sz w:val="20"/>
          <w:szCs w:val="20"/>
          <w:color w:val="auto"/>
        </w:rPr>
      </w:pPr>
      <w:r>
        <w:rPr>
          <w:rFonts w:ascii="Arial" w:cs="Arial" w:eastAsia="Arial" w:hAnsi="Arial"/>
          <w:sz w:val="17"/>
          <w:szCs w:val="17"/>
          <w:color w:val="auto"/>
        </w:rPr>
        <w:t>In 2020, Lockheed Martin demonstrated agility, resilience, and resolve in the face of the year’s unprecedented geopolitical, business, and public health challenges. We continued to exhibit strong growth across our diverse portfolio, as manifested in our financial and operational results. In 2020, the Corporation achieved records for sales, segment operating profit* and earnings per share. Lockheed Martin’s net sales and segment operating profit in 2020 both increased 9% compared to 2019 and we generated cash from operations of $8.2 billion after $1.0 billion of discretionary pension contributions. In addition, we ended 2020 with orders of $68.1 billion, adding to our strong year-end backlog of $147.1 billion.</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Despite COVID-19 supplier challenges that impacted aircraft deliveries, the F-35 fifth generation fighter program worked with our customers and partners to mitigate risks brought on by the pandemic and continued to achieve unmatched combat capability. In 2020, we delivered 120 F-35s and remained on track to meet the joint government and industry recovery commitments over the coming years. In total, the program has surpassed 600 aircraft deliveries and more than 350,000 flight hours. The F-35 program also celebrated several international milestones with Poland and Singapore joining the program and several other nations expressing interest in joining as well.</w:t>
      </w:r>
    </w:p>
    <w:p>
      <w:pPr>
        <w:spacing w:after="0" w:line="239" w:lineRule="exact"/>
        <w:rPr>
          <w:sz w:val="20"/>
          <w:szCs w:val="20"/>
          <w:color w:val="auto"/>
        </w:rPr>
      </w:pPr>
    </w:p>
    <w:p>
      <w:pPr>
        <w:ind w:left="20"/>
        <w:spacing w:after="0" w:line="233" w:lineRule="auto"/>
        <w:rPr>
          <w:sz w:val="20"/>
          <w:szCs w:val="20"/>
          <w:color w:val="auto"/>
        </w:rPr>
      </w:pPr>
      <w:r>
        <w:rPr>
          <w:rFonts w:ascii="Arial" w:cs="Arial" w:eastAsia="Arial" w:hAnsi="Arial"/>
          <w:sz w:val="17"/>
          <w:szCs w:val="17"/>
          <w:color w:val="auto"/>
        </w:rPr>
        <w:t>The Corporation also had strategic and operational accomplishments across our other business segments in 2020. In April, we were awarded a contract valued at more than $6 billion to supply PAC-3 Missile Segment Enhancement interceptors, launcher modification kits, and associated equipment to support the United States and international customers. Early in the year, we celebrated the launch of the sixth and final Advanced Extremely High Frequency satellite. Notably, the satellite was the first in orbit for the newly formed U.S. Space Force. We also received a $2 billion Performance-Based Logistics contract for sustainment services on the MH-60 SEAHAWK® platform for the U.S. Navy. Strategically, Lockheed Martin continued to invest in emerging technologies in the areas of autonomy, hypersonics, and artificial intelligence to better serve our customers in an increasingly volatile and unpredictable threat environment.</w:t>
      </w:r>
    </w:p>
    <w:p>
      <w:pPr>
        <w:spacing w:after="0" w:line="98" w:lineRule="exact"/>
        <w:rPr>
          <w:sz w:val="20"/>
          <w:szCs w:val="20"/>
          <w:color w:val="auto"/>
        </w:rPr>
      </w:pPr>
    </w:p>
    <w:p>
      <w:pPr>
        <w:ind w:left="20" w:right="140"/>
        <w:spacing w:after="0" w:line="234" w:lineRule="auto"/>
        <w:rPr>
          <w:sz w:val="20"/>
          <w:szCs w:val="20"/>
          <w:color w:val="auto"/>
        </w:rPr>
      </w:pPr>
      <w:r>
        <w:rPr>
          <w:rFonts w:ascii="Arial" w:cs="Arial" w:eastAsia="Arial" w:hAnsi="Arial"/>
          <w:sz w:val="17"/>
          <w:szCs w:val="17"/>
          <w:color w:val="auto"/>
        </w:rPr>
        <w:t>We also continued our efforts to return cash to stockholders through dividends and share repurchases. During 2020, we returned $3.9 billion of cash from operations to our stockholders, with $1.1 billion in share repurchases and $2.8 billion paid in cash dividends. Lockheed Martin's total stockholder returns have outperformed the S&amp;P 500 Aerospace &amp; Defense Index over the past one-, three-, and five-year periods, reflecting these financial, strategic and operational accomplishments.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*See Appendix A for an explanation of Non-GAAP terms.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475C90"/>
        </w:rPr>
        <w:t>1-Year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1886585</wp:posOffset>
            </wp:positionV>
            <wp:extent cx="32486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4866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343535</wp:posOffset>
            </wp:positionV>
            <wp:extent cx="2657475" cy="12001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5747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475C90"/>
        </w:rPr>
        <w:t>3-Year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1886585</wp:posOffset>
            </wp:positionV>
            <wp:extent cx="32486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486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343535</wp:posOffset>
            </wp:positionV>
            <wp:extent cx="2657475" cy="12001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5747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475C90"/>
        </w:rPr>
        <w:t>5-Year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343535</wp:posOffset>
            </wp:positionV>
            <wp:extent cx="2657475" cy="12001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57475" cy="1200150"/>
                    </a:xfrm>
                    <a:prstGeom prst="rect">
                      <a:avLst/>
                    </a:prstGeom>
                    <a:noFill/>
                  </pic:spPr>
                </pic:pic>
              </a:graphicData>
            </a:graphic>
          </wp:anchor>
        </w:drawing>
      </w:r>
    </w:p>
    <w:p>
      <w:pPr>
        <w:spacing w:after="0" w:line="1743" w:lineRule="exact"/>
        <w:rPr>
          <w:sz w:val="20"/>
          <w:szCs w:val="20"/>
          <w:color w:val="auto"/>
        </w:rPr>
      </w:pPr>
    </w:p>
    <w:p>
      <w:pPr>
        <w:sectPr>
          <w:pgSz w:w="11900" w:h="16838" w:orient="portrait"/>
          <w:cols w:equalWidth="0" w:num="2">
            <w:col w:w="5880" w:space="260"/>
            <w:col w:w="5100"/>
          </w:cols>
          <w:pgMar w:left="320" w:top="6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41</w:t>
      </w:r>
    </w:p>
    <w:p>
      <w:pPr>
        <w:sectPr>
          <w:pgSz w:w="11900" w:h="16838" w:orient="portrait"/>
          <w:cols w:equalWidth="0" w:num="1">
            <w:col w:w="11240"/>
          </w:cols>
          <w:pgMar w:left="320" w:top="609"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475C90"/>
        </w:rPr>
        <w:t>Compensation Overview</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executive compensation programs covering our NEOs are designed to attract and retain critical executive talent, to motivate behaviors that align with stockholders’ interests and to pay for performance. The majority of our NEOs’ pay is variable and contingent on performance with over two-thirds in the form of long-term incentives (LTI). To ensure pay is competitive with market practices, we conduct a benchmarking analysis each year when establishing base salary, annual incentive target opportunities and LTI target opportunities. Each element of compensation is evaluated against the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which we refer to as “market rate,” of our comparator group of companies, as shown on page 45. Although target incentive opportunities are set by reference to the market rate, incentive plan terms provide for actual payouts to be based upon actual performance that can result in payouts above or below targeted levels. Based on actual results relative to our pre-established goals under our incentive programs, the</w:t>
      </w:r>
    </w:p>
    <w:p>
      <w:pPr>
        <w:spacing w:after="0" w:line="3"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2020 annual incentive program paid out at 177% of target and the 2018-2020 Long-Term Incentive Performance awards (LTIP) and Performance Stock Units (PSUs) paid out at 200% of target for all NEOs.</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We have not made any modifications to our compensation programs or to our targets or goals in response to COVID-19 or the Coronavirus Aid, Relief and Economic Security (CARES) Act. However, in September 2020, the Compensation Committee approved amendments to outstanding long-term incentive award agreements to ensure that the ultimate payouts are not impacted to a participant’s benefit or detriment by government stimulus and assistance programs enacted in response to COVID-19 or by pension risk transfer transactions (please see “Setting Performance Goals for PSUs and LTIP” on page 52 for more specific details).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475C90"/>
        </w:rPr>
        <w:t>CEO Transition</w:t>
      </w:r>
    </w:p>
    <w:p>
      <w:pPr>
        <w:spacing w:after="0" w:line="11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Effective June 15, 2020, Ms. Hewson transitioned from Chairman, President and CEO to Executive Chairman and Mr. Taiclet was elected President and CEO. Effective March 1, 2021, Mr. Taiclet was elected Chairman and Ms. Hewson became Strategic Advisor to the CEO. Ms. Hewson is expected to serve in this role until February 28, 2022.</w:t>
      </w:r>
    </w:p>
    <w:p>
      <w:pPr>
        <w:spacing w:after="0" w:line="83"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The Corporation maintains and has regularly adhered to a compensation philosophy of providing target total compensation opportunities consistent with the market rate. This policy is consistently applied to all NEOs. The table below illustrates the annualized value of Mr. Taiclet’s approved 2020 target total compensation opportunity: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shd w:val="clear" w:color="auto" w:fill="E5E7EF"/>
          </w:tcPr>
          <w:p>
            <w:pPr>
              <w:ind w:left="20"/>
              <w:spacing w:after="0"/>
              <w:rPr>
                <w:sz w:val="20"/>
                <w:szCs w:val="20"/>
                <w:color w:val="auto"/>
              </w:rPr>
            </w:pPr>
            <w:r>
              <w:rPr>
                <w:rFonts w:ascii="Arial" w:cs="Arial" w:eastAsia="Arial" w:hAnsi="Arial"/>
                <w:sz w:val="13"/>
                <w:szCs w:val="13"/>
                <w:color w:val="auto"/>
              </w:rPr>
              <w:t>Approved 2020 Compensation</w:t>
            </w:r>
          </w:p>
        </w:tc>
        <w:tc>
          <w:tcPr>
            <w:tcW w:w="1240" w:type="dxa"/>
            <w:vAlign w:val="bottom"/>
            <w:shd w:val="clear" w:color="auto" w:fill="E5E7EF"/>
          </w:tcPr>
          <w:p>
            <w:pPr>
              <w:spacing w:after="0"/>
              <w:rPr>
                <w:sz w:val="15"/>
                <w:szCs w:val="15"/>
                <w:color w:val="auto"/>
              </w:rPr>
            </w:pPr>
          </w:p>
        </w:tc>
        <w:tc>
          <w:tcPr>
            <w:tcW w:w="1120" w:type="dxa"/>
            <w:vAlign w:val="bottom"/>
            <w:shd w:val="clear" w:color="auto" w:fill="E5E7EF"/>
          </w:tcPr>
          <w:p>
            <w:pPr>
              <w:spacing w:after="0"/>
              <w:rPr>
                <w:sz w:val="15"/>
                <w:szCs w:val="15"/>
                <w:color w:val="auto"/>
              </w:rPr>
            </w:pPr>
          </w:p>
        </w:tc>
        <w:tc>
          <w:tcPr>
            <w:tcW w:w="1280" w:type="dxa"/>
            <w:vAlign w:val="bottom"/>
            <w:shd w:val="clear" w:color="auto" w:fill="E5E7EF"/>
          </w:tcPr>
          <w:p>
            <w:pPr>
              <w:spacing w:after="0"/>
              <w:rPr>
                <w:sz w:val="15"/>
                <w:szCs w:val="15"/>
                <w:color w:val="auto"/>
              </w:rPr>
            </w:pPr>
          </w:p>
        </w:tc>
        <w:tc>
          <w:tcPr>
            <w:tcW w:w="1420" w:type="dxa"/>
            <w:vAlign w:val="bottom"/>
            <w:shd w:val="clear" w:color="auto" w:fill="E5E7EF"/>
          </w:tcPr>
          <w:p>
            <w:pPr>
              <w:spacing w:after="0"/>
              <w:rPr>
                <w:sz w:val="15"/>
                <w:szCs w:val="15"/>
                <w:color w:val="auto"/>
              </w:rPr>
            </w:pPr>
          </w:p>
        </w:tc>
        <w:tc>
          <w:tcPr>
            <w:tcW w:w="1140" w:type="dxa"/>
            <w:vAlign w:val="bottom"/>
            <w:shd w:val="clear" w:color="auto" w:fill="E5E7EF"/>
          </w:tcPr>
          <w:p>
            <w:pPr>
              <w:spacing w:after="0"/>
              <w:rPr>
                <w:sz w:val="15"/>
                <w:szCs w:val="15"/>
                <w:color w:val="auto"/>
              </w:rPr>
            </w:pPr>
          </w:p>
        </w:tc>
      </w:tr>
      <w:tr>
        <w:trPr>
          <w:trHeight w:val="199"/>
        </w:trPr>
        <w:tc>
          <w:tcPr>
            <w:tcW w:w="4880" w:type="dxa"/>
            <w:vAlign w:val="bottom"/>
            <w:shd w:val="clear" w:color="auto" w:fill="E5E7EF"/>
          </w:tcPr>
          <w:p>
            <w:pPr>
              <w:spacing w:after="0"/>
              <w:rPr>
                <w:sz w:val="17"/>
                <w:szCs w:val="17"/>
                <w:color w:val="auto"/>
              </w:rPr>
            </w:pPr>
          </w:p>
        </w:tc>
        <w:tc>
          <w:tcPr>
            <w:tcW w:w="1240" w:type="dxa"/>
            <w:vAlign w:val="bottom"/>
            <w:shd w:val="clear" w:color="auto" w:fill="E5E7EF"/>
          </w:tcPr>
          <w:p>
            <w:pPr>
              <w:spacing w:after="0"/>
              <w:rPr>
                <w:sz w:val="17"/>
                <w:szCs w:val="17"/>
                <w:color w:val="auto"/>
              </w:rPr>
            </w:pPr>
          </w:p>
        </w:tc>
        <w:tc>
          <w:tcPr>
            <w:tcW w:w="1120" w:type="dxa"/>
            <w:vAlign w:val="bottom"/>
            <w:shd w:val="clear" w:color="auto" w:fill="E5E7EF"/>
          </w:tcPr>
          <w:p>
            <w:pPr>
              <w:jc w:val="right"/>
              <w:ind w:right="34"/>
              <w:spacing w:after="0"/>
              <w:rPr>
                <w:sz w:val="20"/>
                <w:szCs w:val="20"/>
                <w:color w:val="auto"/>
              </w:rPr>
            </w:pPr>
            <w:r>
              <w:rPr>
                <w:rFonts w:ascii="Arial" w:cs="Arial" w:eastAsia="Arial" w:hAnsi="Arial"/>
                <w:sz w:val="13"/>
                <w:szCs w:val="13"/>
                <w:color w:val="auto"/>
              </w:rPr>
              <w:t>Target Annual</w:t>
            </w:r>
          </w:p>
        </w:tc>
        <w:tc>
          <w:tcPr>
            <w:tcW w:w="1280" w:type="dxa"/>
            <w:vAlign w:val="bottom"/>
            <w:shd w:val="clear" w:color="auto" w:fill="E5E7EF"/>
          </w:tcPr>
          <w:p>
            <w:pPr>
              <w:jc w:val="right"/>
              <w:ind w:right="114"/>
              <w:spacing w:after="0"/>
              <w:rPr>
                <w:sz w:val="20"/>
                <w:szCs w:val="20"/>
                <w:color w:val="auto"/>
              </w:rPr>
            </w:pPr>
            <w:r>
              <w:rPr>
                <w:rFonts w:ascii="Arial" w:cs="Arial" w:eastAsia="Arial" w:hAnsi="Arial"/>
                <w:sz w:val="13"/>
                <w:szCs w:val="13"/>
                <w:color w:val="auto"/>
              </w:rPr>
              <w:t>Target Total Cash</w:t>
            </w:r>
          </w:p>
        </w:tc>
        <w:tc>
          <w:tcPr>
            <w:tcW w:w="2560" w:type="dxa"/>
            <w:vAlign w:val="bottom"/>
            <w:gridSpan w:val="2"/>
            <w:shd w:val="clear" w:color="auto" w:fill="E5E7EF"/>
          </w:tcPr>
          <w:p>
            <w:pPr>
              <w:jc w:val="right"/>
              <w:spacing w:after="0"/>
              <w:rPr>
                <w:sz w:val="20"/>
                <w:szCs w:val="20"/>
                <w:color w:val="auto"/>
              </w:rPr>
            </w:pPr>
            <w:r>
              <w:rPr>
                <w:rFonts w:ascii="Arial" w:cs="Arial" w:eastAsia="Arial" w:hAnsi="Arial"/>
                <w:sz w:val="13"/>
                <w:szCs w:val="13"/>
                <w:color w:val="auto"/>
              </w:rPr>
              <w:t>Long-Term Target Total Compensation</w:t>
            </w:r>
          </w:p>
        </w:tc>
      </w:tr>
      <w:tr>
        <w:trPr>
          <w:trHeight w:val="186"/>
        </w:trPr>
        <w:tc>
          <w:tcPr>
            <w:tcW w:w="48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Element</w:t>
            </w:r>
          </w:p>
        </w:tc>
        <w:tc>
          <w:tcPr>
            <w:tcW w:w="1240" w:type="dxa"/>
            <w:vAlign w:val="bottom"/>
            <w:tcBorders>
              <w:bottom w:val="single" w:sz="8" w:color="E5E7EF"/>
            </w:tcBorders>
            <w:shd w:val="clear" w:color="auto" w:fill="E5E7EF"/>
          </w:tcPr>
          <w:p>
            <w:pPr>
              <w:jc w:val="right"/>
              <w:ind w:right="173"/>
              <w:spacing w:after="0"/>
              <w:rPr>
                <w:sz w:val="20"/>
                <w:szCs w:val="20"/>
                <w:color w:val="auto"/>
              </w:rPr>
            </w:pPr>
            <w:r>
              <w:rPr>
                <w:rFonts w:ascii="Arial" w:cs="Arial" w:eastAsia="Arial" w:hAnsi="Arial"/>
                <w:sz w:val="13"/>
                <w:szCs w:val="13"/>
                <w:color w:val="auto"/>
              </w:rPr>
              <w:t>Salary ($)</w:t>
            </w:r>
          </w:p>
        </w:tc>
        <w:tc>
          <w:tcPr>
            <w:tcW w:w="1120" w:type="dxa"/>
            <w:vAlign w:val="bottom"/>
            <w:tcBorders>
              <w:bottom w:val="single" w:sz="8" w:color="E5E7EF"/>
            </w:tcBorders>
            <w:shd w:val="clear" w:color="auto" w:fill="E5E7EF"/>
          </w:tcPr>
          <w:p>
            <w:pPr>
              <w:jc w:val="right"/>
              <w:ind w:right="34"/>
              <w:spacing w:after="0"/>
              <w:rPr>
                <w:sz w:val="20"/>
                <w:szCs w:val="20"/>
                <w:color w:val="auto"/>
              </w:rPr>
            </w:pPr>
            <w:r>
              <w:rPr>
                <w:rFonts w:ascii="Arial" w:cs="Arial" w:eastAsia="Arial" w:hAnsi="Arial"/>
                <w:sz w:val="13"/>
                <w:szCs w:val="13"/>
                <w:color w:val="auto"/>
              </w:rPr>
              <w:t>Incentive %</w:t>
            </w:r>
          </w:p>
        </w:tc>
        <w:tc>
          <w:tcPr>
            <w:tcW w:w="1280" w:type="dxa"/>
            <w:vAlign w:val="bottom"/>
            <w:tcBorders>
              <w:bottom w:val="single" w:sz="8" w:color="E5E7EF"/>
            </w:tcBorders>
            <w:shd w:val="clear" w:color="auto" w:fill="E5E7EF"/>
          </w:tcPr>
          <w:p>
            <w:pPr>
              <w:jc w:val="right"/>
              <w:ind w:right="114"/>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E5E7EF"/>
            </w:tcBorders>
            <w:shd w:val="clear" w:color="auto" w:fill="E5E7EF"/>
          </w:tcPr>
          <w:p>
            <w:pPr>
              <w:jc w:val="right"/>
              <w:ind w:right="354"/>
              <w:spacing w:after="0"/>
              <w:rPr>
                <w:sz w:val="20"/>
                <w:szCs w:val="20"/>
                <w:color w:val="auto"/>
              </w:rPr>
            </w:pPr>
            <w:r>
              <w:rPr>
                <w:rFonts w:ascii="Arial" w:cs="Arial" w:eastAsia="Arial" w:hAnsi="Arial"/>
                <w:sz w:val="13"/>
                <w:szCs w:val="13"/>
                <w:color w:val="auto"/>
              </w:rPr>
              <w:t>Incentives* ($)</w:t>
            </w:r>
          </w:p>
        </w:tc>
        <w:tc>
          <w:tcPr>
            <w:tcW w:w="11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880" w:type="dxa"/>
            <w:vAlign w:val="bottom"/>
            <w:tcBorders>
              <w:top w:val="single" w:sz="8" w:color="959595"/>
              <w:bottom w:val="single" w:sz="8" w:color="959595"/>
            </w:tcBorders>
          </w:tcPr>
          <w:p>
            <w:pPr>
              <w:ind w:left="20"/>
              <w:spacing w:after="0"/>
              <w:rPr>
                <w:sz w:val="20"/>
                <w:szCs w:val="20"/>
                <w:color w:val="auto"/>
              </w:rPr>
            </w:pPr>
            <w:r>
              <w:rPr>
                <w:rFonts w:ascii="Arial" w:cs="Arial" w:eastAsia="Arial" w:hAnsi="Arial"/>
                <w:sz w:val="14"/>
                <w:szCs w:val="14"/>
                <w:color w:val="auto"/>
              </w:rPr>
              <w:t>Annualized Target Pay</w:t>
            </w:r>
          </w:p>
        </w:tc>
        <w:tc>
          <w:tcPr>
            <w:tcW w:w="1240" w:type="dxa"/>
            <w:vAlign w:val="bottom"/>
            <w:tcBorders>
              <w:top w:val="single" w:sz="8" w:color="959595"/>
              <w:bottom w:val="single" w:sz="8" w:color="959595"/>
            </w:tcBorders>
          </w:tcPr>
          <w:p>
            <w:pPr>
              <w:jc w:val="right"/>
              <w:ind w:right="173"/>
              <w:spacing w:after="0"/>
              <w:rPr>
                <w:sz w:val="20"/>
                <w:szCs w:val="20"/>
                <w:color w:val="auto"/>
              </w:rPr>
            </w:pPr>
            <w:r>
              <w:rPr>
                <w:rFonts w:ascii="Arial" w:cs="Arial" w:eastAsia="Arial" w:hAnsi="Arial"/>
                <w:sz w:val="14"/>
                <w:szCs w:val="14"/>
                <w:color w:val="auto"/>
              </w:rPr>
              <w:t>1,700,000</w:t>
            </w:r>
          </w:p>
        </w:tc>
        <w:tc>
          <w:tcPr>
            <w:tcW w:w="1120" w:type="dxa"/>
            <w:vAlign w:val="bottom"/>
            <w:tcBorders>
              <w:top w:val="single" w:sz="8" w:color="959595"/>
              <w:bottom w:val="single" w:sz="8" w:color="959595"/>
            </w:tcBorders>
          </w:tcPr>
          <w:p>
            <w:pPr>
              <w:jc w:val="right"/>
              <w:ind w:right="34"/>
              <w:spacing w:after="0"/>
              <w:rPr>
                <w:sz w:val="20"/>
                <w:szCs w:val="20"/>
                <w:color w:val="auto"/>
              </w:rPr>
            </w:pPr>
            <w:r>
              <w:rPr>
                <w:rFonts w:ascii="Arial" w:cs="Arial" w:eastAsia="Arial" w:hAnsi="Arial"/>
                <w:sz w:val="14"/>
                <w:szCs w:val="14"/>
                <w:color w:val="auto"/>
              </w:rPr>
              <w:t>175</w:t>
            </w:r>
          </w:p>
        </w:tc>
        <w:tc>
          <w:tcPr>
            <w:tcW w:w="1280" w:type="dxa"/>
            <w:vAlign w:val="bottom"/>
            <w:tcBorders>
              <w:top w:val="single" w:sz="8" w:color="959595"/>
              <w:bottom w:val="single" w:sz="8" w:color="959595"/>
            </w:tcBorders>
          </w:tcPr>
          <w:p>
            <w:pPr>
              <w:jc w:val="right"/>
              <w:ind w:right="114"/>
              <w:spacing w:after="0"/>
              <w:rPr>
                <w:sz w:val="20"/>
                <w:szCs w:val="20"/>
                <w:color w:val="auto"/>
              </w:rPr>
            </w:pPr>
            <w:r>
              <w:rPr>
                <w:rFonts w:ascii="Arial" w:cs="Arial" w:eastAsia="Arial" w:hAnsi="Arial"/>
                <w:sz w:val="14"/>
                <w:szCs w:val="14"/>
                <w:color w:val="auto"/>
              </w:rPr>
              <w:t>4,675,000</w:t>
            </w:r>
          </w:p>
        </w:tc>
        <w:tc>
          <w:tcPr>
            <w:tcW w:w="1420" w:type="dxa"/>
            <w:vAlign w:val="bottom"/>
            <w:tcBorders>
              <w:top w:val="single" w:sz="8" w:color="959595"/>
              <w:bottom w:val="single" w:sz="8" w:color="959595"/>
            </w:tcBorders>
          </w:tcPr>
          <w:p>
            <w:pPr>
              <w:jc w:val="right"/>
              <w:ind w:right="354"/>
              <w:spacing w:after="0"/>
              <w:rPr>
                <w:sz w:val="20"/>
                <w:szCs w:val="20"/>
                <w:color w:val="auto"/>
              </w:rPr>
            </w:pPr>
            <w:r>
              <w:rPr>
                <w:rFonts w:ascii="Arial" w:cs="Arial" w:eastAsia="Arial" w:hAnsi="Arial"/>
                <w:sz w:val="14"/>
                <w:szCs w:val="14"/>
                <w:color w:val="auto"/>
              </w:rPr>
              <w:t>14,000,000</w:t>
            </w:r>
          </w:p>
        </w:tc>
        <w:tc>
          <w:tcPr>
            <w:tcW w:w="114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18,675,000</w:t>
            </w:r>
          </w:p>
        </w:tc>
      </w:tr>
    </w:tbl>
    <w:p>
      <w:pPr>
        <w:spacing w:after="0" w:line="113" w:lineRule="exact"/>
        <w:rPr>
          <w:sz w:val="20"/>
          <w:szCs w:val="20"/>
          <w:color w:val="auto"/>
        </w:rPr>
      </w:pPr>
    </w:p>
    <w:p>
      <w:pPr>
        <w:ind w:left="220" w:hanging="212"/>
        <w:spacing w:after="0"/>
        <w:tabs>
          <w:tab w:leader="none" w:pos="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2020 LTI grant excludes equity replacement grant with an approximate value of $5.55 million.</w:t>
      </w:r>
    </w:p>
    <w:p>
      <w:pPr>
        <w:spacing w:after="0" w:line="12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annual and long-term incentive opportunities represent target and grant date values respectively. These opportunities can be earned subject to subsequent performance and service. The annual cash compensation elements—salary and annual incentive—were pro-rated based on the number of days employed for 2020. The long-term incentive award was not pro-rated reflecting both the longer term nature of the award and that Mr. Taiclet would have otherwise received a full long-term incentive award for 2020 from his prior employer if he had continued to be its CEO. Mr. Taiclet's long-term incentive award, as with all other NEOs, was comprised of 70% performance-based awards (50% PSUs and 20% cash based LTIP) and 30% time-based Restricted Stock Units (RSUs).</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Upon his termination of employment with his prior employer, Mr. Taiclet forfeited portions of performance-based equity awards covering two separate performance cycles (2018-2020 and 2019-2021) and his opportunity to earn an annual cash incentive award for 2020. The Board, with the assistance of its outside compensation consultant, estimated that Mr. Taiclet was forfeiting approximately $5.55 million in value that he would have otherwise earned at this prior employer. To induce Mr. Taiclet to accept employment with the Corporation by covering the estimated value of these forfeited awards, Mr. Taiclet was granted a replacement award, which was allocated between two tranches of RSUs as follows:</w:t>
      </w:r>
    </w:p>
    <w:p>
      <w:pPr>
        <w:spacing w:after="0" w:line="97" w:lineRule="exact"/>
        <w:rPr>
          <w:sz w:val="20"/>
          <w:szCs w:val="20"/>
          <w:color w:val="auto"/>
        </w:rPr>
      </w:pPr>
    </w:p>
    <w:p>
      <w:pPr>
        <w:ind w:left="340" w:right="140" w:hanging="251"/>
        <w:spacing w:after="0" w:line="276" w:lineRule="auto"/>
        <w:tabs>
          <w:tab w:leader="none" w:pos="305" w:val="left"/>
        </w:tabs>
        <w:numPr>
          <w:ilvl w:val="0"/>
          <w:numId w:val="75"/>
        </w:numPr>
        <w:rPr>
          <w:rFonts w:ascii="Arial" w:cs="Arial" w:eastAsia="Arial" w:hAnsi="Arial"/>
          <w:sz w:val="17"/>
          <w:szCs w:val="17"/>
          <w:color w:val="002E6D"/>
        </w:rPr>
      </w:pPr>
      <w:r>
        <w:rPr>
          <w:rFonts w:ascii="Arial" w:cs="Arial" w:eastAsia="Arial" w:hAnsi="Arial"/>
          <w:sz w:val="17"/>
          <w:szCs w:val="17"/>
          <w:color w:val="auto"/>
        </w:rPr>
        <w:t>7,689 RSUs ($2.87 million) that vest one year from the date of grant to replace the foregone annual cash incentive opportunity and the forfeited 2018-2020 performance-based award; and</w:t>
      </w:r>
    </w:p>
    <w:p>
      <w:pPr>
        <w:spacing w:after="0" w:line="90" w:lineRule="exact"/>
        <w:rPr>
          <w:rFonts w:ascii="Arial" w:cs="Arial" w:eastAsia="Arial" w:hAnsi="Arial"/>
          <w:sz w:val="17"/>
          <w:szCs w:val="17"/>
          <w:color w:val="002E6D"/>
        </w:rPr>
      </w:pPr>
    </w:p>
    <w:p>
      <w:pPr>
        <w:ind w:left="300" w:hanging="211"/>
        <w:spacing w:after="0"/>
        <w:tabs>
          <w:tab w:leader="none" w:pos="300" w:val="left"/>
        </w:tabs>
        <w:numPr>
          <w:ilvl w:val="0"/>
          <w:numId w:val="75"/>
        </w:numPr>
        <w:rPr>
          <w:rFonts w:ascii="Arial" w:cs="Arial" w:eastAsia="Arial" w:hAnsi="Arial"/>
          <w:sz w:val="17"/>
          <w:szCs w:val="17"/>
          <w:color w:val="002E6D"/>
        </w:rPr>
      </w:pPr>
      <w:r>
        <w:rPr>
          <w:rFonts w:ascii="Arial" w:cs="Arial" w:eastAsia="Arial" w:hAnsi="Arial"/>
          <w:sz w:val="17"/>
          <w:szCs w:val="17"/>
          <w:color w:val="auto"/>
        </w:rPr>
        <w:t>7,180 RSUs ($2.68 million) that vest two years from the date of grant to replace the forfeited 2019-2021 performance-based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505460</wp:posOffset>
            </wp:positionV>
            <wp:extent cx="969010" cy="2228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42</w:t>
      </w:r>
    </w:p>
    <w:p>
      <w:pPr>
        <w:sectPr>
          <w:pgSz w:w="11900" w:h="16838" w:orient="portrait"/>
          <w:cols w:equalWidth="0" w:num="1">
            <w:col w:w="11240"/>
          </w:cols>
          <w:pgMar w:left="320" w:top="60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4"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The vesting periods of these two tranches were structured to approximately parallel the time periods over which the original forfeited awards would have been earned/vested and the number of RSUs was determined based on dividing the estimated forfeited value by the closing stock price of the Corporation's common stock on the NYSE on June 15, 2020, which was the effective date of Mr. Taiclet's appointment as President and CEO. RSUs were chosen to create immediate alignment with Lockheed Martin stockholders and further Mr. Taiclet’s equity ownership in the Corporation.</w:t>
      </w:r>
    </w:p>
    <w:p>
      <w:pPr>
        <w:spacing w:after="0" w:line="9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No adjustments were made to Ms. Hewson's previously approved 2020 compensation in connection with her transition to Executive Chairman. Consistent with the policy of not providing Board compensation to employee directors, Ms. Hewson did not receive separate director compensation for her service on the Board during 2020. For her service as Strategic Advisor to the CEO, effective March 1, 2021 through February 28, 2022, Ms. Hewson's annual base salary will be reduced from $1,855,000 to $900,000. Ms. Hewson will not be eligible for an annual incentive for 2021 performance and will not receive any equity or long-term incentive performance awards in 2021. While she remains an employee of the Corporation, Ms. Hewson will continue to participate in the savings, health, disability and life insurance benefit plans and programs in which she has been a participant and will continue to be eligible for an annual executive physical, home office support, professional memberships, continued use of corporate aircraft and continued security based on assessed risk to her. Consistent with past practice, to the extent personal security is necessary and taxable, Ms. Hewson will receive a tax gross-up sufficient to make her whole.</w:t>
      </w:r>
    </w:p>
    <w:p>
      <w:pPr>
        <w:sectPr>
          <w:pgSz w:w="11900" w:h="16838" w:orient="portrait"/>
          <w:cols w:equalWidth="0" w:num="1">
            <w:col w:w="11240"/>
          </w:cols>
          <w:pgMar w:left="320" w:top="609" w:right="3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475C90"/>
        </w:rPr>
        <w:t>2020 CEO Compensation</w:t>
      </w:r>
    </w:p>
    <w:p>
      <w:pPr>
        <w:spacing w:after="0" w:line="254" w:lineRule="exact"/>
        <w:rPr>
          <w:sz w:val="20"/>
          <w:szCs w:val="20"/>
          <w:color w:val="auto"/>
        </w:rPr>
      </w:pPr>
    </w:p>
    <w:p>
      <w:pPr>
        <w:ind w:left="20"/>
        <w:spacing w:after="0" w:line="271" w:lineRule="auto"/>
        <w:rPr>
          <w:sz w:val="20"/>
          <w:szCs w:val="20"/>
          <w:color w:val="auto"/>
        </w:rPr>
      </w:pPr>
      <w:r>
        <w:rPr>
          <w:rFonts w:ascii="Arial" w:cs="Arial" w:eastAsia="Arial" w:hAnsi="Arial"/>
          <w:sz w:val="17"/>
          <w:szCs w:val="17"/>
          <w:b w:val="1"/>
          <w:bCs w:val="1"/>
          <w:color w:val="auto"/>
        </w:rPr>
        <w:t xml:space="preserve">2020 CEO Target Pay Mix. </w:t>
      </w:r>
      <w:r>
        <w:rPr>
          <w:rFonts w:ascii="Arial" w:cs="Arial" w:eastAsia="Arial" w:hAnsi="Arial"/>
          <w:sz w:val="17"/>
          <w:szCs w:val="17"/>
          <w:color w:val="auto"/>
        </w:rPr>
        <w:t>We believe that the compensation opportunities</w:t>
      </w:r>
      <w:r>
        <w:rPr>
          <w:rFonts w:ascii="Arial" w:cs="Arial" w:eastAsia="Arial" w:hAnsi="Arial"/>
          <w:sz w:val="17"/>
          <w:szCs w:val="17"/>
          <w:b w:val="1"/>
          <w:bCs w:val="1"/>
          <w:color w:val="auto"/>
        </w:rPr>
        <w:t xml:space="preserve"> </w:t>
      </w:r>
      <w:r>
        <w:rPr>
          <w:rFonts w:ascii="Arial" w:cs="Arial" w:eastAsia="Arial" w:hAnsi="Arial"/>
          <w:sz w:val="17"/>
          <w:szCs w:val="17"/>
          <w:color w:val="auto"/>
        </w:rPr>
        <w:t>of our CEO should be predominantly variable, and the variable elements of the compensation package should tie to the Corporation’s long-term success and the achievement of sustainable long-term total returns to our stockholders. As shown in the chart to the right, a significant portion of our CEO’s target compensation is variable and in the form of LTI with more than half of total target pay in the form of equity-based incentives.</w:t>
      </w:r>
    </w:p>
    <w:p>
      <w:pPr>
        <w:spacing w:after="0" w:line="75" w:lineRule="exact"/>
        <w:rPr>
          <w:sz w:val="20"/>
          <w:szCs w:val="20"/>
          <w:color w:val="auto"/>
        </w:rPr>
      </w:pPr>
    </w:p>
    <w:p>
      <w:pPr>
        <w:ind w:left="20" w:right="840"/>
        <w:spacing w:after="0" w:line="301" w:lineRule="auto"/>
        <w:rPr>
          <w:sz w:val="20"/>
          <w:szCs w:val="20"/>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In 2020, Mr. Taiclet’s annual base salary was set at</w:t>
      </w:r>
      <w:r>
        <w:rPr>
          <w:rFonts w:ascii="Arial" w:cs="Arial" w:eastAsia="Arial" w:hAnsi="Arial"/>
          <w:sz w:val="17"/>
          <w:szCs w:val="17"/>
          <w:b w:val="1"/>
          <w:bCs w:val="1"/>
          <w:color w:val="auto"/>
        </w:rPr>
        <w:t xml:space="preserve"> </w:t>
      </w:r>
      <w:r>
        <w:rPr>
          <w:rFonts w:ascii="Arial" w:cs="Arial" w:eastAsia="Arial" w:hAnsi="Arial"/>
          <w:sz w:val="17"/>
          <w:szCs w:val="17"/>
          <w:color w:val="auto"/>
        </w:rPr>
        <w:t>$1,700,000.</w:t>
      </w:r>
    </w:p>
    <w:p>
      <w:pPr>
        <w:spacing w:after="0" w:line="50" w:lineRule="exact"/>
        <w:rPr>
          <w:sz w:val="20"/>
          <w:szCs w:val="20"/>
          <w:color w:val="auto"/>
        </w:rPr>
      </w:pPr>
    </w:p>
    <w:p>
      <w:pPr>
        <w:ind w:left="20" w:right="180"/>
        <w:spacing w:after="0" w:line="283" w:lineRule="auto"/>
        <w:rPr>
          <w:sz w:val="20"/>
          <w:szCs w:val="20"/>
          <w:color w:val="auto"/>
        </w:rPr>
      </w:pPr>
      <w:r>
        <w:rPr>
          <w:rFonts w:ascii="Arial" w:cs="Arial" w:eastAsia="Arial" w:hAnsi="Arial"/>
          <w:sz w:val="17"/>
          <w:szCs w:val="17"/>
          <w:b w:val="1"/>
          <w:bCs w:val="1"/>
          <w:color w:val="auto"/>
        </w:rPr>
        <w:t xml:space="preserve">2020 Annual Incentive. </w:t>
      </w:r>
      <w:r>
        <w:rPr>
          <w:rFonts w:ascii="Arial" w:cs="Arial" w:eastAsia="Arial" w:hAnsi="Arial"/>
          <w:sz w:val="17"/>
          <w:szCs w:val="17"/>
          <w:color w:val="auto"/>
        </w:rPr>
        <w:t>Mr. Taiclet’s target annual incentive amount for</w:t>
      </w:r>
      <w:r>
        <w:rPr>
          <w:rFonts w:ascii="Arial" w:cs="Arial" w:eastAsia="Arial" w:hAnsi="Arial"/>
          <w:sz w:val="17"/>
          <w:szCs w:val="17"/>
          <w:b w:val="1"/>
          <w:bCs w:val="1"/>
          <w:color w:val="auto"/>
        </w:rPr>
        <w:t xml:space="preserve"> </w:t>
      </w:r>
      <w:r>
        <w:rPr>
          <w:rFonts w:ascii="Arial" w:cs="Arial" w:eastAsia="Arial" w:hAnsi="Arial"/>
          <w:sz w:val="17"/>
          <w:szCs w:val="17"/>
          <w:color w:val="auto"/>
        </w:rPr>
        <w:t>2020 was 175% of salary, or $1,636,250 after proration based on his start date.</w:t>
      </w:r>
    </w:p>
    <w:p>
      <w:pPr>
        <w:spacing w:after="0" w:line="51" w:lineRule="exact"/>
        <w:rPr>
          <w:sz w:val="20"/>
          <w:szCs w:val="20"/>
          <w:color w:val="auto"/>
        </w:rPr>
      </w:pPr>
    </w:p>
    <w:p>
      <w:pPr>
        <w:ind w:left="20" w:right="80"/>
        <w:spacing w:after="0" w:line="236" w:lineRule="auto"/>
        <w:rPr>
          <w:sz w:val="20"/>
          <w:szCs w:val="20"/>
          <w:color w:val="auto"/>
        </w:rPr>
      </w:pPr>
      <w:r>
        <w:rPr>
          <w:rFonts w:ascii="Arial" w:cs="Arial" w:eastAsia="Arial" w:hAnsi="Arial"/>
          <w:sz w:val="17"/>
          <w:szCs w:val="17"/>
          <w:b w:val="1"/>
          <w:bCs w:val="1"/>
          <w:color w:val="auto"/>
        </w:rPr>
        <w:t xml:space="preserve">2020-2022 Long-Term Incentives. </w:t>
      </w:r>
      <w:r>
        <w:rPr>
          <w:rFonts w:ascii="Arial" w:cs="Arial" w:eastAsia="Arial" w:hAnsi="Arial"/>
          <w:sz w:val="17"/>
          <w:szCs w:val="17"/>
          <w:color w:val="auto"/>
        </w:rPr>
        <w:t>In 2020, Mr. Taiclet was granted an</w:t>
      </w:r>
      <w:r>
        <w:rPr>
          <w:rFonts w:ascii="Arial" w:cs="Arial" w:eastAsia="Arial" w:hAnsi="Arial"/>
          <w:sz w:val="17"/>
          <w:szCs w:val="17"/>
          <w:b w:val="1"/>
          <w:bCs w:val="1"/>
          <w:color w:val="auto"/>
        </w:rPr>
        <w:t xml:space="preserve"> </w:t>
      </w:r>
      <w:r>
        <w:rPr>
          <w:rFonts w:ascii="Arial" w:cs="Arial" w:eastAsia="Arial" w:hAnsi="Arial"/>
          <w:sz w:val="17"/>
          <w:szCs w:val="17"/>
          <w:color w:val="auto"/>
        </w:rPr>
        <w:t>annual LTI award of approximately $14.0 million, which was allocated 50% in PSUs, 30% in RSUs, and 20% in the cash-based LTIP. RSUs will cliff-vest after three years, while the payout of PSUs and LTIP will be based upon our results at the end of the three-year performance period relative to the three-year performance goals that were established in the beginning of 2020. This does not include the one-time replacement award of approximately $5.55M to offset forfeited incentives at his previous employer.</w:t>
      </w:r>
    </w:p>
    <w:p>
      <w:pPr>
        <w:spacing w:after="0" w:line="93" w:lineRule="exact"/>
        <w:rPr>
          <w:sz w:val="20"/>
          <w:szCs w:val="20"/>
          <w:color w:val="auto"/>
        </w:rPr>
      </w:pPr>
    </w:p>
    <w:p>
      <w:pPr>
        <w:ind w:left="20"/>
        <w:spacing w:after="0" w:line="271" w:lineRule="auto"/>
        <w:rPr>
          <w:sz w:val="20"/>
          <w:szCs w:val="20"/>
          <w:color w:val="auto"/>
        </w:rPr>
      </w:pPr>
      <w:r>
        <w:rPr>
          <w:rFonts w:ascii="Arial" w:cs="Arial" w:eastAsia="Arial" w:hAnsi="Arial"/>
          <w:sz w:val="17"/>
          <w:szCs w:val="17"/>
          <w:b w:val="1"/>
          <w:bCs w:val="1"/>
          <w:color w:val="auto"/>
        </w:rPr>
        <w:t xml:space="preserve">Benefit and Retirement Plans. </w:t>
      </w:r>
      <w:r>
        <w:rPr>
          <w:rFonts w:ascii="Arial" w:cs="Arial" w:eastAsia="Arial" w:hAnsi="Arial"/>
          <w:sz w:val="17"/>
          <w:szCs w:val="17"/>
          <w:color w:val="auto"/>
        </w:rPr>
        <w:t>Mr. Taiclet is eligible for benefit and</w:t>
      </w:r>
      <w:r>
        <w:rPr>
          <w:rFonts w:ascii="Arial" w:cs="Arial" w:eastAsia="Arial" w:hAnsi="Arial"/>
          <w:sz w:val="17"/>
          <w:szCs w:val="17"/>
          <w:b w:val="1"/>
          <w:bCs w:val="1"/>
          <w:color w:val="auto"/>
        </w:rPr>
        <w:t xml:space="preserve"> </w:t>
      </w:r>
      <w:r>
        <w:rPr>
          <w:rFonts w:ascii="Arial" w:cs="Arial" w:eastAsia="Arial" w:hAnsi="Arial"/>
          <w:sz w:val="17"/>
          <w:szCs w:val="17"/>
          <w:color w:val="auto"/>
        </w:rPr>
        <w:t>retirement programs, similar to other salaried employees. None of our NEOs received additional years of service credits or other forms of formula enhancements under our benefit or retirement plans. Mr. Taiclet does not participate in a pension plan, as the salaried pension plan was closed to employees hired after December 31, 2005 and fully frozen effective January 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475C90"/>
        </w:rPr>
        <w:t>CEO Target Opportunity Mix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3326130" cy="3780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2613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0" w:right="100" w:hanging="160"/>
        <w:spacing w:after="0" w:line="244" w:lineRule="auto"/>
        <w:tabs>
          <w:tab w:leader="none" w:pos="94" w:val="left"/>
        </w:tabs>
        <w:numPr>
          <w:ilvl w:val="0"/>
          <w:numId w:val="76"/>
        </w:numPr>
        <w:rPr>
          <w:rFonts w:ascii="Arial" w:cs="Arial" w:eastAsia="Arial" w:hAnsi="Arial"/>
          <w:sz w:val="14"/>
          <w:szCs w:val="14"/>
          <w:color w:val="auto"/>
        </w:rPr>
      </w:pPr>
      <w:r>
        <w:rPr>
          <w:rFonts w:ascii="Arial" w:cs="Arial" w:eastAsia="Arial" w:hAnsi="Arial"/>
          <w:sz w:val="14"/>
          <w:szCs w:val="14"/>
          <w:color w:val="auto"/>
        </w:rPr>
        <w:t>Fixed vs. variable and cash vs. equity components are designated in the Compensation Elements table on page 47. We consider base salary and annual incentives as short-term pay and PSUs, LTIP, and RSUs as long-term pay. Cash represents base salary, annual incentive target and LTIP target. We do not include retirement or other compensation components in the chart. Chart reflects base salary and annual incentives on a non-prorated basis and does not include the one-time replacement award of RSUs.</w:t>
      </w:r>
    </w:p>
    <w:p>
      <w:pPr>
        <w:spacing w:after="0" w:line="200" w:lineRule="exact"/>
        <w:rPr>
          <w:sz w:val="20"/>
          <w:szCs w:val="20"/>
          <w:color w:val="auto"/>
        </w:rPr>
      </w:pPr>
    </w:p>
    <w:p>
      <w:pPr>
        <w:sectPr>
          <w:pgSz w:w="11900" w:h="16838" w:orient="portrait"/>
          <w:cols w:equalWidth="0" w:num="2">
            <w:col w:w="5760" w:space="260"/>
            <w:col w:w="5220"/>
          </w:cols>
          <w:pgMar w:left="320" w:top="6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43</w:t>
      </w:r>
    </w:p>
    <w:p>
      <w:pPr>
        <w:sectPr>
          <w:pgSz w:w="11900" w:h="16838" w:orient="portrait"/>
          <w:cols w:equalWidth="0" w:num="1">
            <w:col w:w="11240"/>
          </w:cols>
          <w:pgMar w:left="320" w:top="609"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Summary of Compensation Approach</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475C90"/>
        </w:rPr>
        <w:t>Guiding Pay Principles</w:t>
      </w:r>
    </w:p>
    <w:p>
      <w:pPr>
        <w:spacing w:after="0" w:line="112" w:lineRule="exact"/>
        <w:rPr>
          <w:sz w:val="20"/>
          <w:szCs w:val="20"/>
          <w:color w:val="auto"/>
        </w:rPr>
      </w:pPr>
    </w:p>
    <w:p>
      <w:pPr>
        <w:ind w:left="220" w:hanging="131"/>
        <w:spacing w:after="0"/>
        <w:tabs>
          <w:tab w:leader="none" w:pos="220" w:val="left"/>
        </w:tabs>
        <w:numPr>
          <w:ilvl w:val="0"/>
          <w:numId w:val="77"/>
        </w:numPr>
        <w:rPr>
          <w:rFonts w:ascii="Arial" w:cs="Arial" w:eastAsia="Arial" w:hAnsi="Arial"/>
          <w:sz w:val="17"/>
          <w:szCs w:val="17"/>
          <w:color w:val="002E6D"/>
        </w:rPr>
      </w:pPr>
      <w:r>
        <w:rPr>
          <w:rFonts w:ascii="Arial" w:cs="Arial" w:eastAsia="Arial" w:hAnsi="Arial"/>
          <w:sz w:val="17"/>
          <w:szCs w:val="17"/>
          <w:color w:val="auto"/>
        </w:rPr>
        <w:t>Attract, motivate and retain executive talent</w:t>
      </w:r>
    </w:p>
    <w:p>
      <w:pPr>
        <w:spacing w:after="0" w:line="128" w:lineRule="exact"/>
        <w:rPr>
          <w:rFonts w:ascii="Arial" w:cs="Arial" w:eastAsia="Arial" w:hAnsi="Arial"/>
          <w:sz w:val="17"/>
          <w:szCs w:val="17"/>
          <w:color w:val="002E6D"/>
        </w:rPr>
      </w:pPr>
    </w:p>
    <w:p>
      <w:pPr>
        <w:ind w:left="220" w:hanging="131"/>
        <w:spacing w:after="0"/>
        <w:tabs>
          <w:tab w:leader="none" w:pos="220" w:val="left"/>
        </w:tabs>
        <w:numPr>
          <w:ilvl w:val="0"/>
          <w:numId w:val="77"/>
        </w:numPr>
        <w:rPr>
          <w:rFonts w:ascii="Arial" w:cs="Arial" w:eastAsia="Arial" w:hAnsi="Arial"/>
          <w:sz w:val="17"/>
          <w:szCs w:val="17"/>
          <w:color w:val="002E6D"/>
        </w:rPr>
      </w:pPr>
      <w:r>
        <w:rPr>
          <w:rFonts w:ascii="Arial" w:cs="Arial" w:eastAsia="Arial" w:hAnsi="Arial"/>
          <w:sz w:val="17"/>
          <w:szCs w:val="17"/>
          <w:color w:val="auto"/>
        </w:rPr>
        <w:t>Market-based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approach to target all compensation elements</w:t>
      </w:r>
    </w:p>
    <w:p>
      <w:pPr>
        <w:spacing w:after="0" w:line="71" w:lineRule="exact"/>
        <w:rPr>
          <w:rFonts w:ascii="Arial" w:cs="Arial" w:eastAsia="Arial" w:hAnsi="Arial"/>
          <w:sz w:val="17"/>
          <w:szCs w:val="17"/>
          <w:color w:val="002E6D"/>
        </w:rPr>
      </w:pPr>
    </w:p>
    <w:p>
      <w:pPr>
        <w:ind w:left="220" w:hanging="131"/>
        <w:spacing w:after="0"/>
        <w:tabs>
          <w:tab w:leader="none" w:pos="220" w:val="left"/>
        </w:tabs>
        <w:numPr>
          <w:ilvl w:val="0"/>
          <w:numId w:val="77"/>
        </w:numPr>
        <w:rPr>
          <w:rFonts w:ascii="Arial" w:cs="Arial" w:eastAsia="Arial" w:hAnsi="Arial"/>
          <w:sz w:val="17"/>
          <w:szCs w:val="17"/>
          <w:color w:val="002E6D"/>
        </w:rPr>
      </w:pPr>
      <w:r>
        <w:rPr>
          <w:rFonts w:ascii="Arial" w:cs="Arial" w:eastAsia="Arial" w:hAnsi="Arial"/>
          <w:sz w:val="17"/>
          <w:szCs w:val="17"/>
          <w:color w:val="auto"/>
        </w:rPr>
        <w:t>Link executive pay to Enterprise performance</w:t>
      </w:r>
    </w:p>
    <w:p>
      <w:pPr>
        <w:spacing w:after="0" w:line="128" w:lineRule="exact"/>
        <w:rPr>
          <w:rFonts w:ascii="Arial" w:cs="Arial" w:eastAsia="Arial" w:hAnsi="Arial"/>
          <w:sz w:val="17"/>
          <w:szCs w:val="17"/>
          <w:color w:val="002E6D"/>
        </w:rPr>
      </w:pPr>
    </w:p>
    <w:p>
      <w:pPr>
        <w:ind w:left="220" w:hanging="131"/>
        <w:spacing w:after="0"/>
        <w:tabs>
          <w:tab w:leader="none" w:pos="220" w:val="left"/>
        </w:tabs>
        <w:numPr>
          <w:ilvl w:val="0"/>
          <w:numId w:val="77"/>
        </w:numPr>
        <w:rPr>
          <w:rFonts w:ascii="Arial" w:cs="Arial" w:eastAsia="Arial" w:hAnsi="Arial"/>
          <w:sz w:val="17"/>
          <w:szCs w:val="17"/>
          <w:color w:val="002E6D"/>
        </w:rPr>
      </w:pPr>
      <w:r>
        <w:rPr>
          <w:rFonts w:ascii="Arial" w:cs="Arial" w:eastAsia="Arial" w:hAnsi="Arial"/>
          <w:sz w:val="17"/>
          <w:szCs w:val="17"/>
          <w:color w:val="auto"/>
        </w:rPr>
        <w:t>Provide an appropriate mix of short-term vs. long-term pay and fixed vs. variable pay</w:t>
      </w:r>
    </w:p>
    <w:p>
      <w:pPr>
        <w:spacing w:after="0" w:line="128" w:lineRule="exact"/>
        <w:rPr>
          <w:rFonts w:ascii="Arial" w:cs="Arial" w:eastAsia="Arial" w:hAnsi="Arial"/>
          <w:sz w:val="17"/>
          <w:szCs w:val="17"/>
          <w:color w:val="002E6D"/>
        </w:rPr>
      </w:pPr>
    </w:p>
    <w:p>
      <w:pPr>
        <w:ind w:left="220" w:hanging="131"/>
        <w:spacing w:after="0"/>
        <w:tabs>
          <w:tab w:leader="none" w:pos="220" w:val="left"/>
        </w:tabs>
        <w:numPr>
          <w:ilvl w:val="0"/>
          <w:numId w:val="77"/>
        </w:numPr>
        <w:rPr>
          <w:rFonts w:ascii="Arial" w:cs="Arial" w:eastAsia="Arial" w:hAnsi="Arial"/>
          <w:sz w:val="17"/>
          <w:szCs w:val="17"/>
          <w:color w:val="002E6D"/>
        </w:rPr>
      </w:pPr>
      <w:r>
        <w:rPr>
          <w:rFonts w:ascii="Arial" w:cs="Arial" w:eastAsia="Arial" w:hAnsi="Arial"/>
          <w:sz w:val="17"/>
          <w:szCs w:val="17"/>
          <w:color w:val="auto"/>
        </w:rPr>
        <w:t>Align to stockholder interests and long-term Corporation value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475C90"/>
        </w:rPr>
        <w:t>Our Decision-Making Process</w:t>
      </w:r>
    </w:p>
    <w:p>
      <w:pPr>
        <w:spacing w:after="0" w:line="112"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The Compensation Committee seeks input from our CEO and other members of our management team as well as input and advice from an independent compensation consultant to ensure the Corporation’s compensation philosophy and information relevant to individual compensation decisions are taken into account. Mr. Taiclet did not participate in the Board's and Compensation Committee's deliberations on his selection and appointment as the Corporation's new President and CEO and related compensation decisions.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475C90"/>
        </w:rPr>
        <w:t>Independent Pay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377190" cy="3771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83185</wp:posOffset>
            </wp:positionV>
            <wp:extent cx="377190" cy="3771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83185</wp:posOffset>
            </wp:positionV>
            <wp:extent cx="377190" cy="3771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83185</wp:posOffset>
            </wp:positionV>
            <wp:extent cx="377190" cy="3771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ectPr>
          <w:pgSz w:w="11900" w:h="16838" w:orient="portrait"/>
          <w:cols w:equalWidth="0" w:num="1">
            <w:col w:w="11200"/>
          </w:cols>
          <w:pgMar w:left="320" w:top="60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0"/>
          <w:szCs w:val="20"/>
          <w:color w:val="002E6D"/>
        </w:rPr>
        <w:t>Independent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002E6D"/>
        </w:rPr>
        <w:t>Board Members</w:t>
      </w:r>
    </w:p>
    <w:p>
      <w:pPr>
        <w:spacing w:after="0" w:line="118" w:lineRule="exact"/>
        <w:rPr>
          <w:sz w:val="20"/>
          <w:szCs w:val="20"/>
          <w:color w:val="auto"/>
        </w:rPr>
      </w:pPr>
    </w:p>
    <w:p>
      <w:pPr>
        <w:ind w:left="20"/>
        <w:spacing w:after="0" w:line="267" w:lineRule="auto"/>
        <w:rPr>
          <w:sz w:val="20"/>
          <w:szCs w:val="20"/>
          <w:color w:val="auto"/>
        </w:rPr>
      </w:pPr>
      <w:r>
        <w:rPr>
          <w:rFonts w:ascii="Arial" w:cs="Arial" w:eastAsia="Arial" w:hAnsi="Arial"/>
          <w:sz w:val="17"/>
          <w:szCs w:val="17"/>
          <w:color w:val="auto"/>
        </w:rPr>
        <w:t>Review and approve compensation of the CEO and review and ratify compensation of other NEOs. Review with management, at least annually, the succession plan for the CEO and other senior positions.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002E6D"/>
        </w:rPr>
        <w:t>Independent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002E6D"/>
        </w:rPr>
        <w:t>Compensation Consultant</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Provides advice on executive pay programs, pay levels and best practices. Provides design advice for annual LTI vehicles and other compensation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002E6D"/>
        </w:rPr>
        <w:t>Independent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002E6D"/>
        </w:rPr>
        <w:t>Compensation Committee</w:t>
      </w:r>
    </w:p>
    <w:p>
      <w:pPr>
        <w:spacing w:after="0" w:line="11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Reviews and approves incentive goals relevant to NEO compensation. Reviews and approves the compensation for each NEO. Recommends CEO compensation to the independent members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002E6D"/>
        </w:rPr>
        <w:t>Stockholders &amp;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002E6D"/>
        </w:rPr>
        <w:t>Other Key Stakeholders</w:t>
      </w:r>
    </w:p>
    <w:p>
      <w:pPr>
        <w:spacing w:after="0" w:line="11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Provide feedback on various executive pay practices and governance during periodic meetings with management, which then is reviewed by and discussed with our independent Board members.</w:t>
      </w:r>
    </w:p>
    <w:p>
      <w:pPr>
        <w:spacing w:after="0" w:line="200" w:lineRule="exact"/>
        <w:rPr>
          <w:sz w:val="20"/>
          <w:szCs w:val="20"/>
          <w:color w:val="auto"/>
        </w:rPr>
      </w:pPr>
    </w:p>
    <w:p>
      <w:pPr>
        <w:sectPr>
          <w:pgSz w:w="11900" w:h="16838" w:orient="portrait"/>
          <w:cols w:equalWidth="0" w:num="4">
            <w:col w:w="2700" w:space="140"/>
            <w:col w:w="2520" w:space="280"/>
            <w:col w:w="2520" w:space="300"/>
            <w:col w:w="2740"/>
          </w:cols>
          <w:pgMar w:left="320" w:top="609" w:right="37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shd w:val="clear" w:color="auto" w:fill="E5E7EF"/>
          </w:tcPr>
          <w:p>
            <w:pPr>
              <w:spacing w:after="0"/>
              <w:rPr>
                <w:sz w:val="14"/>
                <w:szCs w:val="14"/>
                <w:color w:val="auto"/>
              </w:rPr>
            </w:pPr>
          </w:p>
        </w:tc>
        <w:tc>
          <w:tcPr>
            <w:tcW w:w="1080" w:type="dxa"/>
            <w:vAlign w:val="bottom"/>
            <w:shd w:val="clear" w:color="auto" w:fill="E5E7EF"/>
          </w:tcPr>
          <w:p>
            <w:pPr>
              <w:spacing w:after="0"/>
              <w:rPr>
                <w:sz w:val="14"/>
                <w:szCs w:val="14"/>
                <w:color w:val="auto"/>
              </w:rPr>
            </w:pPr>
          </w:p>
        </w:tc>
        <w:tc>
          <w:tcPr>
            <w:tcW w:w="1380" w:type="dxa"/>
            <w:vAlign w:val="bottom"/>
            <w:shd w:val="clear" w:color="auto" w:fill="E5E7EF"/>
          </w:tcPr>
          <w:p>
            <w:pPr>
              <w:spacing w:after="0"/>
              <w:rPr>
                <w:sz w:val="14"/>
                <w:szCs w:val="14"/>
                <w:color w:val="auto"/>
              </w:rPr>
            </w:pPr>
          </w:p>
        </w:tc>
        <w:tc>
          <w:tcPr>
            <w:tcW w:w="1280" w:type="dxa"/>
            <w:vAlign w:val="bottom"/>
            <w:shd w:val="clear" w:color="auto" w:fill="E5E7EF"/>
          </w:tcPr>
          <w:p>
            <w:pPr>
              <w:ind w:left="220"/>
              <w:spacing w:after="0"/>
              <w:rPr>
                <w:sz w:val="20"/>
                <w:szCs w:val="20"/>
                <w:color w:val="auto"/>
              </w:rPr>
            </w:pPr>
            <w:r>
              <w:rPr>
                <w:rFonts w:ascii="Arial" w:cs="Arial" w:eastAsia="Arial" w:hAnsi="Arial"/>
                <w:sz w:val="13"/>
                <w:szCs w:val="13"/>
                <w:color w:val="auto"/>
              </w:rPr>
              <w:t>Management</w:t>
            </w:r>
          </w:p>
        </w:tc>
        <w:tc>
          <w:tcPr>
            <w:tcW w:w="1300" w:type="dxa"/>
            <w:vAlign w:val="bottom"/>
            <w:shd w:val="clear" w:color="auto" w:fill="E5E7EF"/>
          </w:tcPr>
          <w:p>
            <w:pPr>
              <w:ind w:left="240"/>
              <w:spacing w:after="0"/>
              <w:rPr>
                <w:sz w:val="20"/>
                <w:szCs w:val="20"/>
                <w:color w:val="auto"/>
              </w:rPr>
            </w:pPr>
            <w:r>
              <w:rPr>
                <w:rFonts w:ascii="Arial" w:cs="Arial" w:eastAsia="Arial" w:hAnsi="Arial"/>
                <w:sz w:val="13"/>
                <w:szCs w:val="13"/>
                <w:color w:val="auto"/>
              </w:rPr>
              <w:t>Independent</w:t>
            </w:r>
          </w:p>
        </w:tc>
        <w:tc>
          <w:tcPr>
            <w:tcW w:w="1360" w:type="dxa"/>
            <w:vAlign w:val="bottom"/>
            <w:shd w:val="clear" w:color="auto" w:fill="E5E7EF"/>
          </w:tcPr>
          <w:p>
            <w:pPr>
              <w:ind w:left="260"/>
              <w:spacing w:after="0"/>
              <w:rPr>
                <w:sz w:val="20"/>
                <w:szCs w:val="20"/>
                <w:color w:val="auto"/>
              </w:rPr>
            </w:pPr>
            <w:r>
              <w:rPr>
                <w:rFonts w:ascii="Arial" w:cs="Arial" w:eastAsia="Arial" w:hAnsi="Arial"/>
                <w:sz w:val="13"/>
                <w:szCs w:val="13"/>
                <w:color w:val="auto"/>
              </w:rPr>
              <w:t>Independent</w:t>
            </w:r>
          </w:p>
        </w:tc>
        <w:tc>
          <w:tcPr>
            <w:tcW w:w="1500" w:type="dxa"/>
            <w:vAlign w:val="bottom"/>
            <w:shd w:val="clear" w:color="auto" w:fill="E5E7EF"/>
          </w:tcPr>
          <w:p>
            <w:pPr>
              <w:ind w:left="200"/>
              <w:spacing w:after="0"/>
              <w:rPr>
                <w:sz w:val="20"/>
                <w:szCs w:val="20"/>
                <w:color w:val="auto"/>
              </w:rPr>
            </w:pPr>
            <w:r>
              <w:rPr>
                <w:rFonts w:ascii="Arial" w:cs="Arial" w:eastAsia="Arial" w:hAnsi="Arial"/>
                <w:sz w:val="13"/>
                <w:szCs w:val="13"/>
                <w:color w:val="auto"/>
              </w:rPr>
              <w:t>Independent</w:t>
            </w:r>
          </w:p>
        </w:tc>
      </w:tr>
      <w:tr>
        <w:trPr>
          <w:trHeight w:val="148"/>
        </w:trPr>
        <w:tc>
          <w:tcPr>
            <w:tcW w:w="3300" w:type="dxa"/>
            <w:vAlign w:val="bottom"/>
            <w:shd w:val="clear" w:color="auto" w:fill="E5E7EF"/>
          </w:tcPr>
          <w:p>
            <w:pPr>
              <w:spacing w:after="0"/>
              <w:rPr>
                <w:sz w:val="12"/>
                <w:szCs w:val="12"/>
                <w:color w:val="auto"/>
              </w:rPr>
            </w:pPr>
          </w:p>
        </w:tc>
        <w:tc>
          <w:tcPr>
            <w:tcW w:w="1080" w:type="dxa"/>
            <w:vAlign w:val="bottom"/>
            <w:shd w:val="clear" w:color="auto" w:fill="E5E7EF"/>
          </w:tcPr>
          <w:p>
            <w:pPr>
              <w:spacing w:after="0"/>
              <w:rPr>
                <w:sz w:val="12"/>
                <w:szCs w:val="12"/>
                <w:color w:val="auto"/>
              </w:rPr>
            </w:pPr>
          </w:p>
        </w:tc>
        <w:tc>
          <w:tcPr>
            <w:tcW w:w="1380" w:type="dxa"/>
            <w:vAlign w:val="bottom"/>
            <w:shd w:val="clear" w:color="auto" w:fill="E5E7EF"/>
          </w:tcPr>
          <w:p>
            <w:pPr>
              <w:spacing w:after="0"/>
              <w:rPr>
                <w:sz w:val="12"/>
                <w:szCs w:val="12"/>
                <w:color w:val="auto"/>
              </w:rPr>
            </w:pPr>
          </w:p>
        </w:tc>
        <w:tc>
          <w:tcPr>
            <w:tcW w:w="1280" w:type="dxa"/>
            <w:vAlign w:val="bottom"/>
            <w:shd w:val="clear" w:color="auto" w:fill="E5E7EF"/>
          </w:tcPr>
          <w:p>
            <w:pPr>
              <w:ind w:left="220"/>
              <w:spacing w:after="0" w:line="148" w:lineRule="exact"/>
              <w:rPr>
                <w:sz w:val="20"/>
                <w:szCs w:val="20"/>
                <w:color w:val="auto"/>
              </w:rPr>
            </w:pPr>
            <w:r>
              <w:rPr>
                <w:rFonts w:ascii="Arial" w:cs="Arial" w:eastAsia="Arial" w:hAnsi="Arial"/>
                <w:sz w:val="13"/>
                <w:szCs w:val="13"/>
                <w:color w:val="auto"/>
              </w:rPr>
              <w:t>Compensation</w:t>
            </w:r>
          </w:p>
        </w:tc>
        <w:tc>
          <w:tcPr>
            <w:tcW w:w="1300" w:type="dxa"/>
            <w:vAlign w:val="bottom"/>
            <w:shd w:val="clear" w:color="auto" w:fill="E5E7EF"/>
          </w:tcPr>
          <w:p>
            <w:pPr>
              <w:ind w:left="240"/>
              <w:spacing w:after="0" w:line="148" w:lineRule="exact"/>
              <w:rPr>
                <w:sz w:val="20"/>
                <w:szCs w:val="20"/>
                <w:color w:val="auto"/>
              </w:rPr>
            </w:pPr>
            <w:r>
              <w:rPr>
                <w:rFonts w:ascii="Arial" w:cs="Arial" w:eastAsia="Arial" w:hAnsi="Arial"/>
                <w:sz w:val="13"/>
                <w:szCs w:val="13"/>
                <w:color w:val="auto"/>
              </w:rPr>
              <w:t>Compensation</w:t>
            </w:r>
          </w:p>
        </w:tc>
        <w:tc>
          <w:tcPr>
            <w:tcW w:w="1360" w:type="dxa"/>
            <w:vAlign w:val="bottom"/>
            <w:shd w:val="clear" w:color="auto" w:fill="E5E7EF"/>
          </w:tcPr>
          <w:p>
            <w:pPr>
              <w:ind w:left="260"/>
              <w:spacing w:after="0" w:line="148" w:lineRule="exact"/>
              <w:rPr>
                <w:sz w:val="20"/>
                <w:szCs w:val="20"/>
                <w:color w:val="auto"/>
              </w:rPr>
            </w:pPr>
            <w:r>
              <w:rPr>
                <w:rFonts w:ascii="Arial" w:cs="Arial" w:eastAsia="Arial" w:hAnsi="Arial"/>
                <w:sz w:val="13"/>
                <w:szCs w:val="13"/>
                <w:color w:val="auto"/>
              </w:rPr>
              <w:t>Compensation</w:t>
            </w:r>
          </w:p>
        </w:tc>
        <w:tc>
          <w:tcPr>
            <w:tcW w:w="1500" w:type="dxa"/>
            <w:vAlign w:val="bottom"/>
            <w:shd w:val="clear" w:color="auto" w:fill="E5E7EF"/>
          </w:tcPr>
          <w:p>
            <w:pPr>
              <w:ind w:left="200"/>
              <w:spacing w:after="0" w:line="148" w:lineRule="exact"/>
              <w:rPr>
                <w:sz w:val="20"/>
                <w:szCs w:val="20"/>
                <w:color w:val="auto"/>
              </w:rPr>
            </w:pPr>
            <w:r>
              <w:rPr>
                <w:rFonts w:ascii="Arial" w:cs="Arial" w:eastAsia="Arial" w:hAnsi="Arial"/>
                <w:sz w:val="13"/>
                <w:szCs w:val="13"/>
                <w:color w:val="auto"/>
              </w:rPr>
              <w:t>Board</w:t>
            </w:r>
          </w:p>
        </w:tc>
      </w:tr>
      <w:tr>
        <w:trPr>
          <w:trHeight w:val="182"/>
        </w:trPr>
        <w:tc>
          <w:tcPr>
            <w:tcW w:w="3300" w:type="dxa"/>
            <w:vAlign w:val="bottom"/>
            <w:tcBorders>
              <w:bottom w:val="single" w:sz="8" w:color="959595"/>
            </w:tcBorders>
            <w:shd w:val="clear" w:color="auto" w:fill="E5E7EF"/>
          </w:tcPr>
          <w:p>
            <w:pPr>
              <w:ind w:left="20"/>
              <w:spacing w:after="0"/>
              <w:rPr>
                <w:sz w:val="20"/>
                <w:szCs w:val="20"/>
                <w:color w:val="auto"/>
              </w:rPr>
            </w:pPr>
            <w:r>
              <w:rPr>
                <w:rFonts w:ascii="Arial" w:cs="Arial" w:eastAsia="Arial" w:hAnsi="Arial"/>
                <w:sz w:val="13"/>
                <w:szCs w:val="13"/>
                <w:color w:val="auto"/>
              </w:rPr>
              <w:t>Role</w:t>
            </w:r>
          </w:p>
        </w:tc>
        <w:tc>
          <w:tcPr>
            <w:tcW w:w="1080" w:type="dxa"/>
            <w:vAlign w:val="bottom"/>
            <w:tcBorders>
              <w:bottom w:val="single" w:sz="8" w:color="959595"/>
            </w:tcBorders>
            <w:shd w:val="clear" w:color="auto" w:fill="E5E7EF"/>
          </w:tcPr>
          <w:p>
            <w:pPr>
              <w:ind w:left="60"/>
              <w:spacing w:after="0"/>
              <w:rPr>
                <w:sz w:val="20"/>
                <w:szCs w:val="20"/>
                <w:color w:val="auto"/>
              </w:rPr>
            </w:pPr>
            <w:r>
              <w:rPr>
                <w:rFonts w:ascii="Arial" w:cs="Arial" w:eastAsia="Arial" w:hAnsi="Arial"/>
                <w:sz w:val="13"/>
                <w:szCs w:val="13"/>
                <w:color w:val="auto"/>
              </w:rPr>
              <w:t>Management</w:t>
            </w:r>
          </w:p>
        </w:tc>
        <w:tc>
          <w:tcPr>
            <w:tcW w:w="1380" w:type="dxa"/>
            <w:vAlign w:val="bottom"/>
            <w:tcBorders>
              <w:bottom w:val="single" w:sz="8" w:color="959595"/>
            </w:tcBorders>
            <w:shd w:val="clear" w:color="auto" w:fill="E5E7EF"/>
          </w:tcPr>
          <w:p>
            <w:pPr>
              <w:ind w:left="300"/>
              <w:spacing w:after="0"/>
              <w:rPr>
                <w:sz w:val="20"/>
                <w:szCs w:val="20"/>
                <w:color w:val="auto"/>
              </w:rPr>
            </w:pPr>
            <w:r>
              <w:rPr>
                <w:rFonts w:ascii="Arial" w:cs="Arial" w:eastAsia="Arial" w:hAnsi="Arial"/>
                <w:sz w:val="13"/>
                <w:szCs w:val="13"/>
                <w:color w:val="auto"/>
              </w:rPr>
              <w:t>CEO</w:t>
            </w:r>
          </w:p>
        </w:tc>
        <w:tc>
          <w:tcPr>
            <w:tcW w:w="1280" w:type="dxa"/>
            <w:vAlign w:val="bottom"/>
            <w:tcBorders>
              <w:bottom w:val="single" w:sz="8" w:color="959595"/>
            </w:tcBorders>
            <w:shd w:val="clear" w:color="auto" w:fill="E5E7EF"/>
          </w:tcPr>
          <w:p>
            <w:pPr>
              <w:ind w:left="220"/>
              <w:spacing w:after="0" w:line="182" w:lineRule="exact"/>
              <w:rPr>
                <w:sz w:val="20"/>
                <w:szCs w:val="20"/>
                <w:color w:val="auto"/>
              </w:rPr>
            </w:pPr>
            <w:r>
              <w:rPr>
                <w:rFonts w:ascii="Arial" w:cs="Arial" w:eastAsia="Arial" w:hAnsi="Arial"/>
                <w:sz w:val="13"/>
                <w:szCs w:val="13"/>
                <w:color w:val="auto"/>
              </w:rPr>
              <w:t>Consultant</w:t>
            </w:r>
            <w:r>
              <w:rPr>
                <w:rFonts w:ascii="Arial" w:cs="Arial" w:eastAsia="Arial" w:hAnsi="Arial"/>
                <w:sz w:val="16"/>
                <w:szCs w:val="16"/>
                <w:color w:val="auto"/>
                <w:vertAlign w:val="superscript"/>
              </w:rPr>
              <w:t>(1)</w:t>
            </w:r>
          </w:p>
        </w:tc>
        <w:tc>
          <w:tcPr>
            <w:tcW w:w="1300" w:type="dxa"/>
            <w:vAlign w:val="bottom"/>
            <w:tcBorders>
              <w:bottom w:val="single" w:sz="8" w:color="959595"/>
            </w:tcBorders>
            <w:shd w:val="clear" w:color="auto" w:fill="E5E7EF"/>
          </w:tcPr>
          <w:p>
            <w:pPr>
              <w:ind w:left="240"/>
              <w:spacing w:after="0" w:line="182" w:lineRule="exact"/>
              <w:rPr>
                <w:sz w:val="20"/>
                <w:szCs w:val="20"/>
                <w:color w:val="auto"/>
              </w:rPr>
            </w:pPr>
            <w:r>
              <w:rPr>
                <w:rFonts w:ascii="Arial" w:cs="Arial" w:eastAsia="Arial" w:hAnsi="Arial"/>
                <w:sz w:val="13"/>
                <w:szCs w:val="13"/>
                <w:color w:val="auto"/>
              </w:rPr>
              <w:t>Consultant</w:t>
            </w:r>
            <w:r>
              <w:rPr>
                <w:rFonts w:ascii="Arial" w:cs="Arial" w:eastAsia="Arial" w:hAnsi="Arial"/>
                <w:sz w:val="16"/>
                <w:szCs w:val="16"/>
                <w:color w:val="auto"/>
                <w:vertAlign w:val="superscript"/>
              </w:rPr>
              <w:t>(2)</w:t>
            </w:r>
          </w:p>
        </w:tc>
        <w:tc>
          <w:tcPr>
            <w:tcW w:w="1360" w:type="dxa"/>
            <w:vAlign w:val="bottom"/>
            <w:tcBorders>
              <w:bottom w:val="single" w:sz="8" w:color="959595"/>
            </w:tcBorders>
            <w:shd w:val="clear" w:color="auto" w:fill="E5E7EF"/>
          </w:tcPr>
          <w:p>
            <w:pPr>
              <w:ind w:left="260"/>
              <w:spacing w:after="0"/>
              <w:rPr>
                <w:sz w:val="20"/>
                <w:szCs w:val="20"/>
                <w:color w:val="auto"/>
              </w:rPr>
            </w:pPr>
            <w:r>
              <w:rPr>
                <w:rFonts w:ascii="Arial" w:cs="Arial" w:eastAsia="Arial" w:hAnsi="Arial"/>
                <w:sz w:val="13"/>
                <w:szCs w:val="13"/>
                <w:color w:val="auto"/>
              </w:rPr>
              <w:t>Committee</w:t>
            </w:r>
          </w:p>
        </w:tc>
        <w:tc>
          <w:tcPr>
            <w:tcW w:w="1500" w:type="dxa"/>
            <w:vAlign w:val="bottom"/>
            <w:tcBorders>
              <w:bottom w:val="single" w:sz="8" w:color="959595"/>
            </w:tcBorders>
            <w:shd w:val="clear" w:color="auto" w:fill="E5E7EF"/>
          </w:tcPr>
          <w:p>
            <w:pPr>
              <w:ind w:left="200"/>
              <w:spacing w:after="0"/>
              <w:rPr>
                <w:sz w:val="20"/>
                <w:szCs w:val="20"/>
                <w:color w:val="auto"/>
              </w:rPr>
            </w:pPr>
            <w:r>
              <w:rPr>
                <w:rFonts w:ascii="Arial" w:cs="Arial" w:eastAsia="Arial" w:hAnsi="Arial"/>
                <w:sz w:val="13"/>
                <w:szCs w:val="13"/>
                <w:color w:val="auto"/>
              </w:rPr>
              <w:t>Members</w:t>
            </w:r>
          </w:p>
        </w:tc>
      </w:tr>
      <w:tr>
        <w:trPr>
          <w:trHeight w:val="147"/>
        </w:trPr>
        <w:tc>
          <w:tcPr>
            <w:tcW w:w="3300" w:type="dxa"/>
            <w:vAlign w:val="bottom"/>
          </w:tcPr>
          <w:p>
            <w:pPr>
              <w:ind w:left="20"/>
              <w:spacing w:after="0" w:line="147" w:lineRule="exact"/>
              <w:rPr>
                <w:sz w:val="20"/>
                <w:szCs w:val="20"/>
                <w:color w:val="auto"/>
              </w:rPr>
            </w:pPr>
            <w:r>
              <w:rPr>
                <w:rFonts w:ascii="Arial" w:cs="Arial" w:eastAsia="Arial" w:hAnsi="Arial"/>
                <w:sz w:val="14"/>
                <w:szCs w:val="14"/>
                <w:color w:val="auto"/>
              </w:rPr>
              <w:t>Peer Group / External Market Data and Best</w:t>
            </w:r>
          </w:p>
        </w:tc>
        <w:tc>
          <w:tcPr>
            <w:tcW w:w="1080" w:type="dxa"/>
            <w:vAlign w:val="bottom"/>
          </w:tcPr>
          <w:p>
            <w:pPr>
              <w:ind w:left="60"/>
              <w:spacing w:after="0" w:line="147" w:lineRule="exact"/>
              <w:rPr>
                <w:sz w:val="20"/>
                <w:szCs w:val="20"/>
                <w:color w:val="auto"/>
              </w:rPr>
            </w:pPr>
            <w:r>
              <w:rPr>
                <w:rFonts w:ascii="Arial" w:cs="Arial" w:eastAsia="Arial" w:hAnsi="Arial"/>
                <w:sz w:val="14"/>
                <w:szCs w:val="14"/>
                <w:color w:val="auto"/>
              </w:rPr>
              <w:t>Reviews</w:t>
            </w:r>
          </w:p>
        </w:tc>
        <w:tc>
          <w:tcPr>
            <w:tcW w:w="1380" w:type="dxa"/>
            <w:vAlign w:val="bottom"/>
          </w:tcPr>
          <w:p>
            <w:pPr>
              <w:ind w:left="300"/>
              <w:spacing w:after="0" w:line="147" w:lineRule="exact"/>
              <w:rPr>
                <w:sz w:val="20"/>
                <w:szCs w:val="20"/>
                <w:color w:val="auto"/>
              </w:rPr>
            </w:pPr>
            <w:r>
              <w:rPr>
                <w:rFonts w:ascii="Arial" w:cs="Arial" w:eastAsia="Arial" w:hAnsi="Arial"/>
                <w:sz w:val="14"/>
                <w:szCs w:val="14"/>
                <w:color w:val="auto"/>
              </w:rPr>
              <w:t>Reviews</w:t>
            </w:r>
          </w:p>
        </w:tc>
        <w:tc>
          <w:tcPr>
            <w:tcW w:w="1280" w:type="dxa"/>
            <w:vAlign w:val="bottom"/>
          </w:tcPr>
          <w:p>
            <w:pPr>
              <w:ind w:left="220"/>
              <w:spacing w:after="0" w:line="147" w:lineRule="exact"/>
              <w:rPr>
                <w:sz w:val="20"/>
                <w:szCs w:val="20"/>
                <w:color w:val="auto"/>
              </w:rPr>
            </w:pPr>
            <w:r>
              <w:rPr>
                <w:rFonts w:ascii="Arial" w:cs="Arial" w:eastAsia="Arial" w:hAnsi="Arial"/>
                <w:sz w:val="14"/>
                <w:szCs w:val="14"/>
                <w:color w:val="auto"/>
              </w:rPr>
              <w:t>Develops</w:t>
            </w:r>
          </w:p>
        </w:tc>
        <w:tc>
          <w:tcPr>
            <w:tcW w:w="1300" w:type="dxa"/>
            <w:vAlign w:val="bottom"/>
          </w:tcPr>
          <w:p>
            <w:pPr>
              <w:ind w:left="240"/>
              <w:spacing w:after="0" w:line="147" w:lineRule="exact"/>
              <w:rPr>
                <w:sz w:val="20"/>
                <w:szCs w:val="20"/>
                <w:color w:val="auto"/>
              </w:rPr>
            </w:pPr>
            <w:r>
              <w:rPr>
                <w:rFonts w:ascii="Arial" w:cs="Arial" w:eastAsia="Arial" w:hAnsi="Arial"/>
                <w:sz w:val="14"/>
                <w:szCs w:val="14"/>
                <w:color w:val="auto"/>
              </w:rPr>
              <w:t>Develops/</w:t>
            </w:r>
          </w:p>
        </w:tc>
        <w:tc>
          <w:tcPr>
            <w:tcW w:w="1360" w:type="dxa"/>
            <w:vAlign w:val="bottom"/>
          </w:tcPr>
          <w:p>
            <w:pPr>
              <w:ind w:left="260"/>
              <w:spacing w:after="0" w:line="147" w:lineRule="exact"/>
              <w:rPr>
                <w:sz w:val="20"/>
                <w:szCs w:val="20"/>
                <w:color w:val="auto"/>
              </w:rPr>
            </w:pPr>
            <w:r>
              <w:rPr>
                <w:rFonts w:ascii="Arial" w:cs="Arial" w:eastAsia="Arial" w:hAnsi="Arial"/>
                <w:sz w:val="14"/>
                <w:szCs w:val="14"/>
                <w:color w:val="auto"/>
              </w:rPr>
              <w:t>Reviews</w:t>
            </w:r>
          </w:p>
        </w:tc>
        <w:tc>
          <w:tcPr>
            <w:tcW w:w="1500" w:type="dxa"/>
            <w:vAlign w:val="bottom"/>
          </w:tcPr>
          <w:p>
            <w:pPr>
              <w:ind w:left="200"/>
              <w:spacing w:after="0" w:line="147" w:lineRule="exact"/>
              <w:rPr>
                <w:sz w:val="20"/>
                <w:szCs w:val="20"/>
                <w:color w:val="auto"/>
              </w:rPr>
            </w:pPr>
            <w:r>
              <w:rPr>
                <w:rFonts w:ascii="Arial" w:cs="Arial" w:eastAsia="Arial" w:hAnsi="Arial"/>
                <w:sz w:val="14"/>
                <w:szCs w:val="14"/>
                <w:color w:val="auto"/>
              </w:rPr>
              <w:t>—</w:t>
            </w:r>
          </w:p>
        </w:tc>
      </w:tr>
      <w:tr>
        <w:trPr>
          <w:trHeight w:val="171"/>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Practices for Compensation Design and Decisions</w:t>
            </w:r>
          </w:p>
        </w:tc>
        <w:tc>
          <w:tcPr>
            <w:tcW w:w="1080" w:type="dxa"/>
            <w:vAlign w:val="bottom"/>
            <w:tcBorders>
              <w:bottom w:val="single" w:sz="8" w:color="959595"/>
            </w:tcBorders>
          </w:tcPr>
          <w:p>
            <w:pPr>
              <w:spacing w:after="0"/>
              <w:rPr>
                <w:sz w:val="14"/>
                <w:szCs w:val="14"/>
                <w:color w:val="auto"/>
              </w:rPr>
            </w:pPr>
          </w:p>
        </w:tc>
        <w:tc>
          <w:tcPr>
            <w:tcW w:w="1380" w:type="dxa"/>
            <w:vAlign w:val="bottom"/>
            <w:tcBorders>
              <w:bottom w:val="single" w:sz="8" w:color="959595"/>
            </w:tcBorders>
          </w:tcPr>
          <w:p>
            <w:pPr>
              <w:spacing w:after="0"/>
              <w:rPr>
                <w:sz w:val="14"/>
                <w:szCs w:val="14"/>
                <w:color w:val="auto"/>
              </w:rPr>
            </w:pPr>
          </w:p>
        </w:tc>
        <w:tc>
          <w:tcPr>
            <w:tcW w:w="1280" w:type="dxa"/>
            <w:vAlign w:val="bottom"/>
            <w:tcBorders>
              <w:bottom w:val="single" w:sz="8" w:color="959595"/>
            </w:tcBorders>
          </w:tcPr>
          <w:p>
            <w:pPr>
              <w:spacing w:after="0"/>
              <w:rPr>
                <w:sz w:val="14"/>
                <w:szCs w:val="14"/>
                <w:color w:val="auto"/>
              </w:rPr>
            </w:pPr>
          </w:p>
        </w:tc>
        <w:tc>
          <w:tcPr>
            <w:tcW w:w="1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Reviews</w:t>
            </w:r>
          </w:p>
        </w:tc>
        <w:tc>
          <w:tcPr>
            <w:tcW w:w="1360" w:type="dxa"/>
            <w:vAlign w:val="bottom"/>
            <w:tcBorders>
              <w:bottom w:val="single" w:sz="8" w:color="959595"/>
            </w:tcBorders>
          </w:tcPr>
          <w:p>
            <w:pPr>
              <w:spacing w:after="0"/>
              <w:rPr>
                <w:sz w:val="14"/>
                <w:szCs w:val="14"/>
                <w:color w:val="auto"/>
              </w:rPr>
            </w:pPr>
          </w:p>
        </w:tc>
        <w:tc>
          <w:tcPr>
            <w:tcW w:w="1500" w:type="dxa"/>
            <w:vAlign w:val="bottom"/>
            <w:tcBorders>
              <w:bottom w:val="single" w:sz="8" w:color="959595"/>
            </w:tcBorders>
          </w:tcPr>
          <w:p>
            <w:pPr>
              <w:spacing w:after="0"/>
              <w:rPr>
                <w:sz w:val="14"/>
                <w:szCs w:val="14"/>
                <w:color w:val="auto"/>
              </w:rPr>
            </w:pPr>
          </w:p>
        </w:tc>
      </w:tr>
      <w:tr>
        <w:trPr>
          <w:trHeight w:val="183"/>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Annual NEO Target Compensation</w:t>
            </w:r>
          </w:p>
        </w:tc>
        <w:tc>
          <w:tcPr>
            <w:tcW w:w="10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59595"/>
            </w:tcBorders>
          </w:tcPr>
          <w:p>
            <w:pPr>
              <w:ind w:left="300"/>
              <w:spacing w:after="0"/>
              <w:rPr>
                <w:sz w:val="20"/>
                <w:szCs w:val="20"/>
                <w:color w:val="auto"/>
              </w:rPr>
            </w:pPr>
            <w:r>
              <w:rPr>
                <w:rFonts w:ascii="Arial" w:cs="Arial" w:eastAsia="Arial" w:hAnsi="Arial"/>
                <w:sz w:val="14"/>
                <w:szCs w:val="14"/>
                <w:color w:val="auto"/>
              </w:rPr>
              <w:t>Recommends</w:t>
            </w:r>
          </w:p>
        </w:tc>
        <w:tc>
          <w:tcPr>
            <w:tcW w:w="128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Reviews</w:t>
            </w:r>
          </w:p>
        </w:tc>
        <w:tc>
          <w:tcPr>
            <w:tcW w:w="1360" w:type="dxa"/>
            <w:vAlign w:val="bottom"/>
            <w:tcBorders>
              <w:bottom w:val="single" w:sz="8" w:color="959595"/>
            </w:tcBorders>
          </w:tcPr>
          <w:p>
            <w:pPr>
              <w:ind w:left="260"/>
              <w:spacing w:after="0"/>
              <w:rPr>
                <w:sz w:val="20"/>
                <w:szCs w:val="20"/>
                <w:color w:val="auto"/>
              </w:rPr>
            </w:pPr>
            <w:r>
              <w:rPr>
                <w:rFonts w:ascii="Arial" w:cs="Arial" w:eastAsia="Arial" w:hAnsi="Arial"/>
                <w:sz w:val="14"/>
                <w:szCs w:val="14"/>
                <w:color w:val="auto"/>
              </w:rPr>
              <w:t>Approves</w:t>
            </w:r>
          </w:p>
        </w:tc>
        <w:tc>
          <w:tcPr>
            <w:tcW w:w="1500" w:type="dxa"/>
            <w:vAlign w:val="bottom"/>
            <w:tcBorders>
              <w:bottom w:val="single" w:sz="8" w:color="959595"/>
            </w:tcBorders>
          </w:tcPr>
          <w:p>
            <w:pPr>
              <w:ind w:left="200"/>
              <w:spacing w:after="0"/>
              <w:rPr>
                <w:sz w:val="20"/>
                <w:szCs w:val="20"/>
                <w:color w:val="auto"/>
              </w:rPr>
            </w:pPr>
            <w:r>
              <w:rPr>
                <w:rFonts w:ascii="Arial" w:cs="Arial" w:eastAsia="Arial" w:hAnsi="Arial"/>
                <w:sz w:val="14"/>
                <w:szCs w:val="14"/>
                <w:color w:val="auto"/>
              </w:rPr>
              <w:t>Ratify</w:t>
            </w:r>
          </w:p>
        </w:tc>
      </w:tr>
      <w:tr>
        <w:trPr>
          <w:trHeight w:val="183"/>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Annual CEO Target Compensation</w:t>
            </w:r>
          </w:p>
        </w:tc>
        <w:tc>
          <w:tcPr>
            <w:tcW w:w="10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59595"/>
            </w:tcBorders>
          </w:tcPr>
          <w:p>
            <w:pPr>
              <w:ind w:left="3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Advises</w:t>
            </w:r>
          </w:p>
        </w:tc>
        <w:tc>
          <w:tcPr>
            <w:tcW w:w="1360" w:type="dxa"/>
            <w:vAlign w:val="bottom"/>
            <w:tcBorders>
              <w:bottom w:val="single" w:sz="8" w:color="959595"/>
            </w:tcBorders>
          </w:tcPr>
          <w:p>
            <w:pPr>
              <w:ind w:left="260"/>
              <w:spacing w:after="0"/>
              <w:rPr>
                <w:sz w:val="20"/>
                <w:szCs w:val="20"/>
                <w:color w:val="auto"/>
              </w:rPr>
            </w:pPr>
            <w:r>
              <w:rPr>
                <w:rFonts w:ascii="Arial" w:cs="Arial" w:eastAsia="Arial" w:hAnsi="Arial"/>
                <w:sz w:val="14"/>
                <w:szCs w:val="14"/>
                <w:color w:val="auto"/>
              </w:rPr>
              <w:t>Recommends</w:t>
            </w:r>
          </w:p>
        </w:tc>
        <w:tc>
          <w:tcPr>
            <w:tcW w:w="1500" w:type="dxa"/>
            <w:vAlign w:val="bottom"/>
            <w:tcBorders>
              <w:bottom w:val="single" w:sz="8" w:color="959595"/>
            </w:tcBorders>
          </w:tcPr>
          <w:p>
            <w:pPr>
              <w:ind w:left="200"/>
              <w:spacing w:after="0"/>
              <w:rPr>
                <w:sz w:val="20"/>
                <w:szCs w:val="20"/>
                <w:color w:val="auto"/>
              </w:rPr>
            </w:pPr>
            <w:r>
              <w:rPr>
                <w:rFonts w:ascii="Arial" w:cs="Arial" w:eastAsia="Arial" w:hAnsi="Arial"/>
                <w:sz w:val="14"/>
                <w:szCs w:val="14"/>
                <w:color w:val="auto"/>
              </w:rPr>
              <w:t>Approve</w:t>
            </w:r>
          </w:p>
        </w:tc>
      </w:tr>
      <w:tr>
        <w:trPr>
          <w:trHeight w:val="147"/>
        </w:trPr>
        <w:tc>
          <w:tcPr>
            <w:tcW w:w="3300" w:type="dxa"/>
            <w:vAlign w:val="bottom"/>
          </w:tcPr>
          <w:p>
            <w:pPr>
              <w:ind w:left="20"/>
              <w:spacing w:after="0" w:line="147" w:lineRule="exact"/>
              <w:rPr>
                <w:sz w:val="20"/>
                <w:szCs w:val="20"/>
                <w:color w:val="auto"/>
              </w:rPr>
            </w:pPr>
            <w:r>
              <w:rPr>
                <w:rFonts w:ascii="Arial" w:cs="Arial" w:eastAsia="Arial" w:hAnsi="Arial"/>
                <w:sz w:val="14"/>
                <w:szCs w:val="14"/>
                <w:color w:val="auto"/>
              </w:rPr>
              <w:t>Annual and Long-Term Incentive Measures,</w:t>
            </w:r>
          </w:p>
        </w:tc>
        <w:tc>
          <w:tcPr>
            <w:tcW w:w="1080" w:type="dxa"/>
            <w:vAlign w:val="bottom"/>
          </w:tcPr>
          <w:p>
            <w:pPr>
              <w:ind w:left="60"/>
              <w:spacing w:after="0" w:line="147" w:lineRule="exact"/>
              <w:rPr>
                <w:sz w:val="20"/>
                <w:szCs w:val="20"/>
                <w:color w:val="auto"/>
              </w:rPr>
            </w:pPr>
            <w:r>
              <w:rPr>
                <w:rFonts w:ascii="Arial" w:cs="Arial" w:eastAsia="Arial" w:hAnsi="Arial"/>
                <w:sz w:val="14"/>
                <w:szCs w:val="14"/>
                <w:color w:val="auto"/>
              </w:rPr>
              <w:t>Develops</w:t>
            </w:r>
          </w:p>
        </w:tc>
        <w:tc>
          <w:tcPr>
            <w:tcW w:w="1380" w:type="dxa"/>
            <w:vAlign w:val="bottom"/>
          </w:tcPr>
          <w:p>
            <w:pPr>
              <w:ind w:left="300"/>
              <w:spacing w:after="0" w:line="147" w:lineRule="exact"/>
              <w:rPr>
                <w:sz w:val="20"/>
                <w:szCs w:val="20"/>
                <w:color w:val="auto"/>
              </w:rPr>
            </w:pPr>
            <w:r>
              <w:rPr>
                <w:rFonts w:ascii="Arial" w:cs="Arial" w:eastAsia="Arial" w:hAnsi="Arial"/>
                <w:sz w:val="14"/>
                <w:szCs w:val="14"/>
                <w:color w:val="auto"/>
              </w:rPr>
              <w:t>Reviews</w:t>
            </w:r>
          </w:p>
        </w:tc>
        <w:tc>
          <w:tcPr>
            <w:tcW w:w="1280" w:type="dxa"/>
            <w:vAlign w:val="bottom"/>
          </w:tcPr>
          <w:p>
            <w:pPr>
              <w:ind w:left="220"/>
              <w:spacing w:after="0" w:line="147" w:lineRule="exact"/>
              <w:rPr>
                <w:sz w:val="20"/>
                <w:szCs w:val="20"/>
                <w:color w:val="auto"/>
              </w:rPr>
            </w:pPr>
            <w:r>
              <w:rPr>
                <w:rFonts w:ascii="Arial" w:cs="Arial" w:eastAsia="Arial" w:hAnsi="Arial"/>
                <w:sz w:val="14"/>
                <w:szCs w:val="14"/>
                <w:color w:val="auto"/>
              </w:rPr>
              <w:t>—</w:t>
            </w:r>
          </w:p>
        </w:tc>
        <w:tc>
          <w:tcPr>
            <w:tcW w:w="1300" w:type="dxa"/>
            <w:vAlign w:val="bottom"/>
          </w:tcPr>
          <w:p>
            <w:pPr>
              <w:ind w:left="240"/>
              <w:spacing w:after="0" w:line="147" w:lineRule="exact"/>
              <w:rPr>
                <w:sz w:val="20"/>
                <w:szCs w:val="20"/>
                <w:color w:val="auto"/>
              </w:rPr>
            </w:pPr>
            <w:r>
              <w:rPr>
                <w:rFonts w:ascii="Arial" w:cs="Arial" w:eastAsia="Arial" w:hAnsi="Arial"/>
                <w:sz w:val="14"/>
                <w:szCs w:val="14"/>
                <w:color w:val="auto"/>
              </w:rPr>
              <w:t>Reviews</w:t>
            </w:r>
          </w:p>
        </w:tc>
        <w:tc>
          <w:tcPr>
            <w:tcW w:w="1360" w:type="dxa"/>
            <w:vAlign w:val="bottom"/>
          </w:tcPr>
          <w:p>
            <w:pPr>
              <w:ind w:left="260"/>
              <w:spacing w:after="0" w:line="147" w:lineRule="exact"/>
              <w:rPr>
                <w:sz w:val="20"/>
                <w:szCs w:val="20"/>
                <w:color w:val="auto"/>
              </w:rPr>
            </w:pPr>
            <w:r>
              <w:rPr>
                <w:rFonts w:ascii="Arial" w:cs="Arial" w:eastAsia="Arial" w:hAnsi="Arial"/>
                <w:sz w:val="14"/>
                <w:szCs w:val="14"/>
                <w:color w:val="auto"/>
              </w:rPr>
              <w:t>Approves</w:t>
            </w:r>
          </w:p>
        </w:tc>
        <w:tc>
          <w:tcPr>
            <w:tcW w:w="1500" w:type="dxa"/>
            <w:vAlign w:val="bottom"/>
          </w:tcPr>
          <w:p>
            <w:pPr>
              <w:ind w:left="200"/>
              <w:spacing w:after="0" w:line="147" w:lineRule="exact"/>
              <w:rPr>
                <w:sz w:val="20"/>
                <w:szCs w:val="20"/>
                <w:color w:val="auto"/>
              </w:rPr>
            </w:pPr>
            <w:r>
              <w:rPr>
                <w:rFonts w:ascii="Arial" w:cs="Arial" w:eastAsia="Arial" w:hAnsi="Arial"/>
                <w:sz w:val="14"/>
                <w:szCs w:val="14"/>
                <w:color w:val="auto"/>
              </w:rPr>
              <w:t>Ratify</w:t>
            </w:r>
          </w:p>
        </w:tc>
      </w:tr>
      <w:tr>
        <w:trPr>
          <w:trHeight w:val="171"/>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Performance Targets and Performance Results</w:t>
            </w:r>
          </w:p>
        </w:tc>
        <w:tc>
          <w:tcPr>
            <w:tcW w:w="1080" w:type="dxa"/>
            <w:vAlign w:val="bottom"/>
            <w:tcBorders>
              <w:bottom w:val="single" w:sz="8" w:color="959595"/>
            </w:tcBorders>
          </w:tcPr>
          <w:p>
            <w:pPr>
              <w:spacing w:after="0"/>
              <w:rPr>
                <w:sz w:val="14"/>
                <w:szCs w:val="14"/>
                <w:color w:val="auto"/>
              </w:rPr>
            </w:pPr>
          </w:p>
        </w:tc>
        <w:tc>
          <w:tcPr>
            <w:tcW w:w="1380" w:type="dxa"/>
            <w:vAlign w:val="bottom"/>
            <w:tcBorders>
              <w:bottom w:val="single" w:sz="8" w:color="959595"/>
            </w:tcBorders>
          </w:tcPr>
          <w:p>
            <w:pPr>
              <w:spacing w:after="0"/>
              <w:rPr>
                <w:sz w:val="14"/>
                <w:szCs w:val="14"/>
                <w:color w:val="auto"/>
              </w:rPr>
            </w:pPr>
          </w:p>
        </w:tc>
        <w:tc>
          <w:tcPr>
            <w:tcW w:w="1280" w:type="dxa"/>
            <w:vAlign w:val="bottom"/>
            <w:tcBorders>
              <w:bottom w:val="single" w:sz="8" w:color="959595"/>
            </w:tcBorders>
          </w:tcPr>
          <w:p>
            <w:pPr>
              <w:spacing w:after="0"/>
              <w:rPr>
                <w:sz w:val="14"/>
                <w:szCs w:val="14"/>
                <w:color w:val="auto"/>
              </w:rPr>
            </w:pPr>
          </w:p>
        </w:tc>
        <w:tc>
          <w:tcPr>
            <w:tcW w:w="1300" w:type="dxa"/>
            <w:vAlign w:val="bottom"/>
            <w:tcBorders>
              <w:bottom w:val="single" w:sz="8" w:color="959595"/>
            </w:tcBorders>
          </w:tcPr>
          <w:p>
            <w:pPr>
              <w:spacing w:after="0"/>
              <w:rPr>
                <w:sz w:val="14"/>
                <w:szCs w:val="14"/>
                <w:color w:val="auto"/>
              </w:rPr>
            </w:pPr>
          </w:p>
        </w:tc>
        <w:tc>
          <w:tcPr>
            <w:tcW w:w="1360" w:type="dxa"/>
            <w:vAlign w:val="bottom"/>
            <w:tcBorders>
              <w:bottom w:val="single" w:sz="8" w:color="959595"/>
            </w:tcBorders>
          </w:tcPr>
          <w:p>
            <w:pPr>
              <w:spacing w:after="0"/>
              <w:rPr>
                <w:sz w:val="14"/>
                <w:szCs w:val="14"/>
                <w:color w:val="auto"/>
              </w:rPr>
            </w:pPr>
          </w:p>
        </w:tc>
        <w:tc>
          <w:tcPr>
            <w:tcW w:w="1500" w:type="dxa"/>
            <w:vAlign w:val="bottom"/>
            <w:tcBorders>
              <w:bottom w:val="single" w:sz="8" w:color="959595"/>
            </w:tcBorders>
          </w:tcPr>
          <w:p>
            <w:pPr>
              <w:spacing w:after="0"/>
              <w:rPr>
                <w:sz w:val="14"/>
                <w:szCs w:val="14"/>
                <w:color w:val="auto"/>
              </w:rPr>
            </w:pPr>
          </w:p>
        </w:tc>
      </w:tr>
      <w:tr>
        <w:trPr>
          <w:trHeight w:val="183"/>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Long-Term Incentive Grants, Dilution, Burn Rate</w:t>
            </w:r>
          </w:p>
        </w:tc>
        <w:tc>
          <w:tcPr>
            <w:tcW w:w="10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Develops</w:t>
            </w:r>
          </w:p>
        </w:tc>
        <w:tc>
          <w:tcPr>
            <w:tcW w:w="1380" w:type="dxa"/>
            <w:vAlign w:val="bottom"/>
            <w:tcBorders>
              <w:bottom w:val="single" w:sz="8" w:color="959595"/>
            </w:tcBorders>
          </w:tcPr>
          <w:p>
            <w:pPr>
              <w:ind w:left="300"/>
              <w:spacing w:after="0"/>
              <w:rPr>
                <w:sz w:val="20"/>
                <w:szCs w:val="20"/>
                <w:color w:val="auto"/>
              </w:rPr>
            </w:pPr>
            <w:r>
              <w:rPr>
                <w:rFonts w:ascii="Arial" w:cs="Arial" w:eastAsia="Arial" w:hAnsi="Arial"/>
                <w:sz w:val="14"/>
                <w:szCs w:val="14"/>
                <w:color w:val="auto"/>
              </w:rPr>
              <w:t>Reviews</w:t>
            </w:r>
          </w:p>
        </w:tc>
        <w:tc>
          <w:tcPr>
            <w:tcW w:w="128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Reviews</w:t>
            </w:r>
          </w:p>
        </w:tc>
        <w:tc>
          <w:tcPr>
            <w:tcW w:w="1360" w:type="dxa"/>
            <w:vAlign w:val="bottom"/>
            <w:tcBorders>
              <w:bottom w:val="single" w:sz="8" w:color="959595"/>
            </w:tcBorders>
          </w:tcPr>
          <w:p>
            <w:pPr>
              <w:ind w:left="260"/>
              <w:spacing w:after="0"/>
              <w:rPr>
                <w:sz w:val="20"/>
                <w:szCs w:val="20"/>
                <w:color w:val="auto"/>
              </w:rPr>
            </w:pPr>
            <w:r>
              <w:rPr>
                <w:rFonts w:ascii="Arial" w:cs="Arial" w:eastAsia="Arial" w:hAnsi="Arial"/>
                <w:sz w:val="14"/>
                <w:szCs w:val="14"/>
                <w:color w:val="auto"/>
              </w:rPr>
              <w:t>Approves</w:t>
            </w:r>
          </w:p>
        </w:tc>
        <w:tc>
          <w:tcPr>
            <w:tcW w:w="1500" w:type="dxa"/>
            <w:vAlign w:val="bottom"/>
            <w:tcBorders>
              <w:bottom w:val="single" w:sz="8" w:color="959595"/>
            </w:tcBorders>
          </w:tcPr>
          <w:p>
            <w:pPr>
              <w:ind w:left="200"/>
              <w:spacing w:after="0"/>
              <w:rPr>
                <w:sz w:val="20"/>
                <w:szCs w:val="20"/>
                <w:color w:val="auto"/>
              </w:rPr>
            </w:pPr>
            <w:r>
              <w:rPr>
                <w:rFonts w:ascii="Arial" w:cs="Arial" w:eastAsia="Arial" w:hAnsi="Arial"/>
                <w:sz w:val="14"/>
                <w:szCs w:val="14"/>
                <w:color w:val="auto"/>
              </w:rPr>
              <w:t>Ratify</w:t>
            </w:r>
          </w:p>
        </w:tc>
      </w:tr>
      <w:tr>
        <w:trPr>
          <w:trHeight w:val="183"/>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Risk Assessment of Incentive Plans</w:t>
            </w:r>
          </w:p>
        </w:tc>
        <w:tc>
          <w:tcPr>
            <w:tcW w:w="10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Reviews</w:t>
            </w:r>
          </w:p>
        </w:tc>
        <w:tc>
          <w:tcPr>
            <w:tcW w:w="1380" w:type="dxa"/>
            <w:vAlign w:val="bottom"/>
            <w:tcBorders>
              <w:bottom w:val="single" w:sz="8" w:color="959595"/>
            </w:tcBorders>
          </w:tcPr>
          <w:p>
            <w:pPr>
              <w:ind w:left="300"/>
              <w:spacing w:after="0"/>
              <w:rPr>
                <w:sz w:val="20"/>
                <w:szCs w:val="20"/>
                <w:color w:val="auto"/>
              </w:rPr>
            </w:pPr>
            <w:r>
              <w:rPr>
                <w:rFonts w:ascii="Arial" w:cs="Arial" w:eastAsia="Arial" w:hAnsi="Arial"/>
                <w:sz w:val="14"/>
                <w:szCs w:val="14"/>
                <w:color w:val="auto"/>
              </w:rPr>
              <w:t>Reviews</w:t>
            </w:r>
          </w:p>
        </w:tc>
        <w:tc>
          <w:tcPr>
            <w:tcW w:w="128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Develops</w:t>
            </w:r>
          </w:p>
        </w:tc>
        <w:tc>
          <w:tcPr>
            <w:tcW w:w="1360" w:type="dxa"/>
            <w:vAlign w:val="bottom"/>
            <w:tcBorders>
              <w:bottom w:val="single" w:sz="8" w:color="959595"/>
            </w:tcBorders>
          </w:tcPr>
          <w:p>
            <w:pPr>
              <w:ind w:left="260"/>
              <w:spacing w:after="0"/>
              <w:rPr>
                <w:sz w:val="20"/>
                <w:szCs w:val="20"/>
                <w:color w:val="auto"/>
              </w:rPr>
            </w:pPr>
            <w:r>
              <w:rPr>
                <w:rFonts w:ascii="Arial" w:cs="Arial" w:eastAsia="Arial" w:hAnsi="Arial"/>
                <w:sz w:val="14"/>
                <w:szCs w:val="14"/>
                <w:color w:val="auto"/>
              </w:rPr>
              <w:t>Reviews</w:t>
            </w:r>
          </w:p>
        </w:tc>
        <w:tc>
          <w:tcPr>
            <w:tcW w:w="1500" w:type="dxa"/>
            <w:vAlign w:val="bottom"/>
            <w:tcBorders>
              <w:bottom w:val="single" w:sz="8" w:color="959595"/>
            </w:tcBorders>
          </w:tcPr>
          <w:p>
            <w:pPr>
              <w:ind w:left="200"/>
              <w:spacing w:after="0"/>
              <w:rPr>
                <w:sz w:val="20"/>
                <w:szCs w:val="20"/>
                <w:color w:val="auto"/>
              </w:rPr>
            </w:pPr>
            <w:r>
              <w:rPr>
                <w:rFonts w:ascii="Arial" w:cs="Arial" w:eastAsia="Arial" w:hAnsi="Arial"/>
                <w:sz w:val="14"/>
                <w:szCs w:val="14"/>
                <w:color w:val="auto"/>
              </w:rPr>
              <w:t>—</w:t>
            </w:r>
          </w:p>
        </w:tc>
      </w:tr>
      <w:tr>
        <w:trPr>
          <w:trHeight w:val="183"/>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Succession Plans</w:t>
            </w:r>
          </w:p>
        </w:tc>
        <w:tc>
          <w:tcPr>
            <w:tcW w:w="10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Develops</w:t>
            </w:r>
          </w:p>
        </w:tc>
        <w:tc>
          <w:tcPr>
            <w:tcW w:w="1380" w:type="dxa"/>
            <w:vAlign w:val="bottom"/>
            <w:tcBorders>
              <w:bottom w:val="single" w:sz="8" w:color="959595"/>
            </w:tcBorders>
          </w:tcPr>
          <w:p>
            <w:pPr>
              <w:ind w:left="300"/>
              <w:spacing w:after="0"/>
              <w:rPr>
                <w:sz w:val="20"/>
                <w:szCs w:val="20"/>
                <w:color w:val="auto"/>
              </w:rPr>
            </w:pPr>
            <w:r>
              <w:rPr>
                <w:rFonts w:ascii="Arial" w:cs="Arial" w:eastAsia="Arial" w:hAnsi="Arial"/>
                <w:sz w:val="14"/>
                <w:szCs w:val="14"/>
                <w:color w:val="auto"/>
              </w:rPr>
              <w:t>Reviews</w:t>
            </w:r>
          </w:p>
        </w:tc>
        <w:tc>
          <w:tcPr>
            <w:tcW w:w="128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959595"/>
            </w:tcBorders>
          </w:tcPr>
          <w:p>
            <w:pPr>
              <w:ind w:left="26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959595"/>
            </w:tcBorders>
          </w:tcPr>
          <w:p>
            <w:pPr>
              <w:ind w:left="200"/>
              <w:spacing w:after="0"/>
              <w:rPr>
                <w:sz w:val="20"/>
                <w:szCs w:val="20"/>
                <w:color w:val="auto"/>
              </w:rPr>
            </w:pPr>
            <w:r>
              <w:rPr>
                <w:rFonts w:ascii="Arial" w:cs="Arial" w:eastAsia="Arial" w:hAnsi="Arial"/>
                <w:sz w:val="14"/>
                <w:szCs w:val="14"/>
                <w:color w:val="auto"/>
              </w:rPr>
              <w:t>Review</w:t>
            </w:r>
          </w:p>
        </w:tc>
      </w:tr>
    </w:tbl>
    <w:p>
      <w:pPr>
        <w:spacing w:after="0" w:line="58" w:lineRule="exact"/>
        <w:rPr>
          <w:sz w:val="20"/>
          <w:szCs w:val="20"/>
          <w:color w:val="auto"/>
        </w:rPr>
      </w:pPr>
    </w:p>
    <w:p>
      <w:pPr>
        <w:spacing w:after="0"/>
        <w:tabs>
          <w:tab w:leader="none" w:pos="260" w:val="left"/>
        </w:tabs>
        <w:rPr>
          <w:sz w:val="20"/>
          <w:szCs w:val="20"/>
          <w:color w:val="auto"/>
        </w:rPr>
      </w:pPr>
      <w:r>
        <w:rPr>
          <w:rFonts w:ascii="Arial" w:cs="Arial" w:eastAsia="Arial" w:hAnsi="Arial"/>
          <w:sz w:val="19"/>
          <w:szCs w:val="19"/>
          <w:color w:val="auto"/>
          <w:vertAlign w:val="superscript"/>
        </w:rPr>
        <w:t>(1)</w:t>
      </w:r>
      <w:r>
        <w:rPr>
          <w:sz w:val="20"/>
          <w:szCs w:val="20"/>
          <w:color w:val="auto"/>
        </w:rPr>
        <w:tab/>
      </w:r>
      <w:r>
        <w:rPr>
          <w:rFonts w:ascii="Arial" w:cs="Arial" w:eastAsia="Arial" w:hAnsi="Arial"/>
          <w:sz w:val="14"/>
          <w:szCs w:val="14"/>
          <w:color w:val="auto"/>
        </w:rPr>
        <w:t>Aon and Willis Towers Watson.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00" w:type="dxa"/>
            <w:vAlign w:val="bottom"/>
          </w:tcPr>
          <w:p>
            <w:pPr>
              <w:jc w:val="right"/>
              <w:ind w:right="33"/>
              <w:spacing w:after="0"/>
              <w:rPr>
                <w:sz w:val="20"/>
                <w:szCs w:val="20"/>
                <w:color w:val="auto"/>
              </w:rPr>
            </w:pPr>
            <w:r>
              <w:rPr>
                <w:rFonts w:ascii="Arial" w:cs="Arial" w:eastAsia="Arial" w:hAnsi="Arial"/>
                <w:sz w:val="9"/>
                <w:szCs w:val="9"/>
                <w:color w:val="auto"/>
                <w:w w:val="90"/>
              </w:rPr>
              <w:t>(2)</w:t>
            </w:r>
          </w:p>
        </w:tc>
        <w:tc>
          <w:tcPr>
            <w:tcW w:w="2920" w:type="dxa"/>
            <w:vAlign w:val="bottom"/>
            <w:vMerge w:val="restart"/>
          </w:tcPr>
          <w:p>
            <w:pPr>
              <w:ind w:left="80"/>
              <w:spacing w:after="0"/>
              <w:rPr>
                <w:sz w:val="20"/>
                <w:szCs w:val="20"/>
                <w:color w:val="auto"/>
              </w:rPr>
            </w:pPr>
            <w:r>
              <w:rPr>
                <w:rFonts w:ascii="Arial" w:cs="Arial" w:eastAsia="Arial" w:hAnsi="Arial"/>
                <w:sz w:val="14"/>
                <w:szCs w:val="14"/>
                <w:color w:val="auto"/>
              </w:rPr>
              <w:t>Meridian Compensation Partners (Meridian).</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238760</wp:posOffset>
            </wp:positionV>
            <wp:extent cx="969010" cy="2228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44</w:t>
      </w:r>
    </w:p>
    <w:p>
      <w:pPr>
        <w:sectPr>
          <w:pgSz w:w="11900" w:h="16838" w:orient="portrait"/>
          <w:cols w:equalWidth="0" w:num="1">
            <w:col w:w="11200"/>
          </w:cols>
          <w:pgMar w:left="320" w:top="609" w:right="37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475C90"/>
        </w:rPr>
        <w:t>How We Determine Market Rate Compensation</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For each of the principal elements of executive compensation, we determine the “market rate” as the size-adjusted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our comparator group of companies. Size-adjusted market rates are calculated for us by Aon, using revenue regression analysis. This statistical technique accounts for revenue size differences within the peer group and results in a market rate for all compensation elements consistent with our revenue relationship to our peers. We also may adjust the market rate to reflect differences in an executive’s job scope relative to the industry or the comparator group of companies, as appropriate.</w:t>
      </w:r>
    </w:p>
    <w:p>
      <w:pPr>
        <w:spacing w:after="0" w:line="10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Compensation Committee considers the current market data in combination with other internal factors when setting individual annual target pay levels, such as changes to market data year-over-year, internal pay equity, individual performance, job scope and criticality to the Corporation. Our incentive plans are designed so that actual performance in excess of established performance targets results in payouts above target and actual performance below established performance targets results in payouts below target or no payout.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475C90"/>
        </w:rPr>
        <w:t>How We Select the Comparator Group for Market Rate Purposes</w:t>
      </w:r>
    </w:p>
    <w:p>
      <w:pPr>
        <w:spacing w:after="0" w:line="85"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To establish the market rate for each of the principal elements of compensation, we select a group of publicly-traded companies (our comparator group). We regularly review our comparator group to maintain relevancy and to ensure the availability of data, while seeking to avoid significant annual changes in the group to ensure a level of consistency. Because the number of comparable companies with our revenue level is not extensive, we include companies in our comparator group based on a number of factors, including:</w:t>
      </w:r>
    </w:p>
    <w:p>
      <w:pPr>
        <w:spacing w:after="0" w:line="85" w:lineRule="exact"/>
        <w:rPr>
          <w:sz w:val="20"/>
          <w:szCs w:val="20"/>
          <w:color w:val="auto"/>
        </w:rPr>
      </w:pPr>
    </w:p>
    <w:p>
      <w:pPr>
        <w:ind w:left="220" w:hanging="131"/>
        <w:spacing w:after="0"/>
        <w:tabs>
          <w:tab w:leader="none" w:pos="220" w:val="left"/>
        </w:tabs>
        <w:numPr>
          <w:ilvl w:val="0"/>
          <w:numId w:val="78"/>
        </w:numPr>
        <w:rPr>
          <w:rFonts w:ascii="Arial" w:cs="Arial" w:eastAsia="Arial" w:hAnsi="Arial"/>
          <w:sz w:val="17"/>
          <w:szCs w:val="17"/>
          <w:color w:val="002F6C"/>
        </w:rPr>
      </w:pPr>
      <w:r>
        <w:rPr>
          <w:rFonts w:ascii="Arial" w:cs="Arial" w:eastAsia="Arial" w:hAnsi="Arial"/>
          <w:sz w:val="17"/>
          <w:szCs w:val="17"/>
          <w:color w:val="auto"/>
        </w:rPr>
        <w:t>Similarity in size (a high correlative factor in determining pay), generally based on annual revenues;</w:t>
      </w:r>
    </w:p>
    <w:p>
      <w:pPr>
        <w:spacing w:after="0" w:line="74" w:lineRule="exact"/>
        <w:rPr>
          <w:rFonts w:ascii="Arial" w:cs="Arial" w:eastAsia="Arial" w:hAnsi="Arial"/>
          <w:sz w:val="17"/>
          <w:szCs w:val="17"/>
          <w:color w:val="002F6C"/>
        </w:rPr>
      </w:pPr>
    </w:p>
    <w:p>
      <w:pPr>
        <w:ind w:left="260" w:right="140" w:hanging="171"/>
        <w:spacing w:after="0" w:line="276" w:lineRule="auto"/>
        <w:tabs>
          <w:tab w:leader="none" w:pos="225" w:val="left"/>
        </w:tabs>
        <w:numPr>
          <w:ilvl w:val="0"/>
          <w:numId w:val="78"/>
        </w:numPr>
        <w:rPr>
          <w:rFonts w:ascii="Arial" w:cs="Arial" w:eastAsia="Arial" w:hAnsi="Arial"/>
          <w:sz w:val="17"/>
          <w:szCs w:val="17"/>
          <w:color w:val="002F6C"/>
        </w:rPr>
      </w:pPr>
      <w:r>
        <w:rPr>
          <w:rFonts w:ascii="Arial" w:cs="Arial" w:eastAsia="Arial" w:hAnsi="Arial"/>
          <w:sz w:val="17"/>
          <w:szCs w:val="17"/>
          <w:color w:val="auto"/>
        </w:rPr>
        <w:t>Participation in the Aon executive compensation survey (our primary source for data in making market comparisons), which enables us to obtain reliable data for market comparisons that otherwise may not be publicly available;</w:t>
      </w:r>
    </w:p>
    <w:p>
      <w:pPr>
        <w:spacing w:after="0" w:line="36" w:lineRule="exact"/>
        <w:rPr>
          <w:rFonts w:ascii="Arial" w:cs="Arial" w:eastAsia="Arial" w:hAnsi="Arial"/>
          <w:sz w:val="17"/>
          <w:szCs w:val="17"/>
          <w:color w:val="002F6C"/>
        </w:rPr>
      </w:pPr>
    </w:p>
    <w:p>
      <w:pPr>
        <w:ind w:left="260" w:right="60" w:hanging="171"/>
        <w:spacing w:after="0" w:line="276" w:lineRule="auto"/>
        <w:tabs>
          <w:tab w:leader="none" w:pos="225" w:val="left"/>
        </w:tabs>
        <w:numPr>
          <w:ilvl w:val="0"/>
          <w:numId w:val="78"/>
        </w:numPr>
        <w:rPr>
          <w:rFonts w:ascii="Arial" w:cs="Arial" w:eastAsia="Arial" w:hAnsi="Arial"/>
          <w:sz w:val="17"/>
          <w:szCs w:val="17"/>
          <w:color w:val="002F6C"/>
        </w:rPr>
      </w:pPr>
      <w:r>
        <w:rPr>
          <w:rFonts w:ascii="Arial" w:cs="Arial" w:eastAsia="Arial" w:hAnsi="Arial"/>
          <w:sz w:val="17"/>
          <w:szCs w:val="17"/>
          <w:color w:val="auto"/>
        </w:rPr>
        <w:t>Industrial companies and, to the extent possible, companies that compete in the aerospace and defense industry, which enables comparison with companies that face similar overall labor costs, economic factors and market fluctuations;</w:t>
      </w:r>
    </w:p>
    <w:p>
      <w:pPr>
        <w:spacing w:after="0" w:line="36" w:lineRule="exact"/>
        <w:rPr>
          <w:rFonts w:ascii="Arial" w:cs="Arial" w:eastAsia="Arial" w:hAnsi="Arial"/>
          <w:sz w:val="17"/>
          <w:szCs w:val="17"/>
          <w:color w:val="002F6C"/>
        </w:rPr>
      </w:pPr>
    </w:p>
    <w:p>
      <w:pPr>
        <w:ind w:left="260" w:right="160" w:hanging="171"/>
        <w:spacing w:after="0" w:line="270" w:lineRule="auto"/>
        <w:tabs>
          <w:tab w:leader="none" w:pos="225" w:val="left"/>
        </w:tabs>
        <w:numPr>
          <w:ilvl w:val="0"/>
          <w:numId w:val="78"/>
        </w:numPr>
        <w:rPr>
          <w:rFonts w:ascii="Arial" w:cs="Arial" w:eastAsia="Arial" w:hAnsi="Arial"/>
          <w:sz w:val="17"/>
          <w:szCs w:val="17"/>
          <w:color w:val="002F6C"/>
        </w:rPr>
      </w:pPr>
      <w:r>
        <w:rPr>
          <w:rFonts w:ascii="Arial" w:cs="Arial" w:eastAsia="Arial" w:hAnsi="Arial"/>
          <w:sz w:val="17"/>
          <w:szCs w:val="17"/>
          <w:color w:val="auto"/>
        </w:rPr>
        <w:t>Companies with which we compete for executive talent, as competitive conditions and the limited number of comparably-sized aerospace and defense companies require us to recruit outside of the core aerospace and defense companies for a broad range of disciplines (e.g., finance, human resources, legal, supply chain management) to obtain individuals with a broad range of skills that are transferable across industries; and</w:t>
      </w:r>
    </w:p>
    <w:p>
      <w:pPr>
        <w:spacing w:after="0" w:line="42" w:lineRule="exact"/>
        <w:rPr>
          <w:rFonts w:ascii="Arial" w:cs="Arial" w:eastAsia="Arial" w:hAnsi="Arial"/>
          <w:sz w:val="17"/>
          <w:szCs w:val="17"/>
          <w:color w:val="002F6C"/>
        </w:rPr>
      </w:pPr>
    </w:p>
    <w:p>
      <w:pPr>
        <w:ind w:left="220" w:hanging="131"/>
        <w:spacing w:after="0"/>
        <w:tabs>
          <w:tab w:leader="none" w:pos="220" w:val="left"/>
        </w:tabs>
        <w:numPr>
          <w:ilvl w:val="0"/>
          <w:numId w:val="78"/>
        </w:numPr>
        <w:rPr>
          <w:rFonts w:ascii="Arial" w:cs="Arial" w:eastAsia="Arial" w:hAnsi="Arial"/>
          <w:sz w:val="17"/>
          <w:szCs w:val="17"/>
          <w:color w:val="002F6C"/>
        </w:rPr>
      </w:pPr>
      <w:r>
        <w:rPr>
          <w:rFonts w:ascii="Arial" w:cs="Arial" w:eastAsia="Arial" w:hAnsi="Arial"/>
          <w:sz w:val="17"/>
          <w:szCs w:val="17"/>
          <w:color w:val="auto"/>
        </w:rPr>
        <w:t>Companies with comparable executive officer positions or management structures, which enables more appropriate compensation comparisons.</w:t>
      </w:r>
    </w:p>
    <w:p>
      <w:pPr>
        <w:spacing w:after="0" w:line="115"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We do not consider market capitalization in selecting our comparator group because market capitalization can change quickly as industries and companies go in and out of favor as investments and companies restructure.</w:t>
      </w:r>
    </w:p>
    <w:p>
      <w:pPr>
        <w:spacing w:after="0" w:line="63" w:lineRule="exact"/>
        <w:rPr>
          <w:sz w:val="20"/>
          <w:szCs w:val="20"/>
          <w:color w:val="auto"/>
        </w:rPr>
      </w:pPr>
    </w:p>
    <w:p>
      <w:pPr>
        <w:jc w:val="both"/>
        <w:ind w:right="100"/>
        <w:spacing w:after="0" w:line="274" w:lineRule="auto"/>
        <w:rPr>
          <w:sz w:val="20"/>
          <w:szCs w:val="20"/>
          <w:color w:val="auto"/>
        </w:rPr>
      </w:pPr>
      <w:r>
        <w:rPr>
          <w:rFonts w:ascii="Arial" w:cs="Arial" w:eastAsia="Arial" w:hAnsi="Arial"/>
          <w:sz w:val="17"/>
          <w:szCs w:val="17"/>
          <w:color w:val="auto"/>
        </w:rPr>
        <w:t>The data presented to and considered by the Compensation Committee regarding the level of compensation at the Corporation’s comparator group of peer companies was developed from the proprietary results of the Aon executive compensation survey, subject to review by Meridian. There was no change in the composition of our 2020 comparator group from 2019. All of the 2020 comparator group companies participated in the Aon survey. Our 2020 revenues represented the 64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the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ind w:left="20"/>
              <w:spacing w:after="0"/>
              <w:rPr>
                <w:sz w:val="20"/>
                <w:szCs w:val="20"/>
                <w:color w:val="auto"/>
              </w:rPr>
            </w:pPr>
            <w:r>
              <w:rPr>
                <w:rFonts w:ascii="Arial" w:cs="Arial" w:eastAsia="Arial" w:hAnsi="Arial"/>
                <w:sz w:val="16"/>
                <w:szCs w:val="16"/>
                <w:color w:val="475C90"/>
              </w:rPr>
              <w:t>2020 Comparator Group Companies</w:t>
            </w:r>
          </w:p>
        </w:tc>
        <w:tc>
          <w:tcPr>
            <w:tcW w:w="41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100"/>
        </w:trPr>
        <w:tc>
          <w:tcPr>
            <w:tcW w:w="33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760" w:type="dxa"/>
            <w:vAlign w:val="bottom"/>
          </w:tcPr>
          <w:p>
            <w:pPr>
              <w:spacing w:after="0"/>
              <w:rPr>
                <w:sz w:val="8"/>
                <w:szCs w:val="8"/>
                <w:color w:val="auto"/>
              </w:rPr>
            </w:pPr>
          </w:p>
        </w:tc>
      </w:tr>
      <w:tr>
        <w:trPr>
          <w:trHeight w:val="320"/>
        </w:trPr>
        <w:tc>
          <w:tcPr>
            <w:tcW w:w="3360" w:type="dxa"/>
            <w:vAlign w:val="bottom"/>
            <w:shd w:val="clear" w:color="auto" w:fill="E5E7EF"/>
          </w:tcPr>
          <w:p>
            <w:pPr>
              <w:ind w:left="100"/>
              <w:spacing w:after="0"/>
              <w:rPr>
                <w:sz w:val="20"/>
                <w:szCs w:val="20"/>
                <w:color w:val="auto"/>
              </w:rPr>
            </w:pPr>
            <w:r>
              <w:rPr>
                <w:rFonts w:ascii="Arial" w:cs="Arial" w:eastAsia="Arial" w:hAnsi="Arial"/>
                <w:sz w:val="17"/>
                <w:szCs w:val="17"/>
                <w:color w:val="auto"/>
              </w:rPr>
              <w:t>3M Company</w:t>
            </w:r>
          </w:p>
        </w:tc>
        <w:tc>
          <w:tcPr>
            <w:tcW w:w="4120" w:type="dxa"/>
            <w:vAlign w:val="bottom"/>
            <w:shd w:val="clear" w:color="auto" w:fill="E5E7EF"/>
          </w:tcPr>
          <w:p>
            <w:pPr>
              <w:ind w:left="100"/>
              <w:spacing w:after="0"/>
              <w:rPr>
                <w:sz w:val="20"/>
                <w:szCs w:val="20"/>
                <w:color w:val="auto"/>
              </w:rPr>
            </w:pPr>
            <w:r>
              <w:rPr>
                <w:rFonts w:ascii="Arial" w:cs="Arial" w:eastAsia="Arial" w:hAnsi="Arial"/>
                <w:sz w:val="17"/>
                <w:szCs w:val="17"/>
                <w:color w:val="auto"/>
              </w:rPr>
              <w:t>General Dynamics Corporation*</w:t>
            </w:r>
          </w:p>
        </w:tc>
        <w:tc>
          <w:tcPr>
            <w:tcW w:w="3760" w:type="dxa"/>
            <w:vAlign w:val="bottom"/>
            <w:shd w:val="clear" w:color="auto" w:fill="E5E7EF"/>
          </w:tcPr>
          <w:p>
            <w:pPr>
              <w:ind w:left="100"/>
              <w:spacing w:after="0"/>
              <w:rPr>
                <w:sz w:val="20"/>
                <w:szCs w:val="20"/>
                <w:color w:val="auto"/>
              </w:rPr>
            </w:pPr>
            <w:r>
              <w:rPr>
                <w:rFonts w:ascii="Arial" w:cs="Arial" w:eastAsia="Arial" w:hAnsi="Arial"/>
                <w:sz w:val="17"/>
                <w:szCs w:val="17"/>
                <w:color w:val="auto"/>
              </w:rPr>
              <w:t>Raytheon Company*</w:t>
            </w:r>
          </w:p>
        </w:tc>
      </w:tr>
      <w:tr>
        <w:trPr>
          <w:trHeight w:val="310"/>
        </w:trPr>
        <w:tc>
          <w:tcPr>
            <w:tcW w:w="3360" w:type="dxa"/>
            <w:vAlign w:val="bottom"/>
            <w:shd w:val="clear" w:color="auto" w:fill="E5E7EF"/>
          </w:tcPr>
          <w:p>
            <w:pPr>
              <w:ind w:left="100"/>
              <w:spacing w:after="0"/>
              <w:rPr>
                <w:sz w:val="20"/>
                <w:szCs w:val="20"/>
                <w:color w:val="auto"/>
              </w:rPr>
            </w:pPr>
            <w:r>
              <w:rPr>
                <w:rFonts w:ascii="Arial" w:cs="Arial" w:eastAsia="Arial" w:hAnsi="Arial"/>
                <w:sz w:val="17"/>
                <w:szCs w:val="17"/>
                <w:color w:val="auto"/>
              </w:rPr>
              <w:t>Caterpillar Inc.</w:t>
            </w:r>
          </w:p>
        </w:tc>
        <w:tc>
          <w:tcPr>
            <w:tcW w:w="4120" w:type="dxa"/>
            <w:vAlign w:val="bottom"/>
            <w:shd w:val="clear" w:color="auto" w:fill="E5E7EF"/>
          </w:tcPr>
          <w:p>
            <w:pPr>
              <w:ind w:left="100"/>
              <w:spacing w:after="0"/>
              <w:rPr>
                <w:sz w:val="20"/>
                <w:szCs w:val="20"/>
                <w:color w:val="auto"/>
              </w:rPr>
            </w:pPr>
            <w:r>
              <w:rPr>
                <w:rFonts w:ascii="Arial" w:cs="Arial" w:eastAsia="Arial" w:hAnsi="Arial"/>
                <w:sz w:val="17"/>
                <w:szCs w:val="17"/>
                <w:color w:val="auto"/>
              </w:rPr>
              <w:t>General Electric Company</w:t>
            </w:r>
          </w:p>
        </w:tc>
        <w:tc>
          <w:tcPr>
            <w:tcW w:w="3760" w:type="dxa"/>
            <w:vAlign w:val="bottom"/>
            <w:shd w:val="clear" w:color="auto" w:fill="E5E7EF"/>
          </w:tcPr>
          <w:p>
            <w:pPr>
              <w:ind w:left="100"/>
              <w:spacing w:after="0"/>
              <w:rPr>
                <w:sz w:val="20"/>
                <w:szCs w:val="20"/>
                <w:color w:val="auto"/>
              </w:rPr>
            </w:pPr>
            <w:r>
              <w:rPr>
                <w:rFonts w:ascii="Arial" w:cs="Arial" w:eastAsia="Arial" w:hAnsi="Arial"/>
                <w:sz w:val="17"/>
                <w:szCs w:val="17"/>
                <w:color w:val="auto"/>
              </w:rPr>
              <w:t>The Boeing Company*</w:t>
            </w:r>
          </w:p>
        </w:tc>
      </w:tr>
      <w:tr>
        <w:trPr>
          <w:trHeight w:val="310"/>
        </w:trPr>
        <w:tc>
          <w:tcPr>
            <w:tcW w:w="3360" w:type="dxa"/>
            <w:vAlign w:val="bottom"/>
            <w:shd w:val="clear" w:color="auto" w:fill="E5E7EF"/>
          </w:tcPr>
          <w:p>
            <w:pPr>
              <w:ind w:left="100"/>
              <w:spacing w:after="0"/>
              <w:rPr>
                <w:sz w:val="20"/>
                <w:szCs w:val="20"/>
                <w:color w:val="auto"/>
              </w:rPr>
            </w:pPr>
            <w:r>
              <w:rPr>
                <w:rFonts w:ascii="Arial" w:cs="Arial" w:eastAsia="Arial" w:hAnsi="Arial"/>
                <w:sz w:val="17"/>
                <w:szCs w:val="17"/>
                <w:color w:val="auto"/>
              </w:rPr>
              <w:t>Cisco Systems, Inc.</w:t>
            </w:r>
          </w:p>
        </w:tc>
        <w:tc>
          <w:tcPr>
            <w:tcW w:w="4120" w:type="dxa"/>
            <w:vAlign w:val="bottom"/>
            <w:shd w:val="clear" w:color="auto" w:fill="E5E7EF"/>
          </w:tcPr>
          <w:p>
            <w:pPr>
              <w:ind w:left="100"/>
              <w:spacing w:after="0"/>
              <w:rPr>
                <w:sz w:val="20"/>
                <w:szCs w:val="20"/>
                <w:color w:val="auto"/>
              </w:rPr>
            </w:pPr>
            <w:r>
              <w:rPr>
                <w:rFonts w:ascii="Arial" w:cs="Arial" w:eastAsia="Arial" w:hAnsi="Arial"/>
                <w:sz w:val="17"/>
                <w:szCs w:val="17"/>
                <w:color w:val="auto"/>
              </w:rPr>
              <w:t>Honeywell International Inc.*</w:t>
            </w:r>
          </w:p>
        </w:tc>
        <w:tc>
          <w:tcPr>
            <w:tcW w:w="3760" w:type="dxa"/>
            <w:vAlign w:val="bottom"/>
            <w:shd w:val="clear" w:color="auto" w:fill="E5E7EF"/>
          </w:tcPr>
          <w:p>
            <w:pPr>
              <w:ind w:left="100"/>
              <w:spacing w:after="0"/>
              <w:rPr>
                <w:sz w:val="20"/>
                <w:szCs w:val="20"/>
                <w:color w:val="auto"/>
              </w:rPr>
            </w:pPr>
            <w:r>
              <w:rPr>
                <w:rFonts w:ascii="Arial" w:cs="Arial" w:eastAsia="Arial" w:hAnsi="Arial"/>
                <w:sz w:val="17"/>
                <w:szCs w:val="17"/>
                <w:color w:val="auto"/>
              </w:rPr>
              <w:t>United Parcel Service, Inc.</w:t>
            </w:r>
          </w:p>
        </w:tc>
      </w:tr>
      <w:tr>
        <w:trPr>
          <w:trHeight w:val="311"/>
        </w:trPr>
        <w:tc>
          <w:tcPr>
            <w:tcW w:w="3360" w:type="dxa"/>
            <w:vAlign w:val="bottom"/>
            <w:shd w:val="clear" w:color="auto" w:fill="E5E7EF"/>
          </w:tcPr>
          <w:p>
            <w:pPr>
              <w:ind w:left="100"/>
              <w:spacing w:after="0"/>
              <w:rPr>
                <w:sz w:val="20"/>
                <w:szCs w:val="20"/>
                <w:color w:val="auto"/>
              </w:rPr>
            </w:pPr>
            <w:r>
              <w:rPr>
                <w:rFonts w:ascii="Arial" w:cs="Arial" w:eastAsia="Arial" w:hAnsi="Arial"/>
                <w:sz w:val="17"/>
                <w:szCs w:val="17"/>
                <w:color w:val="auto"/>
              </w:rPr>
              <w:t>Deere &amp; Company</w:t>
            </w:r>
          </w:p>
        </w:tc>
        <w:tc>
          <w:tcPr>
            <w:tcW w:w="4120" w:type="dxa"/>
            <w:vAlign w:val="bottom"/>
            <w:shd w:val="clear" w:color="auto" w:fill="E5E7EF"/>
          </w:tcPr>
          <w:p>
            <w:pPr>
              <w:ind w:left="100"/>
              <w:spacing w:after="0"/>
              <w:rPr>
                <w:sz w:val="20"/>
                <w:szCs w:val="20"/>
                <w:color w:val="auto"/>
              </w:rPr>
            </w:pPr>
            <w:r>
              <w:rPr>
                <w:rFonts w:ascii="Arial" w:cs="Arial" w:eastAsia="Arial" w:hAnsi="Arial"/>
                <w:sz w:val="17"/>
                <w:szCs w:val="17"/>
                <w:color w:val="auto"/>
              </w:rPr>
              <w:t>International Business Machines Corporation</w:t>
            </w:r>
          </w:p>
        </w:tc>
        <w:tc>
          <w:tcPr>
            <w:tcW w:w="3760" w:type="dxa"/>
            <w:vAlign w:val="bottom"/>
            <w:shd w:val="clear" w:color="auto" w:fill="E5E7EF"/>
          </w:tcPr>
          <w:p>
            <w:pPr>
              <w:ind w:left="100"/>
              <w:spacing w:after="0"/>
              <w:rPr>
                <w:sz w:val="20"/>
                <w:szCs w:val="20"/>
                <w:color w:val="auto"/>
              </w:rPr>
            </w:pPr>
            <w:r>
              <w:rPr>
                <w:rFonts w:ascii="Arial" w:cs="Arial" w:eastAsia="Arial" w:hAnsi="Arial"/>
                <w:sz w:val="17"/>
                <w:szCs w:val="17"/>
                <w:color w:val="auto"/>
              </w:rPr>
              <w:t>United Technologies Corporation*</w:t>
            </w:r>
          </w:p>
        </w:tc>
      </w:tr>
      <w:tr>
        <w:trPr>
          <w:trHeight w:val="310"/>
        </w:trPr>
        <w:tc>
          <w:tcPr>
            <w:tcW w:w="3360" w:type="dxa"/>
            <w:vAlign w:val="bottom"/>
            <w:shd w:val="clear" w:color="auto" w:fill="E5E7EF"/>
          </w:tcPr>
          <w:p>
            <w:pPr>
              <w:ind w:left="100"/>
              <w:spacing w:after="0"/>
              <w:rPr>
                <w:sz w:val="20"/>
                <w:szCs w:val="20"/>
                <w:color w:val="auto"/>
              </w:rPr>
            </w:pPr>
            <w:r>
              <w:rPr>
                <w:rFonts w:ascii="Arial" w:cs="Arial" w:eastAsia="Arial" w:hAnsi="Arial"/>
                <w:sz w:val="17"/>
                <w:szCs w:val="17"/>
                <w:color w:val="auto"/>
              </w:rPr>
              <w:t>DowDuPont Inc.**</w:t>
            </w:r>
          </w:p>
        </w:tc>
        <w:tc>
          <w:tcPr>
            <w:tcW w:w="4120" w:type="dxa"/>
            <w:vAlign w:val="bottom"/>
            <w:shd w:val="clear" w:color="auto" w:fill="E5E7EF"/>
          </w:tcPr>
          <w:p>
            <w:pPr>
              <w:ind w:left="100"/>
              <w:spacing w:after="0"/>
              <w:rPr>
                <w:sz w:val="20"/>
                <w:szCs w:val="20"/>
                <w:color w:val="auto"/>
              </w:rPr>
            </w:pPr>
            <w:r>
              <w:rPr>
                <w:rFonts w:ascii="Arial" w:cs="Arial" w:eastAsia="Arial" w:hAnsi="Arial"/>
                <w:sz w:val="17"/>
                <w:szCs w:val="17"/>
                <w:color w:val="auto"/>
              </w:rPr>
              <w:t>Intel Corporation</w:t>
            </w:r>
          </w:p>
        </w:tc>
        <w:tc>
          <w:tcPr>
            <w:tcW w:w="3760" w:type="dxa"/>
            <w:vAlign w:val="bottom"/>
            <w:shd w:val="clear" w:color="auto" w:fill="E5E7EF"/>
          </w:tcPr>
          <w:p>
            <w:pPr>
              <w:spacing w:after="0"/>
              <w:rPr>
                <w:sz w:val="24"/>
                <w:szCs w:val="24"/>
                <w:color w:val="auto"/>
              </w:rPr>
            </w:pPr>
          </w:p>
        </w:tc>
      </w:tr>
      <w:tr>
        <w:trPr>
          <w:trHeight w:val="310"/>
        </w:trPr>
        <w:tc>
          <w:tcPr>
            <w:tcW w:w="3360" w:type="dxa"/>
            <w:vAlign w:val="bottom"/>
            <w:shd w:val="clear" w:color="auto" w:fill="E5E7EF"/>
          </w:tcPr>
          <w:p>
            <w:pPr>
              <w:ind w:left="100"/>
              <w:spacing w:after="0"/>
              <w:rPr>
                <w:sz w:val="20"/>
                <w:szCs w:val="20"/>
                <w:color w:val="auto"/>
              </w:rPr>
            </w:pPr>
            <w:r>
              <w:rPr>
                <w:rFonts w:ascii="Arial" w:cs="Arial" w:eastAsia="Arial" w:hAnsi="Arial"/>
                <w:sz w:val="17"/>
                <w:szCs w:val="17"/>
                <w:color w:val="auto"/>
              </w:rPr>
              <w:t>FedEx Corporation</w:t>
            </w:r>
          </w:p>
        </w:tc>
        <w:tc>
          <w:tcPr>
            <w:tcW w:w="4120" w:type="dxa"/>
            <w:vAlign w:val="bottom"/>
            <w:shd w:val="clear" w:color="auto" w:fill="E5E7EF"/>
          </w:tcPr>
          <w:p>
            <w:pPr>
              <w:ind w:left="100"/>
              <w:spacing w:after="0"/>
              <w:rPr>
                <w:sz w:val="20"/>
                <w:szCs w:val="20"/>
                <w:color w:val="auto"/>
              </w:rPr>
            </w:pPr>
            <w:r>
              <w:rPr>
                <w:rFonts w:ascii="Arial" w:cs="Arial" w:eastAsia="Arial" w:hAnsi="Arial"/>
                <w:sz w:val="17"/>
                <w:szCs w:val="17"/>
                <w:color w:val="auto"/>
              </w:rPr>
              <w:t>Northrop Grumman Corporation*</w:t>
            </w:r>
          </w:p>
        </w:tc>
        <w:tc>
          <w:tcPr>
            <w:tcW w:w="3760" w:type="dxa"/>
            <w:vAlign w:val="bottom"/>
            <w:shd w:val="clear" w:color="auto" w:fill="E5E7EF"/>
          </w:tcPr>
          <w:p>
            <w:pPr>
              <w:spacing w:after="0"/>
              <w:rPr>
                <w:sz w:val="24"/>
                <w:szCs w:val="24"/>
                <w:color w:val="auto"/>
              </w:rPr>
            </w:pPr>
          </w:p>
        </w:tc>
      </w:tr>
      <w:tr>
        <w:trPr>
          <w:trHeight w:val="98"/>
        </w:trPr>
        <w:tc>
          <w:tcPr>
            <w:tcW w:w="3360" w:type="dxa"/>
            <w:vAlign w:val="bottom"/>
            <w:shd w:val="clear" w:color="auto" w:fill="E5E7EF"/>
          </w:tcPr>
          <w:p>
            <w:pPr>
              <w:spacing w:after="0"/>
              <w:rPr>
                <w:sz w:val="8"/>
                <w:szCs w:val="8"/>
                <w:color w:val="auto"/>
              </w:rPr>
            </w:pPr>
          </w:p>
        </w:tc>
        <w:tc>
          <w:tcPr>
            <w:tcW w:w="4120" w:type="dxa"/>
            <w:vAlign w:val="bottom"/>
            <w:shd w:val="clear" w:color="auto" w:fill="E5E7EF"/>
          </w:tcPr>
          <w:p>
            <w:pPr>
              <w:spacing w:after="0"/>
              <w:rPr>
                <w:sz w:val="8"/>
                <w:szCs w:val="8"/>
                <w:color w:val="auto"/>
              </w:rPr>
            </w:pPr>
          </w:p>
        </w:tc>
        <w:tc>
          <w:tcPr>
            <w:tcW w:w="3760" w:type="dxa"/>
            <w:vAlign w:val="bottom"/>
            <w:shd w:val="clear" w:color="auto" w:fill="E5E7EF"/>
          </w:tcPr>
          <w:p>
            <w:pPr>
              <w:spacing w:after="0"/>
              <w:rPr>
                <w:sz w:val="8"/>
                <w:szCs w:val="8"/>
                <w:color w:val="auto"/>
              </w:rPr>
            </w:pPr>
          </w:p>
        </w:tc>
      </w:tr>
    </w:tbl>
    <w:p>
      <w:pPr>
        <w:spacing w:after="0" w:line="99" w:lineRule="exact"/>
        <w:rPr>
          <w:sz w:val="20"/>
          <w:szCs w:val="20"/>
          <w:color w:val="auto"/>
        </w:rPr>
      </w:pPr>
    </w:p>
    <w:p>
      <w:pPr>
        <w:ind w:left="220" w:hanging="212"/>
        <w:spacing w:after="0"/>
        <w:tabs>
          <w:tab w:leader="none" w:pos="2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Aerospace &amp; Defense Industry</w:t>
      </w:r>
    </w:p>
    <w:p>
      <w:pPr>
        <w:spacing w:after="0" w:line="15" w:lineRule="exact"/>
        <w:rPr>
          <w:sz w:val="20"/>
          <w:szCs w:val="20"/>
          <w:color w:val="auto"/>
        </w:rPr>
      </w:pPr>
    </w:p>
    <w:p>
      <w:pPr>
        <w:ind w:left="260" w:right="60" w:hanging="252"/>
        <w:spacing w:after="0" w:line="229" w:lineRule="auto"/>
        <w:tabs>
          <w:tab w:leader="none" w:pos="289"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 June 2019, DowDuPont Inc. completed a series of transactions to split into multiple separate entities but data is included given participation in the Aon survey prior to the split.</w:t>
      </w:r>
    </w:p>
    <w:p>
      <w:pPr>
        <w:spacing w:after="0" w:line="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2020, the Compensation Committee reviewed the comparator group, as it does each year. In light of the split of DowDuPont Inc., the Compensation Committee replaced DowDuPont Inc. with Dow Inc. and also added HP Inc. given its satisfaction of our criteria described above. This updated Comparator Group was used for compensation decisions for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45</w:t>
      </w:r>
    </w:p>
    <w:p>
      <w:pPr>
        <w:sectPr>
          <w:pgSz w:w="11900" w:h="16838" w:orient="portrait"/>
          <w:cols w:equalWidth="0" w:num="1">
            <w:col w:w="11240"/>
          </w:cols>
          <w:pgMar w:left="320" w:top="609" w:right="339" w:bottom="1440" w:gutter="0" w:footer="0" w:header="0"/>
        </w:sectPr>
      </w:pPr>
    </w:p>
    <w:bookmarkStart w:id="49" w:name="page50"/>
    <w:bookmarkEnd w:id="49"/>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475C90"/>
        </w:rPr>
        <w:t>Compensation and Risk</w:t>
      </w:r>
    </w:p>
    <w:p>
      <w:pPr>
        <w:spacing w:after="0" w:line="112" w:lineRule="exact"/>
        <w:rPr>
          <w:sz w:val="20"/>
          <w:szCs w:val="20"/>
          <w:color w:val="auto"/>
        </w:rPr>
      </w:pPr>
    </w:p>
    <w:p>
      <w:pPr>
        <w:ind w:right="1000"/>
        <w:spacing w:after="0" w:line="276" w:lineRule="auto"/>
        <w:rPr>
          <w:sz w:val="20"/>
          <w:szCs w:val="20"/>
          <w:color w:val="auto"/>
        </w:rPr>
      </w:pPr>
      <w:r>
        <w:rPr>
          <w:rFonts w:ascii="Arial" w:cs="Arial" w:eastAsia="Arial" w:hAnsi="Arial"/>
          <w:sz w:val="17"/>
          <w:szCs w:val="17"/>
          <w:color w:val="auto"/>
        </w:rPr>
        <w:t>The Corporation’s executive and broad-based compensation programs are intended to promote decision-making that supports a pay for performance philosophy while mitigating risk by utilizing the following design features: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5620" w:type="dxa"/>
            <w:vAlign w:val="bottom"/>
            <w:shd w:val="clear" w:color="auto" w:fill="E5E7EF"/>
          </w:tcPr>
          <w:p>
            <w:pPr>
              <w:ind w:left="10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Mix of fixed and variable pay opportunities</w:t>
            </w:r>
          </w:p>
        </w:tc>
        <w:tc>
          <w:tcPr>
            <w:tcW w:w="562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Moderate severance program that includes post-employment</w:t>
            </w:r>
          </w:p>
        </w:tc>
        <w:tc>
          <w:tcPr>
            <w:tcW w:w="0" w:type="dxa"/>
            <w:vAlign w:val="bottom"/>
          </w:tcPr>
          <w:p>
            <w:pPr>
              <w:spacing w:after="0"/>
              <w:rPr>
                <w:sz w:val="1"/>
                <w:szCs w:val="1"/>
                <w:color w:val="auto"/>
              </w:rPr>
            </w:pPr>
          </w:p>
        </w:tc>
      </w:tr>
      <w:tr>
        <w:trPr>
          <w:trHeight w:val="216"/>
        </w:trPr>
        <w:tc>
          <w:tcPr>
            <w:tcW w:w="5620" w:type="dxa"/>
            <w:vAlign w:val="bottom"/>
            <w:vMerge w:val="restart"/>
            <w:shd w:val="clear" w:color="auto" w:fill="E5E7EF"/>
          </w:tcPr>
          <w:p>
            <w:pPr>
              <w:ind w:left="10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Multiple performance measures, multiple time periods and capped</w:t>
            </w:r>
          </w:p>
        </w:tc>
        <w:tc>
          <w:tcPr>
            <w:tcW w:w="5620" w:type="dxa"/>
            <w:vAlign w:val="bottom"/>
            <w:shd w:val="clear" w:color="auto" w:fill="E5E7EF"/>
          </w:tcPr>
          <w:p>
            <w:pPr>
              <w:ind w:left="180"/>
              <w:spacing w:after="0"/>
              <w:rPr>
                <w:sz w:val="20"/>
                <w:szCs w:val="20"/>
                <w:color w:val="auto"/>
              </w:rPr>
            </w:pPr>
            <w:r>
              <w:rPr>
                <w:rFonts w:ascii="Arial" w:cs="Arial" w:eastAsia="Arial" w:hAnsi="Arial"/>
                <w:sz w:val="17"/>
                <w:szCs w:val="17"/>
                <w:color w:val="auto"/>
              </w:rPr>
              <w:t>restrictive covenants</w:t>
            </w:r>
          </w:p>
        </w:tc>
        <w:tc>
          <w:tcPr>
            <w:tcW w:w="0" w:type="dxa"/>
            <w:vAlign w:val="bottom"/>
          </w:tcPr>
          <w:p>
            <w:pPr>
              <w:spacing w:after="0"/>
              <w:rPr>
                <w:sz w:val="1"/>
                <w:szCs w:val="1"/>
                <w:color w:val="auto"/>
              </w:rPr>
            </w:pPr>
          </w:p>
        </w:tc>
      </w:tr>
      <w:tr>
        <w:trPr>
          <w:trHeight w:val="54"/>
        </w:trPr>
        <w:tc>
          <w:tcPr>
            <w:tcW w:w="5620" w:type="dxa"/>
            <w:vAlign w:val="bottom"/>
            <w:vMerge w:val="continue"/>
            <w:shd w:val="clear" w:color="auto" w:fill="E5E7EF"/>
          </w:tcPr>
          <w:p>
            <w:pPr>
              <w:spacing w:after="0"/>
              <w:rPr>
                <w:sz w:val="4"/>
                <w:szCs w:val="4"/>
                <w:color w:val="auto"/>
              </w:rPr>
            </w:pPr>
          </w:p>
        </w:tc>
        <w:tc>
          <w:tcPr>
            <w:tcW w:w="5620" w:type="dxa"/>
            <w:vAlign w:val="bottom"/>
            <w:shd w:val="clear" w:color="auto" w:fill="E5E7E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5E7EF"/>
          </w:tcPr>
          <w:p>
            <w:pPr>
              <w:ind w:left="260"/>
              <w:spacing w:after="0"/>
              <w:rPr>
                <w:sz w:val="20"/>
                <w:szCs w:val="20"/>
                <w:color w:val="auto"/>
              </w:rPr>
            </w:pPr>
            <w:r>
              <w:rPr>
                <w:rFonts w:ascii="Arial" w:cs="Arial" w:eastAsia="Arial" w:hAnsi="Arial"/>
                <w:sz w:val="17"/>
                <w:szCs w:val="17"/>
                <w:color w:val="auto"/>
              </w:rPr>
              <w:t>payouts under incentive plans</w:t>
            </w:r>
          </w:p>
        </w:tc>
        <w:tc>
          <w:tcPr>
            <w:tcW w:w="562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Institutional focus on ethical behavior</w:t>
            </w:r>
          </w:p>
        </w:tc>
        <w:tc>
          <w:tcPr>
            <w:tcW w:w="0" w:type="dxa"/>
            <w:vAlign w:val="bottom"/>
          </w:tcPr>
          <w:p>
            <w:pPr>
              <w:spacing w:after="0"/>
              <w:rPr>
                <w:sz w:val="1"/>
                <w:szCs w:val="1"/>
                <w:color w:val="auto"/>
              </w:rPr>
            </w:pPr>
          </w:p>
        </w:tc>
      </w:tr>
      <w:tr>
        <w:trPr>
          <w:trHeight w:val="270"/>
        </w:trPr>
        <w:tc>
          <w:tcPr>
            <w:tcW w:w="5620" w:type="dxa"/>
            <w:vAlign w:val="bottom"/>
            <w:shd w:val="clear" w:color="auto" w:fill="E5E7EF"/>
          </w:tcPr>
          <w:p>
            <w:pPr>
              <w:ind w:left="10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Stock ownership requirements</w:t>
            </w:r>
          </w:p>
        </w:tc>
        <w:tc>
          <w:tcPr>
            <w:tcW w:w="562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Annual risk assessment</w:t>
            </w:r>
          </w:p>
        </w:tc>
        <w:tc>
          <w:tcPr>
            <w:tcW w:w="0" w:type="dxa"/>
            <w:vAlign w:val="bottom"/>
          </w:tcPr>
          <w:p>
            <w:pPr>
              <w:spacing w:after="0"/>
              <w:rPr>
                <w:sz w:val="1"/>
                <w:szCs w:val="1"/>
                <w:color w:val="auto"/>
              </w:rPr>
            </w:pPr>
          </w:p>
        </w:tc>
      </w:tr>
      <w:tr>
        <w:trPr>
          <w:trHeight w:val="270"/>
        </w:trPr>
        <w:tc>
          <w:tcPr>
            <w:tcW w:w="5620" w:type="dxa"/>
            <w:vAlign w:val="bottom"/>
            <w:shd w:val="clear" w:color="auto" w:fill="E5E7EF"/>
          </w:tcPr>
          <w:p>
            <w:pPr>
              <w:ind w:left="10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Oversight by independent Board committee</w:t>
            </w:r>
          </w:p>
        </w:tc>
        <w:tc>
          <w:tcPr>
            <w:tcW w:w="562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Compensation Committee oversight of equity burn rate and dilution</w:t>
            </w:r>
          </w:p>
        </w:tc>
        <w:tc>
          <w:tcPr>
            <w:tcW w:w="0" w:type="dxa"/>
            <w:vAlign w:val="bottom"/>
          </w:tcPr>
          <w:p>
            <w:pPr>
              <w:spacing w:after="0"/>
              <w:rPr>
                <w:sz w:val="1"/>
                <w:szCs w:val="1"/>
                <w:color w:val="auto"/>
              </w:rPr>
            </w:pPr>
          </w:p>
        </w:tc>
      </w:tr>
      <w:tr>
        <w:trPr>
          <w:trHeight w:val="270"/>
        </w:trPr>
        <w:tc>
          <w:tcPr>
            <w:tcW w:w="5620" w:type="dxa"/>
            <w:vAlign w:val="bottom"/>
            <w:shd w:val="clear" w:color="auto" w:fill="E5E7EF"/>
          </w:tcPr>
          <w:p>
            <w:pPr>
              <w:ind w:left="10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Incentive goals set at the Enterprise or business segment level</w:t>
            </w:r>
          </w:p>
        </w:tc>
        <w:tc>
          <w:tcPr>
            <w:tcW w:w="562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Enhanced clawback policy</w:t>
            </w:r>
          </w:p>
        </w:tc>
        <w:tc>
          <w:tcPr>
            <w:tcW w:w="0" w:type="dxa"/>
            <w:vAlign w:val="bottom"/>
          </w:tcPr>
          <w:p>
            <w:pPr>
              <w:spacing w:after="0"/>
              <w:rPr>
                <w:sz w:val="1"/>
                <w:szCs w:val="1"/>
                <w:color w:val="auto"/>
              </w:rPr>
            </w:pPr>
          </w:p>
        </w:tc>
      </w:tr>
      <w:tr>
        <w:trPr>
          <w:trHeight w:val="139"/>
        </w:trPr>
        <w:tc>
          <w:tcPr>
            <w:tcW w:w="5620" w:type="dxa"/>
            <w:vAlign w:val="bottom"/>
            <w:shd w:val="clear" w:color="auto" w:fill="E5E7EF"/>
          </w:tcPr>
          <w:p>
            <w:pPr>
              <w:spacing w:after="0"/>
              <w:rPr>
                <w:sz w:val="12"/>
                <w:szCs w:val="12"/>
                <w:color w:val="auto"/>
              </w:rPr>
            </w:pPr>
          </w:p>
        </w:tc>
        <w:tc>
          <w:tcPr>
            <w:tcW w:w="562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With the assistance of a risk assessment conducted by Meridian on an annual basis, the Compensation Committee concluded that risks arising from our executive and broad-based incentive compensation programs are not reasonably likely to have a material adverse effect on the Corporation.</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475C90"/>
        </w:rPr>
        <w:t>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21685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216852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880"/>
        <w:spacing w:after="0"/>
        <w:rPr>
          <w:sz w:val="20"/>
          <w:szCs w:val="20"/>
          <w:color w:val="auto"/>
        </w:rPr>
      </w:pPr>
      <w:r>
        <w:rPr>
          <w:rFonts w:ascii="Arial" w:cs="Arial" w:eastAsia="Arial" w:hAnsi="Arial"/>
          <w:sz w:val="16"/>
          <w:szCs w:val="16"/>
          <w:color w:val="002F6C"/>
        </w:rPr>
        <w:t>Best Practices in Our Programs</w:t>
      </w:r>
    </w:p>
    <w:p>
      <w:pPr>
        <w:spacing w:after="0" w:line="253" w:lineRule="exact"/>
        <w:rPr>
          <w:sz w:val="20"/>
          <w:szCs w:val="20"/>
          <w:color w:val="auto"/>
        </w:rPr>
      </w:pPr>
    </w:p>
    <w:p>
      <w:pPr>
        <w:ind w:left="360" w:hanging="253"/>
        <w:spacing w:after="0"/>
        <w:tabs>
          <w:tab w:leader="none" w:pos="360" w:val="left"/>
        </w:tabs>
        <w:numPr>
          <w:ilvl w:val="0"/>
          <w:numId w:val="81"/>
        </w:numPr>
        <w:rPr>
          <w:rFonts w:ascii="Arial" w:cs="Arial" w:eastAsia="Arial" w:hAnsi="Arial"/>
          <w:sz w:val="17"/>
          <w:szCs w:val="17"/>
          <w:color w:val="002E6D"/>
        </w:rPr>
      </w:pPr>
      <w:r>
        <w:rPr>
          <w:rFonts w:ascii="Arial" w:cs="Arial" w:eastAsia="Arial" w:hAnsi="Arial"/>
          <w:sz w:val="17"/>
          <w:szCs w:val="17"/>
          <w:color w:val="auto"/>
        </w:rPr>
        <w:t>Pay aligns with performance</w:t>
      </w:r>
    </w:p>
    <w:p>
      <w:pPr>
        <w:spacing w:after="0" w:line="47" w:lineRule="exact"/>
        <w:rPr>
          <w:rFonts w:ascii="Arial" w:cs="Arial" w:eastAsia="Arial" w:hAnsi="Arial"/>
          <w:sz w:val="17"/>
          <w:szCs w:val="17"/>
          <w:color w:val="002E6D"/>
        </w:rPr>
      </w:pPr>
    </w:p>
    <w:p>
      <w:pPr>
        <w:ind w:left="260" w:right="131" w:hanging="153"/>
        <w:spacing w:after="0" w:line="210" w:lineRule="auto"/>
        <w:tabs>
          <w:tab w:leader="none" w:pos="348" w:val="left"/>
        </w:tabs>
        <w:numPr>
          <w:ilvl w:val="0"/>
          <w:numId w:val="81"/>
        </w:numPr>
        <w:rPr>
          <w:rFonts w:ascii="Arial" w:cs="Arial" w:eastAsia="Arial" w:hAnsi="Arial"/>
          <w:sz w:val="17"/>
          <w:szCs w:val="17"/>
          <w:color w:val="002E6D"/>
        </w:rPr>
      </w:pPr>
      <w:r>
        <w:rPr>
          <w:rFonts w:ascii="Arial" w:cs="Arial" w:eastAsia="Arial" w:hAnsi="Arial"/>
          <w:sz w:val="17"/>
          <w:szCs w:val="17"/>
          <w:color w:val="auto"/>
        </w:rPr>
        <w:t>Market-based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approach for determining NEO target pay levels</w:t>
      </w:r>
    </w:p>
    <w:p>
      <w:pPr>
        <w:spacing w:after="0" w:line="39" w:lineRule="exact"/>
        <w:rPr>
          <w:rFonts w:ascii="Arial" w:cs="Arial" w:eastAsia="Arial" w:hAnsi="Arial"/>
          <w:sz w:val="17"/>
          <w:szCs w:val="17"/>
          <w:color w:val="002E6D"/>
        </w:rPr>
      </w:pPr>
    </w:p>
    <w:p>
      <w:pPr>
        <w:ind w:left="260" w:right="11" w:hanging="153"/>
        <w:spacing w:after="0" w:line="233" w:lineRule="auto"/>
        <w:tabs>
          <w:tab w:leader="none" w:pos="348" w:val="left"/>
        </w:tabs>
        <w:numPr>
          <w:ilvl w:val="0"/>
          <w:numId w:val="81"/>
        </w:numPr>
        <w:rPr>
          <w:rFonts w:ascii="Arial" w:cs="Arial" w:eastAsia="Arial" w:hAnsi="Arial"/>
          <w:sz w:val="17"/>
          <w:szCs w:val="17"/>
          <w:color w:val="002E6D"/>
        </w:rPr>
      </w:pPr>
      <w:r>
        <w:rPr>
          <w:rFonts w:ascii="Arial" w:cs="Arial" w:eastAsia="Arial" w:hAnsi="Arial"/>
          <w:sz w:val="17"/>
          <w:szCs w:val="17"/>
          <w:color w:val="auto"/>
        </w:rPr>
        <w:t>Caps on annual and long-term incentives, including when Total Stockholder Return (TSR) is negative</w:t>
      </w:r>
    </w:p>
    <w:p>
      <w:pPr>
        <w:spacing w:after="0" w:line="38" w:lineRule="exact"/>
        <w:rPr>
          <w:rFonts w:ascii="Arial" w:cs="Arial" w:eastAsia="Arial" w:hAnsi="Arial"/>
          <w:sz w:val="17"/>
          <w:szCs w:val="17"/>
          <w:color w:val="002E6D"/>
        </w:rPr>
      </w:pPr>
    </w:p>
    <w:p>
      <w:pPr>
        <w:ind w:left="360" w:hanging="253"/>
        <w:spacing w:after="0"/>
        <w:tabs>
          <w:tab w:leader="none" w:pos="360" w:val="left"/>
        </w:tabs>
        <w:numPr>
          <w:ilvl w:val="0"/>
          <w:numId w:val="81"/>
        </w:numPr>
        <w:rPr>
          <w:rFonts w:ascii="Arial" w:cs="Arial" w:eastAsia="Arial" w:hAnsi="Arial"/>
          <w:sz w:val="17"/>
          <w:szCs w:val="17"/>
          <w:color w:val="002E6D"/>
        </w:rPr>
      </w:pPr>
      <w:r>
        <w:rPr>
          <w:rFonts w:ascii="Arial" w:cs="Arial" w:eastAsia="Arial" w:hAnsi="Arial"/>
          <w:sz w:val="17"/>
          <w:szCs w:val="17"/>
          <w:color w:val="auto"/>
        </w:rPr>
        <w:t>Enhanced clawback policy on variable pay</w:t>
      </w:r>
    </w:p>
    <w:p>
      <w:pPr>
        <w:spacing w:after="0" w:line="61" w:lineRule="exact"/>
        <w:rPr>
          <w:rFonts w:ascii="Arial" w:cs="Arial" w:eastAsia="Arial" w:hAnsi="Arial"/>
          <w:sz w:val="17"/>
          <w:szCs w:val="17"/>
          <w:color w:val="002E6D"/>
        </w:rPr>
      </w:pPr>
    </w:p>
    <w:p>
      <w:pPr>
        <w:ind w:left="360" w:hanging="253"/>
        <w:spacing w:after="0"/>
        <w:tabs>
          <w:tab w:leader="none" w:pos="360" w:val="left"/>
        </w:tabs>
        <w:numPr>
          <w:ilvl w:val="0"/>
          <w:numId w:val="81"/>
        </w:numPr>
        <w:rPr>
          <w:rFonts w:ascii="Arial" w:cs="Arial" w:eastAsia="Arial" w:hAnsi="Arial"/>
          <w:sz w:val="17"/>
          <w:szCs w:val="17"/>
          <w:color w:val="002E6D"/>
        </w:rPr>
      </w:pPr>
      <w:r>
        <w:rPr>
          <w:rFonts w:ascii="Arial" w:cs="Arial" w:eastAsia="Arial" w:hAnsi="Arial"/>
          <w:sz w:val="17"/>
          <w:szCs w:val="17"/>
          <w:color w:val="auto"/>
        </w:rPr>
        <w:t>Double-trigger provisions for change in control</w:t>
      </w:r>
    </w:p>
    <w:p>
      <w:pPr>
        <w:spacing w:after="0" w:line="47" w:lineRule="exact"/>
        <w:rPr>
          <w:rFonts w:ascii="Arial" w:cs="Arial" w:eastAsia="Arial" w:hAnsi="Arial"/>
          <w:sz w:val="17"/>
          <w:szCs w:val="17"/>
          <w:color w:val="002E6D"/>
        </w:rPr>
      </w:pPr>
    </w:p>
    <w:p>
      <w:pPr>
        <w:ind w:left="360" w:hanging="253"/>
        <w:spacing w:after="0"/>
        <w:tabs>
          <w:tab w:leader="none" w:pos="360" w:val="left"/>
        </w:tabs>
        <w:numPr>
          <w:ilvl w:val="0"/>
          <w:numId w:val="81"/>
        </w:numPr>
        <w:rPr>
          <w:rFonts w:ascii="Arial" w:cs="Arial" w:eastAsia="Arial" w:hAnsi="Arial"/>
          <w:sz w:val="17"/>
          <w:szCs w:val="17"/>
          <w:color w:val="002E6D"/>
        </w:rPr>
      </w:pPr>
      <w:r>
        <w:rPr>
          <w:rFonts w:ascii="Arial" w:cs="Arial" w:eastAsia="Arial" w:hAnsi="Arial"/>
          <w:sz w:val="17"/>
          <w:szCs w:val="17"/>
          <w:color w:val="auto"/>
        </w:rPr>
        <w:t>Robust stock ownership requirements</w:t>
      </w:r>
    </w:p>
    <w:p>
      <w:pPr>
        <w:spacing w:after="0" w:line="47" w:lineRule="exact"/>
        <w:rPr>
          <w:rFonts w:ascii="Arial" w:cs="Arial" w:eastAsia="Arial" w:hAnsi="Arial"/>
          <w:sz w:val="17"/>
          <w:szCs w:val="17"/>
          <w:color w:val="002E6D"/>
        </w:rPr>
      </w:pPr>
    </w:p>
    <w:p>
      <w:pPr>
        <w:ind w:left="360" w:hanging="253"/>
        <w:spacing w:after="0"/>
        <w:tabs>
          <w:tab w:leader="none" w:pos="360" w:val="left"/>
        </w:tabs>
        <w:numPr>
          <w:ilvl w:val="0"/>
          <w:numId w:val="81"/>
        </w:numPr>
        <w:rPr>
          <w:rFonts w:ascii="Arial" w:cs="Arial" w:eastAsia="Arial" w:hAnsi="Arial"/>
          <w:sz w:val="17"/>
          <w:szCs w:val="17"/>
          <w:color w:val="002E6D"/>
        </w:rPr>
      </w:pPr>
      <w:r>
        <w:rPr>
          <w:rFonts w:ascii="Arial" w:cs="Arial" w:eastAsia="Arial" w:hAnsi="Arial"/>
          <w:sz w:val="17"/>
          <w:szCs w:val="17"/>
          <w:color w:val="auto"/>
        </w:rPr>
        <w:t>Low burn rate and dilution</w:t>
      </w:r>
    </w:p>
    <w:p>
      <w:pPr>
        <w:spacing w:after="0" w:line="61" w:lineRule="exact"/>
        <w:rPr>
          <w:rFonts w:ascii="Arial" w:cs="Arial" w:eastAsia="Arial" w:hAnsi="Arial"/>
          <w:sz w:val="17"/>
          <w:szCs w:val="17"/>
          <w:color w:val="002E6D"/>
        </w:rPr>
      </w:pPr>
    </w:p>
    <w:p>
      <w:pPr>
        <w:ind w:left="260" w:right="251" w:hanging="153"/>
        <w:spacing w:after="0" w:line="233" w:lineRule="auto"/>
        <w:tabs>
          <w:tab w:leader="none" w:pos="205" w:val="left"/>
        </w:tabs>
        <w:numPr>
          <w:ilvl w:val="0"/>
          <w:numId w:val="81"/>
        </w:numPr>
        <w:rPr>
          <w:rFonts w:ascii="Arial" w:cs="Arial" w:eastAsia="Arial" w:hAnsi="Arial"/>
          <w:sz w:val="17"/>
          <w:szCs w:val="17"/>
          <w:color w:val="002E6D"/>
        </w:rPr>
      </w:pPr>
      <w:r>
        <w:rPr>
          <w:rFonts w:ascii="Arial" w:cs="Arial" w:eastAsia="Arial" w:hAnsi="Arial"/>
          <w:sz w:val="17"/>
          <w:szCs w:val="17"/>
          <w:color w:val="auto"/>
        </w:rPr>
        <w:t>No payment of dividends or dividend equivalents on unvested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440055</wp:posOffset>
            </wp:positionV>
            <wp:extent cx="969010" cy="2228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left="809"/>
        <w:spacing w:after="0"/>
        <w:rPr>
          <w:sz w:val="20"/>
          <w:szCs w:val="20"/>
          <w:color w:val="auto"/>
        </w:rPr>
      </w:pPr>
      <w:r>
        <w:rPr>
          <w:rFonts w:ascii="Arial" w:cs="Arial" w:eastAsia="Arial" w:hAnsi="Arial"/>
          <w:sz w:val="16"/>
          <w:szCs w:val="16"/>
          <w:color w:val="636466"/>
        </w:rPr>
        <w:t>Practices We Do Not Engage In or Allow</w:t>
      </w:r>
    </w:p>
    <w:p>
      <w:pPr>
        <w:spacing w:after="0" w:line="253" w:lineRule="exact"/>
        <w:rPr>
          <w:sz w:val="20"/>
          <w:szCs w:val="20"/>
          <w:color w:val="auto"/>
        </w:rPr>
      </w:pPr>
    </w:p>
    <w:p>
      <w:pPr>
        <w:ind w:left="249" w:hanging="249"/>
        <w:spacing w:after="0"/>
        <w:tabs>
          <w:tab w:leader="none" w:pos="249" w:val="left"/>
        </w:tabs>
        <w:numPr>
          <w:ilvl w:val="0"/>
          <w:numId w:val="82"/>
        </w:numPr>
        <w:rPr>
          <w:rFonts w:ascii="Arial" w:cs="Arial" w:eastAsia="Arial" w:hAnsi="Arial"/>
          <w:sz w:val="17"/>
          <w:szCs w:val="17"/>
          <w:color w:val="002E6D"/>
        </w:rPr>
      </w:pPr>
      <w:r>
        <w:rPr>
          <w:rFonts w:ascii="Arial" w:cs="Arial" w:eastAsia="Arial" w:hAnsi="Arial"/>
          <w:sz w:val="17"/>
          <w:szCs w:val="17"/>
          <w:color w:val="auto"/>
        </w:rPr>
        <w:t>No employment agreements</w:t>
      </w:r>
    </w:p>
    <w:p>
      <w:pPr>
        <w:spacing w:after="0" w:line="61" w:lineRule="exact"/>
        <w:rPr>
          <w:rFonts w:ascii="Arial" w:cs="Arial" w:eastAsia="Arial" w:hAnsi="Arial"/>
          <w:sz w:val="17"/>
          <w:szCs w:val="17"/>
          <w:color w:val="002E6D"/>
        </w:rPr>
      </w:pPr>
    </w:p>
    <w:p>
      <w:pPr>
        <w:ind w:left="249" w:hanging="249"/>
        <w:spacing w:after="0"/>
        <w:tabs>
          <w:tab w:leader="none" w:pos="249" w:val="left"/>
        </w:tabs>
        <w:numPr>
          <w:ilvl w:val="0"/>
          <w:numId w:val="82"/>
        </w:numPr>
        <w:rPr>
          <w:rFonts w:ascii="Arial" w:cs="Arial" w:eastAsia="Arial" w:hAnsi="Arial"/>
          <w:sz w:val="17"/>
          <w:szCs w:val="17"/>
          <w:color w:val="002E6D"/>
        </w:rPr>
      </w:pPr>
      <w:r>
        <w:rPr>
          <w:rFonts w:ascii="Arial" w:cs="Arial" w:eastAsia="Arial" w:hAnsi="Arial"/>
          <w:sz w:val="17"/>
          <w:szCs w:val="17"/>
          <w:color w:val="auto"/>
        </w:rPr>
        <w:t>No option backdating, cash-out of underwater options or repricing</w:t>
      </w:r>
    </w:p>
    <w:p>
      <w:pPr>
        <w:spacing w:after="0" w:line="47" w:lineRule="exact"/>
        <w:rPr>
          <w:rFonts w:ascii="Arial" w:cs="Arial" w:eastAsia="Arial" w:hAnsi="Arial"/>
          <w:sz w:val="17"/>
          <w:szCs w:val="17"/>
          <w:color w:val="002E6D"/>
        </w:rPr>
      </w:pPr>
    </w:p>
    <w:p>
      <w:pPr>
        <w:ind w:left="249" w:hanging="249"/>
        <w:spacing w:after="0"/>
        <w:tabs>
          <w:tab w:leader="none" w:pos="249" w:val="left"/>
        </w:tabs>
        <w:numPr>
          <w:ilvl w:val="0"/>
          <w:numId w:val="82"/>
        </w:numPr>
        <w:rPr>
          <w:rFonts w:ascii="Arial" w:cs="Arial" w:eastAsia="Arial" w:hAnsi="Arial"/>
          <w:sz w:val="17"/>
          <w:szCs w:val="17"/>
          <w:color w:val="002E6D"/>
        </w:rPr>
      </w:pPr>
      <w:r>
        <w:rPr>
          <w:rFonts w:ascii="Arial" w:cs="Arial" w:eastAsia="Arial" w:hAnsi="Arial"/>
          <w:sz w:val="17"/>
          <w:szCs w:val="17"/>
          <w:color w:val="auto"/>
        </w:rPr>
        <w:t>No excise tax assistance (gross-ups) upon a change in control</w:t>
      </w:r>
    </w:p>
    <w:p>
      <w:pPr>
        <w:spacing w:after="0" w:line="47" w:lineRule="exact"/>
        <w:rPr>
          <w:rFonts w:ascii="Arial" w:cs="Arial" w:eastAsia="Arial" w:hAnsi="Arial"/>
          <w:sz w:val="17"/>
          <w:szCs w:val="17"/>
          <w:color w:val="002E6D"/>
        </w:rPr>
      </w:pPr>
    </w:p>
    <w:p>
      <w:pPr>
        <w:ind w:left="249" w:hanging="249"/>
        <w:spacing w:after="0"/>
        <w:tabs>
          <w:tab w:leader="none" w:pos="249" w:val="left"/>
        </w:tabs>
        <w:numPr>
          <w:ilvl w:val="0"/>
          <w:numId w:val="82"/>
        </w:numPr>
        <w:rPr>
          <w:rFonts w:ascii="Arial" w:cs="Arial" w:eastAsia="Arial" w:hAnsi="Arial"/>
          <w:sz w:val="17"/>
          <w:szCs w:val="17"/>
          <w:color w:val="002E6D"/>
        </w:rPr>
      </w:pPr>
      <w:r>
        <w:rPr>
          <w:rFonts w:ascii="Arial" w:cs="Arial" w:eastAsia="Arial" w:hAnsi="Arial"/>
          <w:sz w:val="17"/>
          <w:szCs w:val="17"/>
          <w:color w:val="auto"/>
        </w:rPr>
        <w:t>No tax gross-ups on personal use of corporate aircraft</w:t>
      </w:r>
    </w:p>
    <w:p>
      <w:pPr>
        <w:spacing w:after="0" w:line="61" w:lineRule="exact"/>
        <w:rPr>
          <w:rFonts w:ascii="Arial" w:cs="Arial" w:eastAsia="Arial" w:hAnsi="Arial"/>
          <w:sz w:val="17"/>
          <w:szCs w:val="17"/>
          <w:color w:val="002E6D"/>
        </w:rPr>
      </w:pPr>
    </w:p>
    <w:p>
      <w:pPr>
        <w:ind w:left="249" w:hanging="249"/>
        <w:spacing w:after="0"/>
        <w:tabs>
          <w:tab w:leader="none" w:pos="249" w:val="left"/>
        </w:tabs>
        <w:numPr>
          <w:ilvl w:val="0"/>
          <w:numId w:val="82"/>
        </w:numPr>
        <w:rPr>
          <w:rFonts w:ascii="Arial" w:cs="Arial" w:eastAsia="Arial" w:hAnsi="Arial"/>
          <w:sz w:val="17"/>
          <w:szCs w:val="17"/>
          <w:color w:val="002E6D"/>
        </w:rPr>
      </w:pPr>
      <w:r>
        <w:rPr>
          <w:rFonts w:ascii="Arial" w:cs="Arial" w:eastAsia="Arial" w:hAnsi="Arial"/>
          <w:sz w:val="17"/>
          <w:szCs w:val="17"/>
          <w:color w:val="auto"/>
        </w:rPr>
        <w:t>No individual change in control agreements</w:t>
      </w:r>
    </w:p>
    <w:p>
      <w:pPr>
        <w:spacing w:after="0" w:line="47" w:lineRule="exact"/>
        <w:rPr>
          <w:rFonts w:ascii="Arial" w:cs="Arial" w:eastAsia="Arial" w:hAnsi="Arial"/>
          <w:sz w:val="17"/>
          <w:szCs w:val="17"/>
          <w:color w:val="002E6D"/>
        </w:rPr>
      </w:pPr>
    </w:p>
    <w:p>
      <w:pPr>
        <w:ind w:left="169" w:right="460" w:hanging="169"/>
        <w:spacing w:after="0" w:line="233" w:lineRule="auto"/>
        <w:tabs>
          <w:tab w:leader="none" w:pos="257" w:val="left"/>
        </w:tabs>
        <w:numPr>
          <w:ilvl w:val="0"/>
          <w:numId w:val="82"/>
        </w:numPr>
        <w:rPr>
          <w:rFonts w:ascii="Arial" w:cs="Arial" w:eastAsia="Arial" w:hAnsi="Arial"/>
          <w:sz w:val="17"/>
          <w:szCs w:val="17"/>
          <w:color w:val="002E6D"/>
        </w:rPr>
      </w:pPr>
      <w:r>
        <w:rPr>
          <w:rFonts w:ascii="Arial" w:cs="Arial" w:eastAsia="Arial" w:hAnsi="Arial"/>
          <w:sz w:val="17"/>
          <w:szCs w:val="17"/>
          <w:color w:val="auto"/>
        </w:rPr>
        <w:t>No automatic acceleration of unvested incentive awards in the event of termination</w:t>
      </w:r>
    </w:p>
    <w:p>
      <w:pPr>
        <w:spacing w:after="0" w:line="38" w:lineRule="exact"/>
        <w:rPr>
          <w:rFonts w:ascii="Arial" w:cs="Arial" w:eastAsia="Arial" w:hAnsi="Arial"/>
          <w:sz w:val="17"/>
          <w:szCs w:val="17"/>
          <w:color w:val="002E6D"/>
        </w:rPr>
      </w:pPr>
    </w:p>
    <w:p>
      <w:pPr>
        <w:ind w:left="169" w:right="840" w:hanging="169"/>
        <w:spacing w:after="0" w:line="233" w:lineRule="auto"/>
        <w:tabs>
          <w:tab w:leader="none" w:pos="257" w:val="left"/>
        </w:tabs>
        <w:numPr>
          <w:ilvl w:val="0"/>
          <w:numId w:val="82"/>
        </w:numPr>
        <w:rPr>
          <w:rFonts w:ascii="Arial" w:cs="Arial" w:eastAsia="Arial" w:hAnsi="Arial"/>
          <w:sz w:val="17"/>
          <w:szCs w:val="17"/>
          <w:color w:val="002E6D"/>
        </w:rPr>
      </w:pPr>
      <w:r>
        <w:rPr>
          <w:rFonts w:ascii="Arial" w:cs="Arial" w:eastAsia="Arial" w:hAnsi="Arial"/>
          <w:sz w:val="17"/>
          <w:szCs w:val="17"/>
          <w:color w:val="auto"/>
        </w:rPr>
        <w:t>No enhanced retirement formula or inclusion of long-term incentives in pensions</w:t>
      </w:r>
    </w:p>
    <w:p>
      <w:pPr>
        <w:spacing w:after="0" w:line="52" w:lineRule="exact"/>
        <w:rPr>
          <w:rFonts w:ascii="Arial" w:cs="Arial" w:eastAsia="Arial" w:hAnsi="Arial"/>
          <w:sz w:val="17"/>
          <w:szCs w:val="17"/>
          <w:color w:val="002E6D"/>
        </w:rPr>
      </w:pPr>
    </w:p>
    <w:p>
      <w:pPr>
        <w:ind w:left="249" w:hanging="249"/>
        <w:spacing w:after="0"/>
        <w:tabs>
          <w:tab w:leader="none" w:pos="249" w:val="left"/>
        </w:tabs>
        <w:numPr>
          <w:ilvl w:val="0"/>
          <w:numId w:val="82"/>
        </w:numPr>
        <w:rPr>
          <w:rFonts w:ascii="Arial" w:cs="Arial" w:eastAsia="Arial" w:hAnsi="Arial"/>
          <w:sz w:val="17"/>
          <w:szCs w:val="17"/>
          <w:color w:val="002E6D"/>
        </w:rPr>
      </w:pPr>
      <w:r>
        <w:rPr>
          <w:rFonts w:ascii="Arial" w:cs="Arial" w:eastAsia="Arial" w:hAnsi="Arial"/>
          <w:sz w:val="17"/>
          <w:szCs w:val="17"/>
          <w:color w:val="auto"/>
        </w:rPr>
        <w:t>No enhanced death benefits for executives</w:t>
      </w:r>
    </w:p>
    <w:p>
      <w:pPr>
        <w:spacing w:after="0" w:line="47" w:lineRule="exact"/>
        <w:rPr>
          <w:rFonts w:ascii="Arial" w:cs="Arial" w:eastAsia="Arial" w:hAnsi="Arial"/>
          <w:sz w:val="17"/>
          <w:szCs w:val="17"/>
          <w:color w:val="002E6D"/>
        </w:rPr>
      </w:pPr>
    </w:p>
    <w:p>
      <w:pPr>
        <w:ind w:left="249" w:hanging="249"/>
        <w:spacing w:after="0"/>
        <w:tabs>
          <w:tab w:leader="none" w:pos="249" w:val="left"/>
        </w:tabs>
        <w:numPr>
          <w:ilvl w:val="0"/>
          <w:numId w:val="82"/>
        </w:numPr>
        <w:rPr>
          <w:rFonts w:ascii="Arial" w:cs="Arial" w:eastAsia="Arial" w:hAnsi="Arial"/>
          <w:sz w:val="17"/>
          <w:szCs w:val="17"/>
          <w:color w:val="002E6D"/>
        </w:rPr>
      </w:pPr>
      <w:r>
        <w:rPr>
          <w:rFonts w:ascii="Arial" w:cs="Arial" w:eastAsia="Arial" w:hAnsi="Arial"/>
          <w:sz w:val="17"/>
          <w:szCs w:val="17"/>
          <w:color w:val="auto"/>
        </w:rPr>
        <w:t>No hedging or pledging of Company stock</w:t>
      </w:r>
    </w:p>
    <w:p>
      <w:pPr>
        <w:spacing w:after="0" w:line="200" w:lineRule="exact"/>
        <w:rPr>
          <w:sz w:val="20"/>
          <w:szCs w:val="20"/>
          <w:color w:val="auto"/>
        </w:rPr>
      </w:pPr>
    </w:p>
    <w:p>
      <w:pPr>
        <w:sectPr>
          <w:pgSz w:w="11900" w:h="16838" w:orient="portrait"/>
          <w:cols w:equalWidth="0" w:num="2">
            <w:col w:w="5111" w:space="720"/>
            <w:col w:w="5409"/>
          </w:cols>
          <w:pgMar w:left="320" w:top="609"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46</w:t>
      </w:r>
    </w:p>
    <w:p>
      <w:pPr>
        <w:sectPr>
          <w:pgSz w:w="11900" w:h="16838" w:orient="portrait"/>
          <w:cols w:equalWidth="0" w:num="1">
            <w:col w:w="11240"/>
          </w:cols>
          <w:pgMar w:left="320" w:top="609" w:right="339" w:bottom="1440" w:gutter="0" w:footer="0" w:header="0"/>
          <w:type w:val="continuous"/>
        </w:sectPr>
      </w:pPr>
    </w:p>
    <w:bookmarkStart w:id="50" w:name="page51"/>
    <w:bookmarkEnd w:id="50"/>
    <w:p>
      <w:pPr>
        <w:ind w:left="9540"/>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2020 Named Executive Officers’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475C90"/>
        </w:rPr>
        <w:t>2020 Target Compensation</w:t>
      </w:r>
    </w:p>
    <w:p>
      <w:pPr>
        <w:spacing w:after="0" w:line="11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NEOs’ target compensation for 2020 is shown below, which is closely aligned to the market rate. When determining pay for our NEOs, the Compensation Committee considers the current market data in combination with other internal factors when setting annual target pay levels, such as changes to market data year-over-year, internal pay equity, individual performance, job scope and criticality to the Corporation. Effective June 15, 2020, Marillyn A. Hewson transitioned to Executive Chairman and James D. Taiclet was elected President and Chief Executive Officer. Additionally, Frank A. St. John was appointed Chief Operating Officer effective June 15, 2020 and in connection with his promotion the Compensation Committee approved an additional $150,000 LTI grant (increasing his total annual LTI opportunity from $4.5 million to $4.65 million).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0" w:type="dxa"/>
            <w:vAlign w:val="bottom"/>
            <w:tcBorders>
              <w:bottom w:val="single" w:sz="8" w:color="E5E7EF"/>
            </w:tcBorders>
            <w:shd w:val="clear" w:color="auto" w:fill="E5E7EF"/>
          </w:tcPr>
          <w:p>
            <w:pPr>
              <w:spacing w:after="0"/>
              <w:rPr>
                <w:sz w:val="17"/>
                <w:szCs w:val="17"/>
                <w:color w:val="auto"/>
              </w:rPr>
            </w:pPr>
          </w:p>
        </w:tc>
        <w:tc>
          <w:tcPr>
            <w:tcW w:w="1080" w:type="dxa"/>
            <w:vAlign w:val="bottom"/>
            <w:tcBorders>
              <w:bottom w:val="single" w:sz="8" w:color="E5E7EF"/>
            </w:tcBorders>
            <w:shd w:val="clear" w:color="auto" w:fill="E5E7EF"/>
          </w:tcPr>
          <w:p>
            <w:pPr>
              <w:spacing w:after="0"/>
              <w:rPr>
                <w:sz w:val="17"/>
                <w:szCs w:val="17"/>
                <w:color w:val="auto"/>
              </w:rPr>
            </w:pPr>
          </w:p>
        </w:tc>
        <w:tc>
          <w:tcPr>
            <w:tcW w:w="2160" w:type="dxa"/>
            <w:vAlign w:val="bottom"/>
            <w:tcBorders>
              <w:bottom w:val="single" w:sz="8" w:color="E5E7EF"/>
            </w:tcBorders>
            <w:gridSpan w:val="2"/>
            <w:shd w:val="clear" w:color="auto" w:fill="E5E7EF"/>
          </w:tcPr>
          <w:p>
            <w:pPr>
              <w:jc w:val="right"/>
              <w:ind w:right="551"/>
              <w:spacing w:after="0"/>
              <w:rPr>
                <w:sz w:val="20"/>
                <w:szCs w:val="20"/>
                <w:color w:val="auto"/>
              </w:rPr>
            </w:pPr>
            <w:r>
              <w:rPr>
                <w:rFonts w:ascii="Arial" w:cs="Arial" w:eastAsia="Arial" w:hAnsi="Arial"/>
                <w:sz w:val="13"/>
                <w:szCs w:val="13"/>
                <w:color w:val="auto"/>
              </w:rPr>
              <w:t>Annual Incentive</w:t>
            </w:r>
          </w:p>
        </w:tc>
        <w:tc>
          <w:tcPr>
            <w:tcW w:w="1180" w:type="dxa"/>
            <w:vAlign w:val="bottom"/>
            <w:tcBorders>
              <w:bottom w:val="single" w:sz="8" w:color="E5E7EF"/>
            </w:tcBorders>
            <w:shd w:val="clear" w:color="auto" w:fill="E5E7EF"/>
          </w:tcPr>
          <w:p>
            <w:pPr>
              <w:spacing w:after="0"/>
              <w:rPr>
                <w:sz w:val="17"/>
                <w:szCs w:val="17"/>
                <w:color w:val="auto"/>
              </w:rPr>
            </w:pPr>
          </w:p>
        </w:tc>
        <w:tc>
          <w:tcPr>
            <w:tcW w:w="1540" w:type="dxa"/>
            <w:vAlign w:val="bottom"/>
            <w:tcBorders>
              <w:bottom w:val="single" w:sz="8" w:color="E5E7EF"/>
            </w:tcBorders>
            <w:shd w:val="clear" w:color="auto" w:fill="E5E7EF"/>
          </w:tcPr>
          <w:p>
            <w:pPr>
              <w:spacing w:after="0"/>
              <w:rPr>
                <w:sz w:val="17"/>
                <w:szCs w:val="17"/>
                <w:color w:val="auto"/>
              </w:rPr>
            </w:pPr>
          </w:p>
        </w:tc>
      </w:tr>
      <w:tr>
        <w:trPr>
          <w:trHeight w:val="163"/>
        </w:trPr>
        <w:tc>
          <w:tcPr>
            <w:tcW w:w="5200" w:type="dxa"/>
            <w:vAlign w:val="bottom"/>
            <w:tcBorders>
              <w:top w:val="single" w:sz="8" w:color="E5E7EF"/>
            </w:tcBorders>
            <w:shd w:val="clear" w:color="auto" w:fill="E5E7EF"/>
          </w:tcPr>
          <w:p>
            <w:pPr>
              <w:spacing w:after="0"/>
              <w:rPr>
                <w:sz w:val="14"/>
                <w:szCs w:val="14"/>
                <w:color w:val="auto"/>
              </w:rPr>
            </w:pPr>
          </w:p>
        </w:tc>
        <w:tc>
          <w:tcPr>
            <w:tcW w:w="1080" w:type="dxa"/>
            <w:vAlign w:val="bottom"/>
            <w:tcBorders>
              <w:top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Base</w:t>
            </w:r>
          </w:p>
        </w:tc>
        <w:tc>
          <w:tcPr>
            <w:tcW w:w="1260" w:type="dxa"/>
            <w:vAlign w:val="bottom"/>
            <w:tcBorders>
              <w:top w:val="single" w:sz="8" w:color="959595"/>
            </w:tcBorders>
            <w:shd w:val="clear" w:color="auto" w:fill="E5E7EF"/>
          </w:tcPr>
          <w:p>
            <w:pPr>
              <w:spacing w:after="0"/>
              <w:rPr>
                <w:sz w:val="14"/>
                <w:szCs w:val="14"/>
                <w:color w:val="auto"/>
              </w:rPr>
            </w:pPr>
          </w:p>
        </w:tc>
        <w:tc>
          <w:tcPr>
            <w:tcW w:w="900" w:type="dxa"/>
            <w:vAlign w:val="bottom"/>
            <w:tcBorders>
              <w:top w:val="single" w:sz="8" w:color="959595"/>
            </w:tcBorders>
            <w:shd w:val="clear" w:color="auto" w:fill="E5E7EF"/>
          </w:tcPr>
          <w:p>
            <w:pPr>
              <w:jc w:val="right"/>
              <w:spacing w:after="0"/>
              <w:rPr>
                <w:sz w:val="20"/>
                <w:szCs w:val="20"/>
                <w:color w:val="auto"/>
              </w:rPr>
            </w:pPr>
            <w:r>
              <w:rPr>
                <w:rFonts w:ascii="Arial" w:cs="Arial" w:eastAsia="Arial" w:hAnsi="Arial"/>
                <w:sz w:val="13"/>
                <w:szCs w:val="13"/>
                <w:color w:val="auto"/>
              </w:rPr>
              <w:t>Target</w:t>
            </w:r>
          </w:p>
        </w:tc>
        <w:tc>
          <w:tcPr>
            <w:tcW w:w="1180" w:type="dxa"/>
            <w:vAlign w:val="bottom"/>
            <w:tcBorders>
              <w:top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2020 Annual LTI</w:t>
            </w:r>
          </w:p>
        </w:tc>
        <w:tc>
          <w:tcPr>
            <w:tcW w:w="1540" w:type="dxa"/>
            <w:vAlign w:val="bottom"/>
            <w:tcBorders>
              <w:top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Total Target Direct</w:t>
            </w:r>
          </w:p>
        </w:tc>
      </w:tr>
      <w:tr>
        <w:trPr>
          <w:trHeight w:val="148"/>
        </w:trPr>
        <w:tc>
          <w:tcPr>
            <w:tcW w:w="5200" w:type="dxa"/>
            <w:vAlign w:val="bottom"/>
            <w:shd w:val="clear" w:color="auto" w:fill="E5E7EF"/>
          </w:tcPr>
          <w:p>
            <w:pPr>
              <w:spacing w:after="0"/>
              <w:rPr>
                <w:sz w:val="12"/>
                <w:szCs w:val="12"/>
                <w:color w:val="auto"/>
              </w:rPr>
            </w:pPr>
          </w:p>
        </w:tc>
        <w:tc>
          <w:tcPr>
            <w:tcW w:w="10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Salary</w:t>
            </w:r>
          </w:p>
        </w:tc>
        <w:tc>
          <w:tcPr>
            <w:tcW w:w="1260" w:type="dxa"/>
            <w:vAlign w:val="bottom"/>
            <w:shd w:val="clear" w:color="auto" w:fill="E5E7EF"/>
          </w:tcPr>
          <w:p>
            <w:pPr>
              <w:jc w:val="right"/>
              <w:ind w:right="191"/>
              <w:spacing w:after="0"/>
              <w:rPr>
                <w:sz w:val="20"/>
                <w:szCs w:val="20"/>
                <w:color w:val="auto"/>
              </w:rPr>
            </w:pPr>
            <w:r>
              <w:rPr>
                <w:rFonts w:ascii="Arial" w:cs="Arial" w:eastAsia="Arial" w:hAnsi="Arial"/>
                <w:sz w:val="13"/>
                <w:szCs w:val="13"/>
                <w:color w:val="auto"/>
              </w:rPr>
              <w:t>Target</w:t>
            </w:r>
          </w:p>
        </w:tc>
        <w:tc>
          <w:tcPr>
            <w:tcW w:w="9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Amount</w:t>
            </w:r>
          </w:p>
        </w:tc>
        <w:tc>
          <w:tcPr>
            <w:tcW w:w="11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Grant</w:t>
            </w:r>
          </w:p>
        </w:tc>
        <w:tc>
          <w:tcPr>
            <w:tcW w:w="15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Compensation</w:t>
            </w:r>
          </w:p>
        </w:tc>
      </w:tr>
      <w:tr>
        <w:trPr>
          <w:trHeight w:val="186"/>
        </w:trPr>
        <w:tc>
          <w:tcPr>
            <w:tcW w:w="520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NEO</w:t>
            </w:r>
          </w:p>
        </w:tc>
        <w:tc>
          <w:tcPr>
            <w:tcW w:w="10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E5E7EF"/>
            </w:tcBorders>
            <w:shd w:val="clear" w:color="auto" w:fill="E5E7EF"/>
          </w:tcPr>
          <w:p>
            <w:pPr>
              <w:jc w:val="right"/>
              <w:ind w:right="171"/>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200" w:type="dxa"/>
            <w:vAlign w:val="bottom"/>
            <w:tcBorders>
              <w:top w:val="single" w:sz="8" w:color="959595"/>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Mr. Taiclet*</w:t>
            </w:r>
          </w:p>
        </w:tc>
        <w:tc>
          <w:tcPr>
            <w:tcW w:w="108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1,700,000</w:t>
            </w:r>
          </w:p>
        </w:tc>
        <w:tc>
          <w:tcPr>
            <w:tcW w:w="1260" w:type="dxa"/>
            <w:vAlign w:val="bottom"/>
            <w:tcBorders>
              <w:top w:val="single" w:sz="8" w:color="959595"/>
              <w:bottom w:val="single" w:sz="8" w:color="959595"/>
            </w:tcBorders>
          </w:tcPr>
          <w:p>
            <w:pPr>
              <w:jc w:val="right"/>
              <w:ind w:right="171"/>
              <w:spacing w:after="0"/>
              <w:rPr>
                <w:sz w:val="20"/>
                <w:szCs w:val="20"/>
                <w:color w:val="auto"/>
              </w:rPr>
            </w:pPr>
            <w:r>
              <w:rPr>
                <w:rFonts w:ascii="Arial" w:cs="Arial" w:eastAsia="Arial" w:hAnsi="Arial"/>
                <w:sz w:val="14"/>
                <w:szCs w:val="14"/>
                <w:color w:val="auto"/>
              </w:rPr>
              <w:t>175</w:t>
            </w:r>
          </w:p>
        </w:tc>
        <w:tc>
          <w:tcPr>
            <w:tcW w:w="90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1,636,250</w:t>
            </w:r>
          </w:p>
        </w:tc>
        <w:tc>
          <w:tcPr>
            <w:tcW w:w="118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14,000,204</w:t>
            </w:r>
          </w:p>
        </w:tc>
        <w:tc>
          <w:tcPr>
            <w:tcW w:w="154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17,336,454</w:t>
            </w:r>
          </w:p>
        </w:tc>
      </w:tr>
      <w:tr>
        <w:trPr>
          <w:trHeight w:val="183"/>
        </w:trPr>
        <w:tc>
          <w:tcPr>
            <w:tcW w:w="52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Ms. Hewson</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1,855,000</w:t>
            </w:r>
          </w:p>
        </w:tc>
        <w:tc>
          <w:tcPr>
            <w:tcW w:w="126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175</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3,246,250</w:t>
            </w:r>
          </w:p>
        </w:tc>
        <w:tc>
          <w:tcPr>
            <w:tcW w:w="11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15,000,289</w:t>
            </w:r>
          </w:p>
        </w:tc>
        <w:tc>
          <w:tcPr>
            <w:tcW w:w="1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20,101,539</w:t>
            </w:r>
          </w:p>
        </w:tc>
      </w:tr>
      <w:tr>
        <w:trPr>
          <w:trHeight w:val="183"/>
        </w:trPr>
        <w:tc>
          <w:tcPr>
            <w:tcW w:w="52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Mr. Possenriede</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935,000</w:t>
            </w:r>
          </w:p>
        </w:tc>
        <w:tc>
          <w:tcPr>
            <w:tcW w:w="126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105</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981,750</w:t>
            </w:r>
          </w:p>
        </w:tc>
        <w:tc>
          <w:tcPr>
            <w:tcW w:w="11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4,650,236</w:t>
            </w:r>
          </w:p>
        </w:tc>
        <w:tc>
          <w:tcPr>
            <w:tcW w:w="1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6,566,986</w:t>
            </w:r>
          </w:p>
        </w:tc>
      </w:tr>
      <w:tr>
        <w:trPr>
          <w:trHeight w:val="183"/>
        </w:trPr>
        <w:tc>
          <w:tcPr>
            <w:tcW w:w="52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Mr. St. John</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935,000</w:t>
            </w:r>
          </w:p>
        </w:tc>
        <w:tc>
          <w:tcPr>
            <w:tcW w:w="126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105</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981,750</w:t>
            </w:r>
          </w:p>
        </w:tc>
        <w:tc>
          <w:tcPr>
            <w:tcW w:w="11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4,650,599</w:t>
            </w:r>
          </w:p>
        </w:tc>
        <w:tc>
          <w:tcPr>
            <w:tcW w:w="1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6,567,349</w:t>
            </w:r>
          </w:p>
        </w:tc>
      </w:tr>
      <w:tr>
        <w:trPr>
          <w:trHeight w:val="183"/>
        </w:trPr>
        <w:tc>
          <w:tcPr>
            <w:tcW w:w="520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auto"/>
              </w:rPr>
              <w:t>Mr. Ambrose</w:t>
            </w:r>
          </w:p>
        </w:tc>
        <w:tc>
          <w:tcPr>
            <w:tcW w:w="10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935,000</w:t>
            </w:r>
          </w:p>
        </w:tc>
        <w:tc>
          <w:tcPr>
            <w:tcW w:w="1260" w:type="dxa"/>
            <w:vAlign w:val="bottom"/>
            <w:tcBorders>
              <w:bottom w:val="single" w:sz="8" w:color="929292"/>
            </w:tcBorders>
          </w:tcPr>
          <w:p>
            <w:pPr>
              <w:jc w:val="right"/>
              <w:ind w:right="171"/>
              <w:spacing w:after="0"/>
              <w:rPr>
                <w:sz w:val="20"/>
                <w:szCs w:val="20"/>
                <w:color w:val="auto"/>
              </w:rPr>
            </w:pPr>
            <w:r>
              <w:rPr>
                <w:rFonts w:ascii="Arial" w:cs="Arial" w:eastAsia="Arial" w:hAnsi="Arial"/>
                <w:sz w:val="14"/>
                <w:szCs w:val="14"/>
                <w:color w:val="auto"/>
              </w:rPr>
              <w:t>105</w:t>
            </w: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981,750</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4,000,257</w:t>
            </w:r>
          </w:p>
        </w:tc>
        <w:tc>
          <w:tcPr>
            <w:tcW w:w="15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5,917,007</w:t>
            </w:r>
          </w:p>
        </w:tc>
      </w:tr>
      <w:tr>
        <w:trPr>
          <w:trHeight w:val="183"/>
        </w:trPr>
        <w:tc>
          <w:tcPr>
            <w:tcW w:w="52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Ms. Evans</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935,000</w:t>
            </w:r>
          </w:p>
        </w:tc>
        <w:tc>
          <w:tcPr>
            <w:tcW w:w="126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105</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981,750</w:t>
            </w:r>
          </w:p>
        </w:tc>
        <w:tc>
          <w:tcPr>
            <w:tcW w:w="11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4,500,241</w:t>
            </w:r>
          </w:p>
        </w:tc>
        <w:tc>
          <w:tcPr>
            <w:tcW w:w="15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6,416,991</w:t>
            </w:r>
          </w:p>
        </w:tc>
      </w:tr>
    </w:tbl>
    <w:p>
      <w:pPr>
        <w:spacing w:after="0" w:line="113" w:lineRule="exact"/>
        <w:rPr>
          <w:sz w:val="20"/>
          <w:szCs w:val="20"/>
          <w:color w:val="auto"/>
        </w:rPr>
      </w:pPr>
    </w:p>
    <w:p>
      <w:pPr>
        <w:ind w:left="260" w:right="160" w:hanging="252"/>
        <w:spacing w:after="0" w:line="278" w:lineRule="auto"/>
        <w:tabs>
          <w:tab w:leader="none" w:pos="233"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Taiclet's prorated 2020 base salary was $915,385. His annual incentive target amount shown above is prorated based on time served during 2020. His 2020 Annual LTI grant and Total Target Direct Compensation excludes his equity replacement grant with an approximate value of $5.55 million.</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475C90"/>
        </w:rPr>
        <w:t>2020 Compensation Elements</w:t>
      </w:r>
    </w:p>
    <w:p>
      <w:pPr>
        <w:spacing w:after="0" w:line="112"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Our compensation programs are designed to provide a mix of short- and long-term compensation, fixed and variable pay and cash and equity-based compensation, as well as to reflect our philosophy of providing pay for performance. Benefit, Retirement and Perquisite programs are not included in our compensation elements below (additional information about these programs can be found on page 57).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6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Fixed</w:t>
            </w:r>
          </w:p>
        </w:tc>
        <w:tc>
          <w:tcPr>
            <w:tcW w:w="20" w:type="dxa"/>
            <w:vAlign w:val="bottom"/>
            <w:tcBorders>
              <w:bottom w:val="single" w:sz="8" w:color="959595"/>
            </w:tcBorders>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Borders>
              <w:bottom w:val="single" w:sz="8" w:color="012E6C"/>
            </w:tcBorders>
          </w:tcPr>
          <w:p>
            <w:pPr>
              <w:spacing w:after="0"/>
              <w:rPr>
                <w:sz w:val="14"/>
                <w:szCs w:val="14"/>
                <w:color w:val="auto"/>
              </w:rPr>
            </w:pPr>
          </w:p>
        </w:tc>
        <w:tc>
          <w:tcPr>
            <w:tcW w:w="200" w:type="dxa"/>
            <w:vAlign w:val="bottom"/>
            <w:tcBorders>
              <w:bottom w:val="single" w:sz="8" w:color="012E6C"/>
            </w:tcBorders>
          </w:tcPr>
          <w:p>
            <w:pPr>
              <w:spacing w:after="0"/>
              <w:rPr>
                <w:sz w:val="14"/>
                <w:szCs w:val="14"/>
                <w:color w:val="auto"/>
              </w:rPr>
            </w:pPr>
          </w:p>
        </w:tc>
        <w:tc>
          <w:tcPr>
            <w:tcW w:w="2040" w:type="dxa"/>
            <w:vAlign w:val="bottom"/>
            <w:tcBorders>
              <w:bottom w:val="single" w:sz="8" w:color="012E6C"/>
            </w:tcBorders>
          </w:tcPr>
          <w:p>
            <w:pPr>
              <w:ind w:left="1440"/>
              <w:spacing w:after="0"/>
              <w:rPr>
                <w:sz w:val="20"/>
                <w:szCs w:val="20"/>
                <w:color w:val="auto"/>
              </w:rPr>
            </w:pPr>
            <w:r>
              <w:rPr>
                <w:rFonts w:ascii="Arial" w:cs="Arial" w:eastAsia="Arial" w:hAnsi="Arial"/>
                <w:sz w:val="14"/>
                <w:szCs w:val="14"/>
                <w:color w:val="auto"/>
              </w:rPr>
              <w:t>Variable</w:t>
            </w:r>
          </w:p>
        </w:tc>
        <w:tc>
          <w:tcPr>
            <w:tcW w:w="1900" w:type="dxa"/>
            <w:vAlign w:val="bottom"/>
            <w:tcBorders>
              <w:bottom w:val="single" w:sz="8" w:color="012E6C"/>
            </w:tcBorders>
          </w:tcPr>
          <w:p>
            <w:pPr>
              <w:spacing w:after="0"/>
              <w:rPr>
                <w:sz w:val="14"/>
                <w:szCs w:val="14"/>
                <w:color w:val="auto"/>
              </w:rPr>
            </w:pPr>
          </w:p>
        </w:tc>
        <w:tc>
          <w:tcPr>
            <w:tcW w:w="1900" w:type="dxa"/>
            <w:vAlign w:val="bottom"/>
            <w:tcBorders>
              <w:bottom w:val="single" w:sz="8" w:color="012E6C"/>
            </w:tcBorders>
          </w:tcPr>
          <w:p>
            <w:pPr>
              <w:spacing w:after="0"/>
              <w:rPr>
                <w:sz w:val="14"/>
                <w:szCs w:val="14"/>
                <w:color w:val="auto"/>
              </w:rPr>
            </w:pPr>
          </w:p>
        </w:tc>
        <w:tc>
          <w:tcPr>
            <w:tcW w:w="20" w:type="dxa"/>
            <w:vAlign w:val="bottom"/>
            <w:tcBorders>
              <w:bottom w:val="single" w:sz="8" w:color="012E6C"/>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1620" w:type="dxa"/>
            <w:vAlign w:val="bottom"/>
            <w:vMerge w:val="restart"/>
            <w:shd w:val="clear" w:color="auto" w:fill="E5E7EF"/>
          </w:tcPr>
          <w:p>
            <w:pPr>
              <w:jc w:val="center"/>
              <w:spacing w:after="0"/>
              <w:rPr>
                <w:sz w:val="20"/>
                <w:szCs w:val="20"/>
                <w:color w:val="auto"/>
              </w:rPr>
            </w:pPr>
            <w:r>
              <w:rPr>
                <w:rFonts w:ascii="Arial" w:cs="Arial" w:eastAsia="Arial" w:hAnsi="Arial"/>
                <w:sz w:val="14"/>
                <w:szCs w:val="14"/>
                <w:color w:val="auto"/>
              </w:rPr>
              <w:t>Base Salary</w:t>
            </w: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240" w:type="dxa"/>
            <w:vAlign w:val="bottom"/>
            <w:vMerge w:val="restart"/>
            <w:shd w:val="clear" w:color="auto" w:fill="808080"/>
          </w:tcPr>
          <w:p>
            <w:pPr>
              <w:jc w:val="center"/>
              <w:spacing w:after="0"/>
              <w:rPr>
                <w:sz w:val="20"/>
                <w:szCs w:val="20"/>
                <w:color w:val="auto"/>
              </w:rPr>
            </w:pPr>
            <w:r>
              <w:rPr>
                <w:rFonts w:ascii="Arial" w:cs="Arial" w:eastAsia="Arial" w:hAnsi="Arial"/>
                <w:sz w:val="14"/>
                <w:szCs w:val="14"/>
                <w:color w:val="FFFFFF"/>
              </w:rPr>
              <w:t>Annual Incentive</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40" w:type="dxa"/>
            <w:vAlign w:val="bottom"/>
            <w:shd w:val="clear" w:color="auto" w:fill="002F6C"/>
          </w:tcPr>
          <w:p>
            <w:pPr>
              <w:spacing w:after="0"/>
              <w:rPr>
                <w:sz w:val="18"/>
                <w:szCs w:val="18"/>
                <w:color w:val="auto"/>
              </w:rPr>
            </w:pPr>
          </w:p>
        </w:tc>
        <w:tc>
          <w:tcPr>
            <w:tcW w:w="1900" w:type="dxa"/>
            <w:vAlign w:val="bottom"/>
            <w:shd w:val="clear" w:color="auto" w:fill="002F6C"/>
          </w:tcPr>
          <w:p>
            <w:pPr>
              <w:jc w:val="right"/>
              <w:ind w:right="250"/>
              <w:spacing w:after="0"/>
              <w:rPr>
                <w:sz w:val="20"/>
                <w:szCs w:val="20"/>
                <w:color w:val="auto"/>
              </w:rPr>
            </w:pPr>
            <w:r>
              <w:rPr>
                <w:rFonts w:ascii="Arial" w:cs="Arial" w:eastAsia="Arial" w:hAnsi="Arial"/>
                <w:sz w:val="14"/>
                <w:szCs w:val="14"/>
                <w:color w:val="FFFFFF"/>
              </w:rPr>
              <w:t>Long-Term Incentives</w:t>
            </w:r>
          </w:p>
        </w:tc>
        <w:tc>
          <w:tcPr>
            <w:tcW w:w="1900" w:type="dxa"/>
            <w:vAlign w:val="bottom"/>
            <w:shd w:val="clear" w:color="auto" w:fill="002F6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1620" w:type="dxa"/>
            <w:vAlign w:val="bottom"/>
            <w:vMerge w:val="continue"/>
            <w:shd w:val="clear" w:color="auto" w:fill="E5E7EF"/>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2240" w:type="dxa"/>
            <w:vAlign w:val="bottom"/>
            <w:vMerge w:val="continue"/>
            <w:shd w:val="clear" w:color="auto" w:fill="808080"/>
          </w:tcPr>
          <w:p>
            <w:pPr>
              <w:spacing w:after="0"/>
              <w:rPr>
                <w:sz w:val="8"/>
                <w:szCs w:val="8"/>
                <w:color w:val="auto"/>
              </w:rPr>
            </w:pPr>
          </w:p>
        </w:tc>
        <w:tc>
          <w:tcPr>
            <w:tcW w:w="200" w:type="dxa"/>
            <w:vAlign w:val="bottom"/>
            <w:vMerge w:val="continue"/>
          </w:tcPr>
          <w:p>
            <w:pPr>
              <w:spacing w:after="0"/>
              <w:rPr>
                <w:sz w:val="8"/>
                <w:szCs w:val="8"/>
                <w:color w:val="auto"/>
              </w:rPr>
            </w:pPr>
          </w:p>
        </w:tc>
        <w:tc>
          <w:tcPr>
            <w:tcW w:w="2040" w:type="dxa"/>
            <w:vAlign w:val="bottom"/>
            <w:vMerge w:val="restart"/>
            <w:shd w:val="clear" w:color="auto" w:fill="002F6C"/>
          </w:tcPr>
          <w:p>
            <w:pPr>
              <w:jc w:val="center"/>
              <w:spacing w:after="0"/>
              <w:rPr>
                <w:sz w:val="20"/>
                <w:szCs w:val="20"/>
                <w:color w:val="auto"/>
              </w:rPr>
            </w:pPr>
            <w:r>
              <w:rPr>
                <w:rFonts w:ascii="Arial" w:cs="Arial" w:eastAsia="Arial" w:hAnsi="Arial"/>
                <w:sz w:val="14"/>
                <w:szCs w:val="14"/>
                <w:color w:val="FFFFFF"/>
              </w:rPr>
              <w:t>50% PSUs</w:t>
            </w:r>
          </w:p>
        </w:tc>
        <w:tc>
          <w:tcPr>
            <w:tcW w:w="1900" w:type="dxa"/>
            <w:vAlign w:val="bottom"/>
            <w:vMerge w:val="restart"/>
            <w:shd w:val="clear" w:color="auto" w:fill="002F6C"/>
          </w:tcPr>
          <w:p>
            <w:pPr>
              <w:jc w:val="right"/>
              <w:ind w:right="490"/>
              <w:spacing w:after="0"/>
              <w:rPr>
                <w:sz w:val="20"/>
                <w:szCs w:val="20"/>
                <w:color w:val="auto"/>
              </w:rPr>
            </w:pPr>
            <w:r>
              <w:rPr>
                <w:rFonts w:ascii="Arial" w:cs="Arial" w:eastAsia="Arial" w:hAnsi="Arial"/>
                <w:sz w:val="14"/>
                <w:szCs w:val="14"/>
                <w:color w:val="FFFFFF"/>
              </w:rPr>
              <w:t>20% LTIP</w:t>
            </w:r>
          </w:p>
        </w:tc>
        <w:tc>
          <w:tcPr>
            <w:tcW w:w="1900" w:type="dxa"/>
            <w:vAlign w:val="bottom"/>
            <w:vMerge w:val="restart"/>
            <w:shd w:val="clear" w:color="auto" w:fill="002F6C"/>
          </w:tcPr>
          <w:p>
            <w:pPr>
              <w:jc w:val="center"/>
              <w:ind w:left="50"/>
              <w:spacing w:after="0"/>
              <w:rPr>
                <w:sz w:val="20"/>
                <w:szCs w:val="20"/>
                <w:color w:val="auto"/>
              </w:rPr>
            </w:pPr>
            <w:r>
              <w:rPr>
                <w:rFonts w:ascii="Arial" w:cs="Arial" w:eastAsia="Arial" w:hAnsi="Arial"/>
                <w:sz w:val="14"/>
                <w:szCs w:val="14"/>
                <w:color w:val="FFFFFF"/>
              </w:rPr>
              <w:t>30% RSUs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620" w:type="dxa"/>
            <w:vAlign w:val="bottom"/>
            <w:shd w:val="clear" w:color="auto" w:fill="E5E7EF"/>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40" w:type="dxa"/>
            <w:vAlign w:val="bottom"/>
            <w:shd w:val="clear" w:color="auto" w:fill="808080"/>
          </w:tcPr>
          <w:p>
            <w:pPr>
              <w:spacing w:after="0"/>
              <w:rPr>
                <w:sz w:val="10"/>
                <w:szCs w:val="10"/>
                <w:color w:val="auto"/>
              </w:rPr>
            </w:pPr>
          </w:p>
        </w:tc>
        <w:tc>
          <w:tcPr>
            <w:tcW w:w="200" w:type="dxa"/>
            <w:vAlign w:val="bottom"/>
          </w:tcPr>
          <w:p>
            <w:pPr>
              <w:spacing w:after="0"/>
              <w:rPr>
                <w:sz w:val="10"/>
                <w:szCs w:val="10"/>
                <w:color w:val="auto"/>
              </w:rPr>
            </w:pPr>
          </w:p>
        </w:tc>
        <w:tc>
          <w:tcPr>
            <w:tcW w:w="2040" w:type="dxa"/>
            <w:vAlign w:val="bottom"/>
            <w:vMerge w:val="continue"/>
            <w:shd w:val="clear" w:color="auto" w:fill="002F6C"/>
          </w:tcPr>
          <w:p>
            <w:pPr>
              <w:spacing w:after="0"/>
              <w:rPr>
                <w:sz w:val="10"/>
                <w:szCs w:val="10"/>
                <w:color w:val="auto"/>
              </w:rPr>
            </w:pPr>
          </w:p>
        </w:tc>
        <w:tc>
          <w:tcPr>
            <w:tcW w:w="1900" w:type="dxa"/>
            <w:vAlign w:val="bottom"/>
            <w:vMerge w:val="continue"/>
            <w:shd w:val="clear" w:color="auto" w:fill="002F6C"/>
          </w:tcPr>
          <w:p>
            <w:pPr>
              <w:spacing w:after="0"/>
              <w:rPr>
                <w:sz w:val="10"/>
                <w:szCs w:val="10"/>
                <w:color w:val="auto"/>
              </w:rPr>
            </w:pPr>
          </w:p>
        </w:tc>
        <w:tc>
          <w:tcPr>
            <w:tcW w:w="1900" w:type="dxa"/>
            <w:vAlign w:val="bottom"/>
            <w:vMerge w:val="continue"/>
            <w:shd w:val="clear" w:color="auto" w:fill="002F6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080" w:type="dxa"/>
            <w:vAlign w:val="bottom"/>
            <w:tcBorders>
              <w:bottom w:val="single" w:sz="8" w:color="959595"/>
            </w:tcBorders>
          </w:tcPr>
          <w:p>
            <w:pPr>
              <w:ind w:left="20"/>
              <w:spacing w:after="0"/>
              <w:rPr>
                <w:sz w:val="20"/>
                <w:szCs w:val="20"/>
                <w:color w:val="auto"/>
              </w:rPr>
            </w:pPr>
            <w:r>
              <w:rPr>
                <w:rFonts w:ascii="Arial" w:cs="Arial" w:eastAsia="Arial" w:hAnsi="Arial"/>
                <w:sz w:val="17"/>
                <w:szCs w:val="17"/>
                <w:color w:val="auto"/>
              </w:rPr>
              <w:t>WHAT?</w:t>
            </w:r>
          </w:p>
        </w:tc>
        <w:tc>
          <w:tcPr>
            <w:tcW w:w="1620" w:type="dxa"/>
            <w:vAlign w:val="bottom"/>
            <w:tcBorders>
              <w:bottom w:val="single" w:sz="8" w:color="959595"/>
            </w:tcBorders>
          </w:tcPr>
          <w:p>
            <w:pPr>
              <w:jc w:val="center"/>
              <w:spacing w:after="0"/>
              <w:rPr>
                <w:sz w:val="20"/>
                <w:szCs w:val="20"/>
                <w:color w:val="auto"/>
              </w:rPr>
            </w:pPr>
            <w:r>
              <w:rPr>
                <w:rFonts w:ascii="Arial" w:cs="Arial" w:eastAsia="Arial" w:hAnsi="Arial"/>
                <w:sz w:val="13"/>
                <w:szCs w:val="13"/>
                <w:color w:val="auto"/>
                <w:w w:val="98"/>
              </w:rPr>
              <w:t>Cash</w:t>
            </w:r>
          </w:p>
        </w:tc>
        <w:tc>
          <w:tcPr>
            <w:tcW w:w="20" w:type="dxa"/>
            <w:vAlign w:val="bottom"/>
            <w:tcBorders>
              <w:bottom w:val="single" w:sz="8" w:color="959595"/>
            </w:tcBorders>
          </w:tcPr>
          <w:p>
            <w:pPr>
              <w:spacing w:after="0"/>
              <w:rPr>
                <w:sz w:val="18"/>
                <w:szCs w:val="18"/>
                <w:color w:val="auto"/>
              </w:rPr>
            </w:pPr>
          </w:p>
        </w:tc>
        <w:tc>
          <w:tcPr>
            <w:tcW w:w="240" w:type="dxa"/>
            <w:vAlign w:val="bottom"/>
            <w:tcBorders>
              <w:bottom w:val="single" w:sz="8" w:color="959595"/>
            </w:tcBorders>
          </w:tcPr>
          <w:p>
            <w:pPr>
              <w:spacing w:after="0"/>
              <w:rPr>
                <w:sz w:val="18"/>
                <w:szCs w:val="18"/>
                <w:color w:val="auto"/>
              </w:rPr>
            </w:pPr>
          </w:p>
        </w:tc>
        <w:tc>
          <w:tcPr>
            <w:tcW w:w="2240" w:type="dxa"/>
            <w:vAlign w:val="bottom"/>
            <w:tcBorders>
              <w:bottom w:val="single" w:sz="8" w:color="959595"/>
            </w:tcBorders>
          </w:tcPr>
          <w:p>
            <w:pPr>
              <w:jc w:val="center"/>
              <w:spacing w:after="0"/>
              <w:rPr>
                <w:sz w:val="20"/>
                <w:szCs w:val="20"/>
                <w:color w:val="auto"/>
              </w:rPr>
            </w:pPr>
            <w:r>
              <w:rPr>
                <w:rFonts w:ascii="Arial" w:cs="Arial" w:eastAsia="Arial" w:hAnsi="Arial"/>
                <w:sz w:val="13"/>
                <w:szCs w:val="13"/>
                <w:color w:val="auto"/>
              </w:rPr>
              <w:t>Cash</w:t>
            </w:r>
          </w:p>
        </w:tc>
        <w:tc>
          <w:tcPr>
            <w:tcW w:w="200" w:type="dxa"/>
            <w:vAlign w:val="bottom"/>
            <w:tcBorders>
              <w:bottom w:val="single" w:sz="8" w:color="959595"/>
            </w:tcBorders>
          </w:tcPr>
          <w:p>
            <w:pPr>
              <w:spacing w:after="0"/>
              <w:rPr>
                <w:sz w:val="18"/>
                <w:szCs w:val="18"/>
                <w:color w:val="auto"/>
              </w:rPr>
            </w:pPr>
          </w:p>
        </w:tc>
        <w:tc>
          <w:tcPr>
            <w:tcW w:w="2040" w:type="dxa"/>
            <w:vAlign w:val="bottom"/>
            <w:tcBorders>
              <w:bottom w:val="single" w:sz="8" w:color="959595"/>
            </w:tcBorders>
          </w:tcPr>
          <w:p>
            <w:pPr>
              <w:jc w:val="center"/>
              <w:spacing w:after="0"/>
              <w:rPr>
                <w:sz w:val="20"/>
                <w:szCs w:val="20"/>
                <w:color w:val="auto"/>
              </w:rPr>
            </w:pPr>
            <w:r>
              <w:rPr>
                <w:rFonts w:ascii="Arial" w:cs="Arial" w:eastAsia="Arial" w:hAnsi="Arial"/>
                <w:sz w:val="13"/>
                <w:szCs w:val="13"/>
                <w:color w:val="auto"/>
                <w:w w:val="99"/>
              </w:rPr>
              <w:t>Equity</w:t>
            </w:r>
          </w:p>
        </w:tc>
        <w:tc>
          <w:tcPr>
            <w:tcW w:w="1900" w:type="dxa"/>
            <w:vAlign w:val="bottom"/>
            <w:tcBorders>
              <w:bottom w:val="single" w:sz="8" w:color="959595"/>
            </w:tcBorders>
          </w:tcPr>
          <w:p>
            <w:pPr>
              <w:jc w:val="center"/>
              <w:spacing w:after="0"/>
              <w:rPr>
                <w:sz w:val="20"/>
                <w:szCs w:val="20"/>
                <w:color w:val="auto"/>
              </w:rPr>
            </w:pPr>
            <w:r>
              <w:rPr>
                <w:rFonts w:ascii="Arial" w:cs="Arial" w:eastAsia="Arial" w:hAnsi="Arial"/>
                <w:sz w:val="13"/>
                <w:szCs w:val="13"/>
                <w:color w:val="auto"/>
                <w:w w:val="98"/>
              </w:rPr>
              <w:t>Cash</w:t>
            </w:r>
          </w:p>
        </w:tc>
        <w:tc>
          <w:tcPr>
            <w:tcW w:w="1900" w:type="dxa"/>
            <w:vAlign w:val="bottom"/>
            <w:tcBorders>
              <w:bottom w:val="single" w:sz="8" w:color="959595"/>
            </w:tcBorders>
          </w:tcPr>
          <w:p>
            <w:pPr>
              <w:jc w:val="center"/>
              <w:ind w:left="50"/>
              <w:spacing w:after="0"/>
              <w:rPr>
                <w:sz w:val="20"/>
                <w:szCs w:val="20"/>
                <w:color w:val="auto"/>
              </w:rPr>
            </w:pPr>
            <w:r>
              <w:rPr>
                <w:rFonts w:ascii="Arial" w:cs="Arial" w:eastAsia="Arial" w:hAnsi="Arial"/>
                <w:sz w:val="13"/>
                <w:szCs w:val="13"/>
                <w:color w:val="auto"/>
              </w:rPr>
              <w:t>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tcPr>
          <w:p>
            <w:pPr>
              <w:ind w:left="20"/>
              <w:spacing w:after="0"/>
              <w:rPr>
                <w:sz w:val="20"/>
                <w:szCs w:val="20"/>
                <w:color w:val="auto"/>
              </w:rPr>
            </w:pPr>
            <w:r>
              <w:rPr>
                <w:rFonts w:ascii="Arial" w:cs="Arial" w:eastAsia="Arial" w:hAnsi="Arial"/>
                <w:sz w:val="17"/>
                <w:szCs w:val="17"/>
                <w:color w:val="auto"/>
              </w:rPr>
              <w:t>WHEN?</w:t>
            </w:r>
          </w:p>
        </w:tc>
        <w:tc>
          <w:tcPr>
            <w:tcW w:w="1620" w:type="dxa"/>
            <w:vAlign w:val="bottom"/>
          </w:tcPr>
          <w:p>
            <w:pPr>
              <w:jc w:val="center"/>
              <w:spacing w:after="0"/>
              <w:rPr>
                <w:sz w:val="20"/>
                <w:szCs w:val="20"/>
                <w:color w:val="auto"/>
              </w:rPr>
            </w:pPr>
            <w:r>
              <w:rPr>
                <w:rFonts w:ascii="Arial" w:cs="Arial" w:eastAsia="Arial" w:hAnsi="Arial"/>
                <w:sz w:val="13"/>
                <w:szCs w:val="13"/>
                <w:color w:val="auto"/>
              </w:rPr>
              <w:t>Annual</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3"/>
                <w:szCs w:val="13"/>
                <w:color w:val="auto"/>
              </w:rPr>
              <w:t>Annual</w:t>
            </w:r>
          </w:p>
        </w:tc>
        <w:tc>
          <w:tcPr>
            <w:tcW w:w="2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rPr>
              <w:t>3-year</w:t>
            </w:r>
          </w:p>
        </w:tc>
        <w:tc>
          <w:tcPr>
            <w:tcW w:w="1900" w:type="dxa"/>
            <w:vAlign w:val="bottom"/>
          </w:tcPr>
          <w:p>
            <w:pPr>
              <w:jc w:val="center"/>
              <w:spacing w:after="0"/>
              <w:rPr>
                <w:sz w:val="20"/>
                <w:szCs w:val="20"/>
                <w:color w:val="auto"/>
              </w:rPr>
            </w:pPr>
            <w:r>
              <w:rPr>
                <w:rFonts w:ascii="Arial" w:cs="Arial" w:eastAsia="Arial" w:hAnsi="Arial"/>
                <w:sz w:val="13"/>
                <w:szCs w:val="13"/>
                <w:color w:val="auto"/>
              </w:rPr>
              <w:t>3-year</w:t>
            </w:r>
          </w:p>
        </w:tc>
        <w:tc>
          <w:tcPr>
            <w:tcW w:w="1900" w:type="dxa"/>
            <w:vAlign w:val="bottom"/>
          </w:tcPr>
          <w:p>
            <w:pPr>
              <w:jc w:val="center"/>
              <w:ind w:left="10"/>
              <w:spacing w:after="0"/>
              <w:rPr>
                <w:sz w:val="20"/>
                <w:szCs w:val="20"/>
                <w:color w:val="auto"/>
              </w:rPr>
            </w:pPr>
            <w:r>
              <w:rPr>
                <w:rFonts w:ascii="Arial" w:cs="Arial" w:eastAsia="Arial" w:hAnsi="Arial"/>
                <w:sz w:val="13"/>
                <w:szCs w:val="13"/>
                <w:color w:val="auto"/>
              </w:rPr>
              <w:t>3-year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080" w:type="dxa"/>
            <w:vAlign w:val="bottom"/>
            <w:tcBorders>
              <w:bottom w:val="single" w:sz="8" w:color="959595"/>
            </w:tcBorders>
          </w:tcPr>
          <w:p>
            <w:pPr>
              <w:spacing w:after="0"/>
              <w:rPr>
                <w:sz w:val="10"/>
                <w:szCs w:val="10"/>
                <w:color w:val="auto"/>
              </w:rPr>
            </w:pPr>
          </w:p>
        </w:tc>
        <w:tc>
          <w:tcPr>
            <w:tcW w:w="1620" w:type="dxa"/>
            <w:vAlign w:val="bottom"/>
            <w:tcBorders>
              <w:bottom w:val="single" w:sz="8" w:color="959595"/>
            </w:tcBorders>
          </w:tcPr>
          <w:p>
            <w:pPr>
              <w:spacing w:after="0"/>
              <w:rPr>
                <w:sz w:val="10"/>
                <w:szCs w:val="10"/>
                <w:color w:val="auto"/>
              </w:rPr>
            </w:pPr>
          </w:p>
        </w:tc>
        <w:tc>
          <w:tcPr>
            <w:tcW w:w="20" w:type="dxa"/>
            <w:vAlign w:val="bottom"/>
            <w:tcBorders>
              <w:bottom w:val="single" w:sz="8" w:color="959595"/>
            </w:tcBorders>
          </w:tcPr>
          <w:p>
            <w:pPr>
              <w:spacing w:after="0"/>
              <w:rPr>
                <w:sz w:val="10"/>
                <w:szCs w:val="10"/>
                <w:color w:val="auto"/>
              </w:rPr>
            </w:pPr>
          </w:p>
        </w:tc>
        <w:tc>
          <w:tcPr>
            <w:tcW w:w="240" w:type="dxa"/>
            <w:vAlign w:val="bottom"/>
            <w:tcBorders>
              <w:bottom w:val="single" w:sz="8" w:color="959595"/>
            </w:tcBorders>
          </w:tcPr>
          <w:p>
            <w:pPr>
              <w:spacing w:after="0"/>
              <w:rPr>
                <w:sz w:val="10"/>
                <w:szCs w:val="10"/>
                <w:color w:val="auto"/>
              </w:rPr>
            </w:pPr>
          </w:p>
        </w:tc>
        <w:tc>
          <w:tcPr>
            <w:tcW w:w="2240" w:type="dxa"/>
            <w:vAlign w:val="bottom"/>
            <w:tcBorders>
              <w:bottom w:val="single" w:sz="8" w:color="959595"/>
            </w:tcBorders>
          </w:tcPr>
          <w:p>
            <w:pPr>
              <w:spacing w:after="0"/>
              <w:rPr>
                <w:sz w:val="10"/>
                <w:szCs w:val="10"/>
                <w:color w:val="auto"/>
              </w:rPr>
            </w:pPr>
          </w:p>
        </w:tc>
        <w:tc>
          <w:tcPr>
            <w:tcW w:w="200" w:type="dxa"/>
            <w:vAlign w:val="bottom"/>
            <w:tcBorders>
              <w:bottom w:val="single" w:sz="8" w:color="959595"/>
            </w:tcBorders>
          </w:tcPr>
          <w:p>
            <w:pPr>
              <w:spacing w:after="0"/>
              <w:rPr>
                <w:sz w:val="10"/>
                <w:szCs w:val="10"/>
                <w:color w:val="auto"/>
              </w:rPr>
            </w:pPr>
          </w:p>
        </w:tc>
        <w:tc>
          <w:tcPr>
            <w:tcW w:w="2040" w:type="dxa"/>
            <w:vAlign w:val="bottom"/>
            <w:tcBorders>
              <w:bottom w:val="single" w:sz="8" w:color="959595"/>
            </w:tcBorders>
          </w:tcPr>
          <w:p>
            <w:pPr>
              <w:jc w:val="center"/>
              <w:spacing w:after="0" w:line="122" w:lineRule="exact"/>
              <w:rPr>
                <w:sz w:val="20"/>
                <w:szCs w:val="20"/>
                <w:color w:val="auto"/>
              </w:rPr>
            </w:pPr>
            <w:r>
              <w:rPr>
                <w:rFonts w:ascii="Arial" w:cs="Arial" w:eastAsia="Arial" w:hAnsi="Arial"/>
                <w:sz w:val="13"/>
                <w:szCs w:val="13"/>
                <w:color w:val="auto"/>
              </w:rPr>
              <w:t>Performance Cycle</w:t>
            </w:r>
          </w:p>
        </w:tc>
        <w:tc>
          <w:tcPr>
            <w:tcW w:w="1900" w:type="dxa"/>
            <w:vAlign w:val="bottom"/>
            <w:tcBorders>
              <w:bottom w:val="single" w:sz="8" w:color="959595"/>
            </w:tcBorders>
          </w:tcPr>
          <w:p>
            <w:pPr>
              <w:jc w:val="center"/>
              <w:spacing w:after="0" w:line="122" w:lineRule="exact"/>
              <w:rPr>
                <w:sz w:val="20"/>
                <w:szCs w:val="20"/>
                <w:color w:val="auto"/>
              </w:rPr>
            </w:pPr>
            <w:r>
              <w:rPr>
                <w:rFonts w:ascii="Arial" w:cs="Arial" w:eastAsia="Arial" w:hAnsi="Arial"/>
                <w:sz w:val="13"/>
                <w:szCs w:val="13"/>
                <w:color w:val="auto"/>
              </w:rPr>
              <w:t>Performance Cycle</w:t>
            </w:r>
          </w:p>
        </w:tc>
        <w:tc>
          <w:tcPr>
            <w:tcW w:w="1900" w:type="dxa"/>
            <w:vAlign w:val="bottom"/>
            <w:tcBorders>
              <w:bottom w:val="single" w:sz="8" w:color="959595"/>
            </w:tcBorders>
          </w:tcPr>
          <w:p>
            <w:pPr>
              <w:jc w:val="center"/>
              <w:ind w:left="50"/>
              <w:spacing w:after="0" w:line="122" w:lineRule="exact"/>
              <w:rPr>
                <w:sz w:val="20"/>
                <w:szCs w:val="20"/>
                <w:color w:val="auto"/>
              </w:rPr>
            </w:pPr>
            <w:r>
              <w:rPr>
                <w:rFonts w:ascii="Arial" w:cs="Arial" w:eastAsia="Arial" w:hAnsi="Arial"/>
                <w:sz w:val="13"/>
                <w:szCs w:val="13"/>
                <w:color w:val="auto"/>
              </w:rPr>
              <w:t>Cliff Vesting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70% Financial</w:t>
            </w:r>
          </w:p>
        </w:tc>
        <w:tc>
          <w:tcPr>
            <w:tcW w:w="200" w:type="dxa"/>
            <w:vAlign w:val="bottom"/>
          </w:tcPr>
          <w:p>
            <w:pPr>
              <w:spacing w:after="0"/>
              <w:rPr>
                <w:sz w:val="12"/>
                <w:szCs w:val="12"/>
                <w:color w:val="auto"/>
              </w:rPr>
            </w:pPr>
          </w:p>
        </w:tc>
        <w:tc>
          <w:tcPr>
            <w:tcW w:w="3940" w:type="dxa"/>
            <w:vAlign w:val="bottom"/>
            <w:gridSpan w:val="2"/>
          </w:tcPr>
          <w:p>
            <w:pPr>
              <w:jc w:val="right"/>
              <w:ind w:right="1390"/>
              <w:spacing w:after="0" w:line="142" w:lineRule="exact"/>
              <w:rPr>
                <w:sz w:val="20"/>
                <w:szCs w:val="20"/>
                <w:color w:val="auto"/>
              </w:rPr>
            </w:pPr>
            <w:r>
              <w:rPr>
                <w:rFonts w:ascii="Arial" w:cs="Arial" w:eastAsia="Arial" w:hAnsi="Arial"/>
                <w:sz w:val="14"/>
                <w:szCs w:val="14"/>
                <w:b w:val="1"/>
                <w:bCs w:val="1"/>
                <w:color w:val="auto"/>
              </w:rPr>
              <w:t>Relative TSR* (50%)</w:t>
            </w: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080" w:type="dxa"/>
            <w:vAlign w:val="bottom"/>
            <w:vMerge w:val="restart"/>
          </w:tcPr>
          <w:p>
            <w:pPr>
              <w:ind w:left="20"/>
              <w:spacing w:after="0" w:line="140" w:lineRule="exact"/>
              <w:rPr>
                <w:sz w:val="20"/>
                <w:szCs w:val="20"/>
                <w:color w:val="auto"/>
              </w:rPr>
            </w:pPr>
            <w:r>
              <w:rPr>
                <w:rFonts w:ascii="Arial" w:cs="Arial" w:eastAsia="Arial" w:hAnsi="Arial"/>
                <w:sz w:val="16"/>
                <w:szCs w:val="16"/>
                <w:color w:val="auto"/>
              </w:rPr>
              <w:t>HOW?</w:t>
            </w:r>
          </w:p>
        </w:tc>
        <w:tc>
          <w:tcPr>
            <w:tcW w:w="1620" w:type="dxa"/>
            <w:vAlign w:val="bottom"/>
            <w:vMerge w:val="restart"/>
          </w:tcPr>
          <w:p>
            <w:pPr>
              <w:ind w:left="20"/>
              <w:spacing w:after="0" w:line="140" w:lineRule="exact"/>
              <w:rPr>
                <w:sz w:val="20"/>
                <w:szCs w:val="20"/>
                <w:color w:val="auto"/>
              </w:rPr>
            </w:pPr>
            <w:r>
              <w:rPr>
                <w:rFonts w:ascii="Arial" w:cs="Arial" w:eastAsia="Arial" w:hAnsi="Arial"/>
                <w:sz w:val="14"/>
                <w:szCs w:val="14"/>
                <w:color w:val="auto"/>
              </w:rPr>
              <w:t>Market rate, as well as</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940" w:type="dxa"/>
            <w:vAlign w:val="bottom"/>
            <w:gridSpan w:val="2"/>
            <w:vMerge w:val="restart"/>
          </w:tcPr>
          <w:p>
            <w:pPr>
              <w:jc w:val="right"/>
              <w:ind w:right="1390"/>
              <w:spacing w:after="0" w:line="140" w:lineRule="exact"/>
              <w:rPr>
                <w:sz w:val="20"/>
                <w:szCs w:val="20"/>
                <w:color w:val="auto"/>
              </w:rPr>
            </w:pPr>
            <w:r>
              <w:rPr>
                <w:rFonts w:ascii="Arial" w:cs="Arial" w:eastAsia="Arial" w:hAnsi="Arial"/>
                <w:sz w:val="14"/>
                <w:szCs w:val="14"/>
                <w:b w:val="1"/>
                <w:bCs w:val="1"/>
                <w:color w:val="auto"/>
              </w:rPr>
              <w:t>ROIC** (25%)</w:t>
            </w:r>
          </w:p>
        </w:tc>
        <w:tc>
          <w:tcPr>
            <w:tcW w:w="1900" w:type="dxa"/>
            <w:vAlign w:val="bottom"/>
            <w:vMerge w:val="restart"/>
          </w:tcPr>
          <w:p>
            <w:pPr>
              <w:ind w:left="140"/>
              <w:spacing w:after="0" w:line="140" w:lineRule="exact"/>
              <w:rPr>
                <w:sz w:val="20"/>
                <w:szCs w:val="20"/>
                <w:color w:val="auto"/>
              </w:rPr>
            </w:pPr>
            <w:r>
              <w:rPr>
                <w:rFonts w:ascii="Arial" w:cs="Arial" w:eastAsia="Arial" w:hAnsi="Arial"/>
                <w:sz w:val="14"/>
                <w:szCs w:val="14"/>
                <w:color w:val="auto"/>
              </w:rPr>
              <w:t>Value delivered through</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080" w:type="dxa"/>
            <w:vAlign w:val="bottom"/>
            <w:vMerge w:val="continue"/>
          </w:tcPr>
          <w:p>
            <w:pPr>
              <w:spacing w:after="0"/>
              <w:rPr>
                <w:sz w:val="2"/>
                <w:szCs w:val="2"/>
                <w:color w:val="auto"/>
              </w:rPr>
            </w:pPr>
          </w:p>
        </w:tc>
        <w:tc>
          <w:tcPr>
            <w:tcW w:w="1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940" w:type="dxa"/>
            <w:vAlign w:val="bottom"/>
            <w:gridSpan w:val="2"/>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tcPr>
          <w:p>
            <w:pPr>
              <w:spacing w:after="0"/>
              <w:rPr>
                <w:sz w:val="13"/>
                <w:szCs w:val="13"/>
                <w:color w:val="auto"/>
              </w:rPr>
            </w:pPr>
          </w:p>
        </w:tc>
        <w:tc>
          <w:tcPr>
            <w:tcW w:w="1620" w:type="dxa"/>
            <w:vAlign w:val="bottom"/>
          </w:tcPr>
          <w:p>
            <w:pPr>
              <w:ind w:left="20"/>
              <w:spacing w:after="0" w:line="157" w:lineRule="exact"/>
              <w:rPr>
                <w:sz w:val="20"/>
                <w:szCs w:val="20"/>
                <w:color w:val="auto"/>
              </w:rPr>
            </w:pPr>
            <w:r>
              <w:rPr>
                <w:rFonts w:ascii="Arial" w:cs="Arial" w:eastAsia="Arial" w:hAnsi="Arial"/>
                <w:sz w:val="14"/>
                <w:szCs w:val="14"/>
                <w:color w:val="auto"/>
              </w:rPr>
              <w:t>internal pay equity,</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tcPr>
          <w:p>
            <w:pPr>
              <w:ind w:left="20"/>
              <w:spacing w:after="0" w:line="157" w:lineRule="exact"/>
              <w:rPr>
                <w:sz w:val="20"/>
                <w:szCs w:val="20"/>
                <w:color w:val="auto"/>
              </w:rPr>
            </w:pPr>
            <w:r>
              <w:rPr>
                <w:rFonts w:ascii="Arial" w:cs="Arial" w:eastAsia="Arial" w:hAnsi="Arial"/>
                <w:sz w:val="14"/>
                <w:szCs w:val="14"/>
                <w:color w:val="auto"/>
              </w:rPr>
              <w:t>20% Sales, 40% Segment</w:t>
            </w:r>
          </w:p>
        </w:tc>
        <w:tc>
          <w:tcPr>
            <w:tcW w:w="200" w:type="dxa"/>
            <w:vAlign w:val="bottom"/>
          </w:tcPr>
          <w:p>
            <w:pPr>
              <w:spacing w:after="0"/>
              <w:rPr>
                <w:sz w:val="13"/>
                <w:szCs w:val="13"/>
                <w:color w:val="auto"/>
              </w:rPr>
            </w:pPr>
          </w:p>
        </w:tc>
        <w:tc>
          <w:tcPr>
            <w:tcW w:w="3940" w:type="dxa"/>
            <w:vAlign w:val="bottom"/>
            <w:gridSpan w:val="2"/>
          </w:tcPr>
          <w:p>
            <w:pPr>
              <w:jc w:val="right"/>
              <w:ind w:right="1390"/>
              <w:spacing w:after="0" w:line="157" w:lineRule="exact"/>
              <w:rPr>
                <w:sz w:val="20"/>
                <w:szCs w:val="20"/>
                <w:color w:val="auto"/>
              </w:rPr>
            </w:pPr>
            <w:r>
              <w:rPr>
                <w:rFonts w:ascii="Arial" w:cs="Arial" w:eastAsia="Arial" w:hAnsi="Arial"/>
                <w:sz w:val="14"/>
                <w:szCs w:val="14"/>
                <w:b w:val="1"/>
                <w:bCs w:val="1"/>
                <w:color w:val="auto"/>
              </w:rPr>
              <w:t>Performance Cash** (25%)</w:t>
            </w:r>
          </w:p>
        </w:tc>
        <w:tc>
          <w:tcPr>
            <w:tcW w:w="1900" w:type="dxa"/>
            <w:vAlign w:val="bottom"/>
          </w:tcPr>
          <w:p>
            <w:pPr>
              <w:ind w:left="140"/>
              <w:spacing w:after="0" w:line="157" w:lineRule="exact"/>
              <w:rPr>
                <w:sz w:val="20"/>
                <w:szCs w:val="20"/>
                <w:color w:val="auto"/>
              </w:rPr>
            </w:pPr>
            <w:r>
              <w:rPr>
                <w:rFonts w:ascii="Arial" w:cs="Arial" w:eastAsia="Arial" w:hAnsi="Arial"/>
                <w:sz w:val="14"/>
                <w:szCs w:val="14"/>
                <w:color w:val="auto"/>
              </w:rPr>
              <w:t>long-term stock price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80" w:type="dxa"/>
            <w:vAlign w:val="bottom"/>
            <w:vMerge w:val="restart"/>
          </w:tcPr>
          <w:p>
            <w:pPr>
              <w:ind w:left="20"/>
              <w:spacing w:after="0"/>
              <w:rPr>
                <w:sz w:val="20"/>
                <w:szCs w:val="20"/>
                <w:color w:val="auto"/>
              </w:rPr>
            </w:pPr>
            <w:r>
              <w:rPr>
                <w:rFonts w:ascii="Arial" w:cs="Arial" w:eastAsia="Arial" w:hAnsi="Arial"/>
                <w:sz w:val="14"/>
                <w:szCs w:val="14"/>
                <w:color w:val="auto"/>
              </w:rPr>
              <w:t>Measures,</w:t>
            </w:r>
          </w:p>
        </w:tc>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experience and critical</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Operating Profit**, 40% Cash from</w:t>
            </w:r>
          </w:p>
        </w:tc>
        <w:tc>
          <w:tcPr>
            <w:tcW w:w="200" w:type="dxa"/>
            <w:vAlign w:val="bottom"/>
          </w:tcPr>
          <w:p>
            <w:pPr>
              <w:spacing w:after="0"/>
              <w:rPr>
                <w:sz w:val="11"/>
                <w:szCs w:val="11"/>
                <w:color w:val="auto"/>
              </w:rPr>
            </w:pPr>
          </w:p>
        </w:tc>
        <w:tc>
          <w:tcPr>
            <w:tcW w:w="2040" w:type="dxa"/>
            <w:vAlign w:val="bottom"/>
            <w:tcBorders>
              <w:bottom w:val="single" w:sz="8" w:color="959595"/>
            </w:tcBorders>
          </w:tcPr>
          <w:p>
            <w:pPr>
              <w:spacing w:after="0"/>
              <w:rPr>
                <w:sz w:val="11"/>
                <w:szCs w:val="11"/>
                <w:color w:val="auto"/>
              </w:rPr>
            </w:pPr>
          </w:p>
        </w:tc>
        <w:tc>
          <w:tcPr>
            <w:tcW w:w="1900" w:type="dxa"/>
            <w:vAlign w:val="bottom"/>
            <w:tcBorders>
              <w:bottom w:val="single" w:sz="8" w:color="959595"/>
            </w:tcBorders>
          </w:tcPr>
          <w:p>
            <w:pPr>
              <w:spacing w:after="0"/>
              <w:rPr>
                <w:sz w:val="11"/>
                <w:szCs w:val="11"/>
                <w:color w:val="auto"/>
              </w:rPr>
            </w:pPr>
          </w:p>
        </w:tc>
        <w:tc>
          <w:tcPr>
            <w:tcW w:w="1900" w:type="dxa"/>
            <w:vAlign w:val="bottom"/>
            <w:vMerge w:val="restart"/>
          </w:tcPr>
          <w:p>
            <w:pPr>
              <w:ind w:left="140"/>
              <w:spacing w:after="0"/>
              <w:rPr>
                <w:sz w:val="20"/>
                <w:szCs w:val="20"/>
                <w:color w:val="auto"/>
              </w:rPr>
            </w:pPr>
            <w:r>
              <w:rPr>
                <w:rFonts w:ascii="Arial" w:cs="Arial" w:eastAsia="Arial" w:hAnsi="Arial"/>
                <w:sz w:val="14"/>
                <w:szCs w:val="14"/>
                <w:color w:val="auto"/>
              </w:rPr>
              <w:t>performance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080" w:type="dxa"/>
            <w:vAlign w:val="bottom"/>
          </w:tcPr>
          <w:p>
            <w:pPr>
              <w:ind w:left="20"/>
              <w:spacing w:after="0" w:line="100" w:lineRule="exact"/>
              <w:rPr>
                <w:sz w:val="20"/>
                <w:szCs w:val="20"/>
                <w:color w:val="auto"/>
              </w:rPr>
            </w:pPr>
            <w:r>
              <w:rPr>
                <w:rFonts w:ascii="Arial" w:cs="Arial" w:eastAsia="Arial" w:hAnsi="Arial"/>
                <w:sz w:val="11"/>
                <w:szCs w:val="11"/>
                <w:color w:val="auto"/>
              </w:rPr>
              <w:t>Weightings &amp;</w:t>
            </w:r>
          </w:p>
        </w:tc>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skills</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tcPr>
          <w:p>
            <w:pPr>
              <w:ind w:left="20"/>
              <w:spacing w:after="0" w:line="100" w:lineRule="exact"/>
              <w:rPr>
                <w:sz w:val="20"/>
                <w:szCs w:val="20"/>
                <w:color w:val="auto"/>
              </w:rPr>
            </w:pPr>
            <w:r>
              <w:rPr>
                <w:rFonts w:ascii="Arial" w:cs="Arial" w:eastAsia="Arial" w:hAnsi="Arial"/>
                <w:sz w:val="11"/>
                <w:szCs w:val="11"/>
                <w:color w:val="auto"/>
              </w:rPr>
              <w:t>Operations***</w:t>
            </w:r>
          </w:p>
        </w:tc>
        <w:tc>
          <w:tcPr>
            <w:tcW w:w="200" w:type="dxa"/>
            <w:vAlign w:val="bottom"/>
          </w:tcPr>
          <w:p>
            <w:pPr>
              <w:spacing w:after="0"/>
              <w:rPr>
                <w:sz w:val="8"/>
                <w:szCs w:val="8"/>
                <w:color w:val="auto"/>
              </w:rPr>
            </w:pPr>
          </w:p>
        </w:tc>
        <w:tc>
          <w:tcPr>
            <w:tcW w:w="2040" w:type="dxa"/>
            <w:vAlign w:val="bottom"/>
            <w:vMerge w:val="restart"/>
          </w:tcPr>
          <w:p>
            <w:pPr>
              <w:ind w:left="60"/>
              <w:spacing w:after="0"/>
              <w:rPr>
                <w:sz w:val="20"/>
                <w:szCs w:val="20"/>
                <w:color w:val="auto"/>
              </w:rPr>
            </w:pPr>
            <w:r>
              <w:rPr>
                <w:rFonts w:ascii="Arial" w:cs="Arial" w:eastAsia="Arial" w:hAnsi="Arial"/>
                <w:sz w:val="14"/>
                <w:szCs w:val="14"/>
                <w:color w:val="auto"/>
              </w:rPr>
              <w:t>•  Award 0-200% of target #</w:t>
            </w: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rPr>
              <w:t>•  Payout 0-200% of target</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80" w:type="dxa"/>
            <w:vAlign w:val="bottom"/>
            <w:vMerge w:val="restart"/>
          </w:tcPr>
          <w:p>
            <w:pPr>
              <w:ind w:left="20"/>
              <w:spacing w:after="0"/>
              <w:rPr>
                <w:sz w:val="20"/>
                <w:szCs w:val="20"/>
                <w:color w:val="auto"/>
              </w:rPr>
            </w:pPr>
            <w:r>
              <w:rPr>
                <w:rFonts w:ascii="Arial" w:cs="Arial" w:eastAsia="Arial" w:hAnsi="Arial"/>
                <w:sz w:val="14"/>
                <w:szCs w:val="14"/>
                <w:color w:val="auto"/>
              </w:rPr>
              <w:t>Payouts</w:t>
            </w:r>
          </w:p>
        </w:tc>
        <w:tc>
          <w:tcPr>
            <w:tcW w:w="1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30% Strategic &amp; Operational</w:t>
            </w:r>
          </w:p>
        </w:tc>
        <w:tc>
          <w:tcPr>
            <w:tcW w:w="2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08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color w:val="auto"/>
              </w:rPr>
              <w:t>of shares</w:t>
            </w:r>
          </w:p>
        </w:tc>
        <w:tc>
          <w:tcPr>
            <w:tcW w:w="1900" w:type="dxa"/>
            <w:vAlign w:val="bottom"/>
            <w:vMerge w:val="restart"/>
          </w:tcPr>
          <w:p>
            <w:pPr>
              <w:jc w:val="right"/>
              <w:ind w:right="90"/>
              <w:spacing w:after="0"/>
              <w:rPr>
                <w:sz w:val="20"/>
                <w:szCs w:val="20"/>
                <w:color w:val="auto"/>
              </w:rPr>
            </w:pPr>
            <w:r>
              <w:rPr>
                <w:rFonts w:ascii="Arial" w:cs="Arial" w:eastAsia="Arial" w:hAnsi="Arial"/>
                <w:sz w:val="14"/>
                <w:szCs w:val="14"/>
                <w:color w:val="auto"/>
              </w:rPr>
              <w:t>•  Relative TSR measure</w:t>
            </w:r>
          </w:p>
        </w:tc>
        <w:tc>
          <w:tcPr>
            <w:tcW w:w="1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Key Metrics: Focus Programs,</w:t>
            </w:r>
          </w:p>
        </w:tc>
        <w:tc>
          <w:tcPr>
            <w:tcW w:w="20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vMerge w:val="restart"/>
          </w:tcPr>
          <w:p>
            <w:pPr>
              <w:ind w:left="60"/>
              <w:spacing w:after="0"/>
              <w:rPr>
                <w:sz w:val="20"/>
                <w:szCs w:val="20"/>
                <w:color w:val="auto"/>
              </w:rPr>
            </w:pPr>
            <w:r>
              <w:rPr>
                <w:rFonts w:ascii="Arial" w:cs="Arial" w:eastAsia="Arial" w:hAnsi="Arial"/>
                <w:sz w:val="14"/>
                <w:szCs w:val="14"/>
                <w:color w:val="auto"/>
              </w:rPr>
              <w:t>•  Relative TSR measure</w:t>
            </w:r>
          </w:p>
        </w:tc>
        <w:tc>
          <w:tcPr>
            <w:tcW w:w="1900" w:type="dxa"/>
            <w:vAlign w:val="bottom"/>
            <w:vMerge w:val="restart"/>
          </w:tcPr>
          <w:p>
            <w:pPr>
              <w:jc w:val="center"/>
              <w:ind w:left="10"/>
              <w:spacing w:after="0"/>
              <w:rPr>
                <w:sz w:val="20"/>
                <w:szCs w:val="20"/>
                <w:color w:val="auto"/>
              </w:rPr>
            </w:pPr>
            <w:r>
              <w:rPr>
                <w:rFonts w:ascii="Arial" w:cs="Arial" w:eastAsia="Arial" w:hAnsi="Arial"/>
                <w:sz w:val="14"/>
                <w:szCs w:val="14"/>
                <w:color w:val="auto"/>
              </w:rPr>
              <w:t>capped at 100% if TSR is</w:t>
            </w: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International, Mission Success®,</w:t>
            </w:r>
          </w:p>
        </w:tc>
        <w:tc>
          <w:tcPr>
            <w:tcW w:w="20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color w:val="auto"/>
              </w:rPr>
              <w:t>capped at 100% if TSR is</w:t>
            </w:r>
          </w:p>
        </w:tc>
        <w:tc>
          <w:tcPr>
            <w:tcW w:w="1900" w:type="dxa"/>
            <w:vAlign w:val="bottom"/>
            <w:vMerge w:val="restart"/>
          </w:tcPr>
          <w:p>
            <w:pPr>
              <w:jc w:val="right"/>
              <w:ind w:right="1110"/>
              <w:spacing w:after="0"/>
              <w:rPr>
                <w:sz w:val="20"/>
                <w:szCs w:val="20"/>
                <w:color w:val="auto"/>
              </w:rPr>
            </w:pPr>
            <w:r>
              <w:rPr>
                <w:rFonts w:ascii="Arial" w:cs="Arial" w:eastAsia="Arial" w:hAnsi="Arial"/>
                <w:sz w:val="14"/>
                <w:szCs w:val="14"/>
                <w:color w:val="auto"/>
              </w:rPr>
              <w:t>negative</w:t>
            </w: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Program Performance, Portfolio</w:t>
            </w:r>
          </w:p>
        </w:tc>
        <w:tc>
          <w:tcPr>
            <w:tcW w:w="20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color w:val="auto"/>
              </w:rPr>
              <w:t>negative</w:t>
            </w:r>
          </w:p>
        </w:tc>
        <w:tc>
          <w:tcPr>
            <w:tcW w:w="1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Shaping/Enterprise Initiatives,</w:t>
            </w:r>
          </w:p>
        </w:tc>
        <w:tc>
          <w:tcPr>
            <w:tcW w:w="20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vMerge w:val="restart"/>
          </w:tcPr>
          <w:p>
            <w:pPr>
              <w:ind w:left="60"/>
              <w:spacing w:after="0"/>
              <w:rPr>
                <w:sz w:val="20"/>
                <w:szCs w:val="20"/>
                <w:color w:val="auto"/>
              </w:rPr>
            </w:pPr>
            <w:r>
              <w:rPr>
                <w:rFonts w:ascii="Arial" w:cs="Arial" w:eastAsia="Arial" w:hAnsi="Arial"/>
                <w:sz w:val="14"/>
                <w:szCs w:val="14"/>
                <w:color w:val="auto"/>
              </w:rPr>
              <w:t>•  Value capped at 400% of</w:t>
            </w:r>
          </w:p>
        </w:tc>
        <w:tc>
          <w:tcPr>
            <w:tcW w:w="1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Innovation, Talent Management</w:t>
            </w:r>
          </w:p>
        </w:tc>
        <w:tc>
          <w:tcPr>
            <w:tcW w:w="20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color w:val="auto"/>
              </w:rPr>
              <w:t>stock price on date of grant</w:t>
            </w:r>
          </w:p>
        </w:tc>
        <w:tc>
          <w:tcPr>
            <w:tcW w:w="1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Payout: 0-200% of target</w:t>
            </w:r>
          </w:p>
        </w:tc>
        <w:tc>
          <w:tcPr>
            <w:tcW w:w="20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tcPr>
          <w:p>
            <w:pPr>
              <w:ind w:left="140"/>
              <w:spacing w:after="0"/>
              <w:rPr>
                <w:sz w:val="20"/>
                <w:szCs w:val="20"/>
                <w:color w:val="auto"/>
              </w:rPr>
            </w:pPr>
            <w:r>
              <w:rPr>
                <w:rFonts w:ascii="Arial" w:cs="Arial" w:eastAsia="Arial" w:hAnsi="Arial"/>
                <w:sz w:val="14"/>
                <w:szCs w:val="14"/>
                <w:color w:val="auto"/>
              </w:rPr>
              <w:t>x shares earned</w:t>
            </w:r>
          </w:p>
        </w:tc>
        <w:tc>
          <w:tcPr>
            <w:tcW w:w="1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-2023745</wp:posOffset>
            </wp:positionV>
            <wp:extent cx="8255"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-2023745</wp:posOffset>
            </wp:positionV>
            <wp:extent cx="889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-2023745</wp:posOffset>
            </wp:positionV>
            <wp:extent cx="8255"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-2023745</wp:posOffset>
            </wp:positionV>
            <wp:extent cx="8255"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-1834515</wp:posOffset>
            </wp:positionV>
            <wp:extent cx="8731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73125" cy="889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WHY?</w:t>
            </w:r>
          </w:p>
        </w:tc>
        <w:tc>
          <w:tcPr>
            <w:tcW w:w="1880" w:type="dxa"/>
            <w:vAlign w:val="bottom"/>
            <w:vMerge w:val="restart"/>
          </w:tcPr>
          <w:p>
            <w:pPr>
              <w:ind w:left="280"/>
              <w:spacing w:after="0"/>
              <w:rPr>
                <w:sz w:val="20"/>
                <w:szCs w:val="20"/>
                <w:color w:val="auto"/>
              </w:rPr>
            </w:pPr>
            <w:r>
              <w:rPr>
                <w:rFonts w:ascii="Arial" w:cs="Arial" w:eastAsia="Arial" w:hAnsi="Arial"/>
                <w:sz w:val="14"/>
                <w:szCs w:val="14"/>
                <w:color w:val="auto"/>
              </w:rPr>
              <w:t>Provides competitive</w:t>
            </w:r>
          </w:p>
        </w:tc>
        <w:tc>
          <w:tcPr>
            <w:tcW w:w="2420" w:type="dxa"/>
            <w:vAlign w:val="bottom"/>
            <w:vMerge w:val="restart"/>
          </w:tcPr>
          <w:p>
            <w:pPr>
              <w:ind w:left="280"/>
              <w:spacing w:after="0"/>
              <w:rPr>
                <w:sz w:val="20"/>
                <w:szCs w:val="20"/>
                <w:color w:val="auto"/>
              </w:rPr>
            </w:pPr>
            <w:r>
              <w:rPr>
                <w:rFonts w:ascii="Arial" w:cs="Arial" w:eastAsia="Arial" w:hAnsi="Arial"/>
                <w:sz w:val="14"/>
                <w:szCs w:val="14"/>
                <w:color w:val="auto"/>
              </w:rPr>
              <w:t>Attracts and motivates executives</w:t>
            </w:r>
          </w:p>
        </w:tc>
        <w:tc>
          <w:tcPr>
            <w:tcW w:w="0" w:type="dxa"/>
            <w:vAlign w:val="bottom"/>
          </w:tcPr>
          <w:p>
            <w:pPr>
              <w:spacing w:after="0"/>
              <w:rPr>
                <w:sz w:val="1"/>
                <w:szCs w:val="1"/>
                <w:color w:val="auto"/>
              </w:rPr>
            </w:pPr>
          </w:p>
        </w:tc>
      </w:tr>
      <w:tr>
        <w:trPr>
          <w:trHeight w:val="100"/>
        </w:trPr>
        <w:tc>
          <w:tcPr>
            <w:tcW w:w="80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880" w:type="dxa"/>
            <w:vAlign w:val="bottom"/>
          </w:tcPr>
          <w:p>
            <w:pPr>
              <w:ind w:left="280"/>
              <w:spacing w:after="0"/>
              <w:rPr>
                <w:sz w:val="20"/>
                <w:szCs w:val="20"/>
                <w:color w:val="auto"/>
              </w:rPr>
            </w:pPr>
            <w:r>
              <w:rPr>
                <w:rFonts w:ascii="Arial" w:cs="Arial" w:eastAsia="Arial" w:hAnsi="Arial"/>
                <w:sz w:val="14"/>
                <w:szCs w:val="14"/>
                <w:color w:val="auto"/>
              </w:rPr>
              <w:t>levels of fixed pay to</w:t>
            </w:r>
          </w:p>
        </w:tc>
        <w:tc>
          <w:tcPr>
            <w:tcW w:w="2420" w:type="dxa"/>
            <w:vAlign w:val="bottom"/>
          </w:tcPr>
          <w:p>
            <w:pPr>
              <w:ind w:left="280"/>
              <w:spacing w:after="0"/>
              <w:rPr>
                <w:sz w:val="20"/>
                <w:szCs w:val="20"/>
                <w:color w:val="auto"/>
              </w:rPr>
            </w:pPr>
            <w:r>
              <w:rPr>
                <w:rFonts w:ascii="Arial" w:cs="Arial" w:eastAsia="Arial" w:hAnsi="Arial"/>
                <w:sz w:val="14"/>
                <w:szCs w:val="14"/>
                <w:color w:val="auto"/>
              </w:rPr>
              <w:t>by linking annual Corporation</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880" w:type="dxa"/>
            <w:vAlign w:val="bottom"/>
          </w:tcPr>
          <w:p>
            <w:pPr>
              <w:ind w:left="280"/>
              <w:spacing w:after="0"/>
              <w:rPr>
                <w:sz w:val="20"/>
                <w:szCs w:val="20"/>
                <w:color w:val="auto"/>
              </w:rPr>
            </w:pPr>
            <w:r>
              <w:rPr>
                <w:rFonts w:ascii="Arial" w:cs="Arial" w:eastAsia="Arial" w:hAnsi="Arial"/>
                <w:sz w:val="14"/>
                <w:szCs w:val="14"/>
                <w:color w:val="auto"/>
              </w:rPr>
              <w:t>attract and retain</w:t>
            </w:r>
          </w:p>
        </w:tc>
        <w:tc>
          <w:tcPr>
            <w:tcW w:w="2420" w:type="dxa"/>
            <w:vAlign w:val="bottom"/>
          </w:tcPr>
          <w:p>
            <w:pPr>
              <w:ind w:left="280"/>
              <w:spacing w:after="0"/>
              <w:rPr>
                <w:sz w:val="20"/>
                <w:szCs w:val="20"/>
                <w:color w:val="auto"/>
              </w:rPr>
            </w:pPr>
            <w:r>
              <w:rPr>
                <w:rFonts w:ascii="Arial" w:cs="Arial" w:eastAsia="Arial" w:hAnsi="Arial"/>
                <w:sz w:val="14"/>
                <w:szCs w:val="14"/>
                <w:color w:val="auto"/>
              </w:rPr>
              <w:t>performance to an annual cash</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880" w:type="dxa"/>
            <w:vAlign w:val="bottom"/>
          </w:tcPr>
          <w:p>
            <w:pPr>
              <w:ind w:left="280"/>
              <w:spacing w:after="0"/>
              <w:rPr>
                <w:sz w:val="20"/>
                <w:szCs w:val="20"/>
                <w:color w:val="auto"/>
              </w:rPr>
            </w:pPr>
            <w:r>
              <w:rPr>
                <w:rFonts w:ascii="Arial" w:cs="Arial" w:eastAsia="Arial" w:hAnsi="Arial"/>
                <w:sz w:val="14"/>
                <w:szCs w:val="14"/>
                <w:color w:val="auto"/>
              </w:rPr>
              <w:t>executives.</w:t>
            </w:r>
          </w:p>
        </w:tc>
        <w:tc>
          <w:tcPr>
            <w:tcW w:w="2420" w:type="dxa"/>
            <w:vAlign w:val="bottom"/>
          </w:tcPr>
          <w:p>
            <w:pPr>
              <w:ind w:left="280"/>
              <w:spacing w:after="0"/>
              <w:rPr>
                <w:sz w:val="20"/>
                <w:szCs w:val="20"/>
                <w:color w:val="auto"/>
              </w:rPr>
            </w:pPr>
            <w:r>
              <w:rPr>
                <w:rFonts w:ascii="Arial" w:cs="Arial" w:eastAsia="Arial" w:hAnsi="Arial"/>
                <w:sz w:val="14"/>
                <w:szCs w:val="14"/>
                <w:color w:val="auto"/>
              </w:rPr>
              <w:t>incentive.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Creates strong alignment with stockholder interests by linking long-term pay to key performance metrics and stock price. Provides a balance of internal and market-based measures to assess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73660</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right="80"/>
        <w:spacing w:after="0" w:line="270" w:lineRule="auto"/>
        <w:rPr>
          <w:sz w:val="20"/>
          <w:szCs w:val="20"/>
          <w:color w:val="auto"/>
        </w:rPr>
      </w:pPr>
      <w:r>
        <w:rPr>
          <w:rFonts w:ascii="Arial" w:cs="Arial" w:eastAsia="Arial" w:hAnsi="Arial"/>
          <w:sz w:val="14"/>
          <w:szCs w:val="14"/>
          <w:color w:val="auto"/>
        </w:rPr>
        <w:t>Promotes retention of key talent and aligns executive and stockholder interests.</w:t>
      </w:r>
    </w:p>
    <w:p>
      <w:pPr>
        <w:spacing w:after="0" w:line="373" w:lineRule="exact"/>
        <w:rPr>
          <w:sz w:val="20"/>
          <w:szCs w:val="20"/>
          <w:color w:val="auto"/>
        </w:rPr>
      </w:pPr>
    </w:p>
    <w:p>
      <w:pPr>
        <w:sectPr>
          <w:pgSz w:w="11900" w:h="16838" w:orient="portrait"/>
          <w:cols w:equalWidth="0" w:num="3">
            <w:col w:w="5120" w:space="300"/>
            <w:col w:w="3900" w:space="160"/>
            <w:col w:w="1780"/>
          </w:cols>
          <w:pgMar w:left="320" w:top="609" w:right="319" w:bottom="1440" w:gutter="0" w:footer="0" w:header="0"/>
          <w:type w:val="continuous"/>
        </w:sectPr>
      </w:pPr>
    </w:p>
    <w:p>
      <w:pPr>
        <w:spacing w:after="0" w:line="42" w:lineRule="exact"/>
        <w:rPr>
          <w:sz w:val="20"/>
          <w:szCs w:val="20"/>
          <w:color w:val="auto"/>
        </w:rPr>
      </w:pPr>
    </w:p>
    <w:p>
      <w:pPr>
        <w:ind w:left="220" w:hanging="212"/>
        <w:spacing w:after="0"/>
        <w:tabs>
          <w:tab w:leader="none" w:pos="2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See page 52 for 2020-2022 Relative TSR Comparators.</w:t>
      </w:r>
    </w:p>
    <w:p>
      <w:pPr>
        <w:spacing w:after="0" w:line="15" w:lineRule="exact"/>
        <w:rPr>
          <w:sz w:val="20"/>
          <w:szCs w:val="20"/>
          <w:color w:val="auto"/>
        </w:rPr>
      </w:pPr>
    </w:p>
    <w:p>
      <w:pPr>
        <w:ind w:left="260" w:right="420" w:hanging="252"/>
        <w:spacing w:after="0" w:line="261" w:lineRule="auto"/>
        <w:tabs>
          <w:tab w:leader="none" w:pos="289"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Refer to Appendix A for an explanation of Non-GAAP terms as well as our disclosure regarding forward-looking statements concerning future performance or goals for future performance.</w:t>
      </w:r>
    </w:p>
    <w:p>
      <w:pPr>
        <w:ind w:left="220" w:hanging="212"/>
        <w:spacing w:after="0"/>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Adjusted for unplanned pension contributions pursuant to resolutions of the Compensation Committee.</w:t>
      </w:r>
    </w:p>
    <w:p>
      <w:pPr>
        <w:sectPr>
          <w:pgSz w:w="11900" w:h="16838" w:orient="portrait"/>
          <w:cols w:equalWidth="0" w:num="1">
            <w:col w:w="11260"/>
          </w:cols>
          <w:pgMar w:left="320" w:top="609" w:right="319"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47</w:t>
      </w:r>
    </w:p>
    <w:p>
      <w:pPr>
        <w:sectPr>
          <w:pgSz w:w="11900" w:h="16838" w:orient="portrait"/>
          <w:cols w:equalWidth="0" w:num="1">
            <w:col w:w="11260"/>
          </w:cols>
          <w:pgMar w:left="320" w:top="609" w:right="31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475C90"/>
        </w:rPr>
        <w:t>Base Salary</w:t>
      </w:r>
    </w:p>
    <w:p>
      <w:pPr>
        <w:spacing w:after="0" w:line="112"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Base salaries are reviewed and increased annually taking into account the market rate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the executive’s individual performance and internal pay equity. In establishing the base salary for each NEO, we determined the market rate using comparator group company data and evaluated whether the market rate should be adjusted up or down based on differences in the scope of the NEO’s position as compared to the industry and the comparator group companies.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475C90"/>
        </w:rPr>
        <w:t>2020 Annual Incentive</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has been the case since 2018, the 2020 annual incentive plan for our CEO, other NEOs and all other officers elected by the Board was based 70% on financial goals and 30% on strategic and operational goals measured at the Enterprise level, as illustrated in the graphic below. Although the annual incentive plan uses a formulaic approach, the Compensation Committee retains discretion in administering the plan, which discretion includes choosing and approving goals, assessing strategic and operational results and modifying payouts based on business segment and individual performance for any officer elected by the Board, including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56515</wp:posOffset>
            </wp:positionV>
            <wp:extent cx="4603115" cy="7543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6031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60"/>
        <w:spacing w:after="0" w:line="276" w:lineRule="auto"/>
        <w:rPr>
          <w:sz w:val="20"/>
          <w:szCs w:val="20"/>
          <w:color w:val="auto"/>
        </w:rPr>
      </w:pPr>
      <w:r>
        <w:rPr>
          <w:rFonts w:ascii="Arial" w:cs="Arial" w:eastAsia="Arial" w:hAnsi="Arial"/>
          <w:sz w:val="17"/>
          <w:szCs w:val="17"/>
          <w:color w:val="auto"/>
        </w:rPr>
        <w:t>Under the terms of our annual incentive plan, the CEO’s bonus and the bonus for each of the other NEOs cannot exceed 0.3% and 0.2%, respectively, of Cash from Operations. Annual incentive payouts range from 0% to 200% of target.</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002E6D"/>
        </w:rPr>
        <w:t>2020 Annual Incentive Goals and Results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At its February 2020 meeting, the Compensation Committee approved Enterprise-wide objectives for 2020 reflecting financial, strategic and operational goals. These goals are used as the Enterprise Component for all executives in the Corporation and serve as the only goals for the CEO, NEOs and all other officers elected by the Board. We have not made any modifications to our annual incentive goals in response to COVID-19 or the CARES Act.</w:t>
      </w:r>
    </w:p>
    <w:p>
      <w:pPr>
        <w:spacing w:after="0" w:line="7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color w:val="auto"/>
        </w:rPr>
        <w:t xml:space="preserve">Financial Assessment (70% Weight). </w:t>
      </w:r>
      <w:r>
        <w:rPr>
          <w:rFonts w:ascii="Arial" w:cs="Arial" w:eastAsia="Arial" w:hAnsi="Arial"/>
          <w:sz w:val="17"/>
          <w:szCs w:val="17"/>
          <w:color w:val="auto"/>
        </w:rPr>
        <w:t>The financial targets under the annual incentive plan align with the guidance we disclosed publicly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beginning of 2020. We believe this approach to setting the financial metrics for annual incentive purposes appropriately links compensation to our effectiveness in meeting our public commitments to our stockholders. Our financial commitments are established at the completion of our annual long-range planning process and are consistent with our long-range plan commitments. The long-range planning process includes reviews of the assumptions used by the business segments in generating their financial projections, such as industry trends and competitive assessments, current and future projected program performance levels and the risks and opportunities surrounding these baseline assumptions. The long-range plan on which our financial goals are based is tied to the business environment in which we operate and can vary year-over-year. Our long-range plan values for Sales, Segment Operating Profit (see Appendix A for definition of Non-GAAP terms) and Cash from Operations are set forth in the 2020 guidance we provided publicly to investors in January 2020 and represent the target level (100% performance) for each of these metrics. For the purposes of assessing performance under our annual incentive program, Cash from Operations results are adjusted for unplanned pension contributions, so that the impact on incentive compensation is not a factor in the decision to make the additional pension contribution. We established maximum (200% performance) and threshold payout levels (50% performance) around these targets based on a review of historical performance against long-range plan commitments for each of the three annual incentive metrics, which ensures the appropriate level of rigor on each of the threshold, target and maximum goals. We used straight-line interpolation between target and both maximum and minimum historical performance levels. The Compensation Committee reviewed the methodology and the targets established as part of its annual process during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2020 Financial Measures</w:t>
            </w:r>
          </w:p>
        </w:tc>
        <w:tc>
          <w:tcPr>
            <w:tcW w:w="2060" w:type="dxa"/>
            <w:vAlign w:val="bottom"/>
            <w:tcBorders>
              <w:bottom w:val="single" w:sz="8" w:color="E5E7EF"/>
            </w:tcBorders>
            <w:shd w:val="clear" w:color="auto" w:fill="E5E7EF"/>
          </w:tcPr>
          <w:p>
            <w:pPr>
              <w:jc w:val="center"/>
              <w:ind w:left="967"/>
              <w:spacing w:after="0"/>
              <w:rPr>
                <w:sz w:val="20"/>
                <w:szCs w:val="20"/>
                <w:color w:val="auto"/>
              </w:rPr>
            </w:pPr>
            <w:r>
              <w:rPr>
                <w:rFonts w:ascii="Arial" w:cs="Arial" w:eastAsia="Arial" w:hAnsi="Arial"/>
                <w:sz w:val="13"/>
                <w:szCs w:val="13"/>
                <w:color w:val="auto"/>
                <w:w w:val="93"/>
              </w:rPr>
              <w:t>Weight</w:t>
            </w:r>
          </w:p>
        </w:tc>
        <w:tc>
          <w:tcPr>
            <w:tcW w:w="1780" w:type="dxa"/>
            <w:vAlign w:val="bottom"/>
            <w:tcBorders>
              <w:bottom w:val="single" w:sz="8" w:color="E5E7EF"/>
            </w:tcBorders>
            <w:shd w:val="clear" w:color="auto" w:fill="E5E7EF"/>
          </w:tcPr>
          <w:p>
            <w:pPr>
              <w:jc w:val="right"/>
              <w:ind w:right="270"/>
              <w:spacing w:after="0"/>
              <w:rPr>
                <w:sz w:val="20"/>
                <w:szCs w:val="20"/>
                <w:color w:val="auto"/>
              </w:rPr>
            </w:pPr>
            <w:r>
              <w:rPr>
                <w:rFonts w:ascii="Arial" w:cs="Arial" w:eastAsia="Arial" w:hAnsi="Arial"/>
                <w:sz w:val="13"/>
                <w:szCs w:val="13"/>
                <w:color w:val="auto"/>
              </w:rPr>
              <w:t>2020 Goals ($)</w:t>
            </w:r>
          </w:p>
        </w:tc>
        <w:tc>
          <w:tcPr>
            <w:tcW w:w="1200" w:type="dxa"/>
            <w:vAlign w:val="bottom"/>
            <w:tcBorders>
              <w:bottom w:val="single" w:sz="8" w:color="E5E7EF"/>
            </w:tcBorders>
            <w:shd w:val="clear" w:color="auto" w:fill="E5E7EF"/>
          </w:tcPr>
          <w:p>
            <w:pPr>
              <w:jc w:val="right"/>
              <w:ind w:right="187"/>
              <w:spacing w:after="0"/>
              <w:rPr>
                <w:sz w:val="20"/>
                <w:szCs w:val="20"/>
                <w:color w:val="auto"/>
              </w:rPr>
            </w:pPr>
            <w:r>
              <w:rPr>
                <w:rFonts w:ascii="Arial" w:cs="Arial" w:eastAsia="Arial" w:hAnsi="Arial"/>
                <w:sz w:val="13"/>
                <w:szCs w:val="13"/>
                <w:color w:val="auto"/>
              </w:rPr>
              <w:t>Results ($)</w:t>
            </w:r>
          </w:p>
        </w:tc>
        <w:tc>
          <w:tcPr>
            <w:tcW w:w="1640" w:type="dxa"/>
            <w:vAlign w:val="bottom"/>
            <w:tcBorders>
              <w:bottom w:val="single" w:sz="8" w:color="E5E7EF"/>
            </w:tcBorders>
            <w:shd w:val="clear" w:color="auto" w:fill="E5E7EF"/>
          </w:tcPr>
          <w:p>
            <w:pPr>
              <w:jc w:val="right"/>
              <w:ind w:right="287"/>
              <w:spacing w:after="0"/>
              <w:rPr>
                <w:sz w:val="20"/>
                <w:szCs w:val="20"/>
                <w:color w:val="auto"/>
              </w:rPr>
            </w:pPr>
            <w:r>
              <w:rPr>
                <w:rFonts w:ascii="Arial" w:cs="Arial" w:eastAsia="Arial" w:hAnsi="Arial"/>
                <w:sz w:val="13"/>
                <w:szCs w:val="13"/>
                <w:color w:val="auto"/>
              </w:rPr>
              <w:t>Calculated Payout</w:t>
            </w:r>
          </w:p>
        </w:tc>
        <w:tc>
          <w:tcPr>
            <w:tcW w:w="13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Weighted Payout</w:t>
            </w:r>
          </w:p>
        </w:tc>
      </w:tr>
      <w:tr>
        <w:trPr>
          <w:trHeight w:val="196"/>
        </w:trPr>
        <w:tc>
          <w:tcPr>
            <w:tcW w:w="3220" w:type="dxa"/>
            <w:vAlign w:val="bottom"/>
            <w:tcBorders>
              <w:top w:val="single" w:sz="8" w:color="959595"/>
              <w:bottom w:val="single" w:sz="8" w:color="959595"/>
            </w:tcBorders>
          </w:tcPr>
          <w:p>
            <w:pPr>
              <w:ind w:left="20"/>
              <w:spacing w:after="0"/>
              <w:rPr>
                <w:sz w:val="20"/>
                <w:szCs w:val="20"/>
                <w:color w:val="auto"/>
              </w:rPr>
            </w:pPr>
            <w:r>
              <w:rPr>
                <w:rFonts w:ascii="Arial" w:cs="Arial" w:eastAsia="Arial" w:hAnsi="Arial"/>
                <w:sz w:val="15"/>
                <w:szCs w:val="15"/>
                <w:color w:val="auto"/>
              </w:rPr>
              <w:t>Sales</w:t>
            </w:r>
          </w:p>
        </w:tc>
        <w:tc>
          <w:tcPr>
            <w:tcW w:w="2060" w:type="dxa"/>
            <w:vAlign w:val="bottom"/>
            <w:tcBorders>
              <w:top w:val="single" w:sz="8" w:color="959595"/>
              <w:bottom w:val="single" w:sz="8" w:color="959595"/>
            </w:tcBorders>
          </w:tcPr>
          <w:p>
            <w:pPr>
              <w:jc w:val="center"/>
              <w:ind w:left="967"/>
              <w:spacing w:after="0"/>
              <w:rPr>
                <w:sz w:val="20"/>
                <w:szCs w:val="20"/>
                <w:color w:val="auto"/>
              </w:rPr>
            </w:pPr>
            <w:r>
              <w:rPr>
                <w:rFonts w:ascii="Arial" w:cs="Arial" w:eastAsia="Arial" w:hAnsi="Arial"/>
                <w:sz w:val="15"/>
                <w:szCs w:val="15"/>
                <w:color w:val="auto"/>
                <w:w w:val="99"/>
              </w:rPr>
              <w:t>20%</w:t>
            </w:r>
          </w:p>
        </w:tc>
        <w:tc>
          <w:tcPr>
            <w:tcW w:w="1780" w:type="dxa"/>
            <w:vAlign w:val="bottom"/>
            <w:tcBorders>
              <w:top w:val="single" w:sz="8" w:color="959595"/>
              <w:bottom w:val="single" w:sz="8" w:color="959595"/>
            </w:tcBorders>
          </w:tcPr>
          <w:p>
            <w:pPr>
              <w:jc w:val="right"/>
              <w:ind w:right="270"/>
              <w:spacing w:after="0"/>
              <w:rPr>
                <w:sz w:val="20"/>
                <w:szCs w:val="20"/>
                <w:color w:val="auto"/>
              </w:rPr>
            </w:pPr>
            <w:r>
              <w:rPr>
                <w:rFonts w:ascii="Arial" w:cs="Arial" w:eastAsia="Arial" w:hAnsi="Arial"/>
                <w:sz w:val="14"/>
                <w:szCs w:val="14"/>
                <w:color w:val="auto"/>
              </w:rPr>
              <w:t>62,750 - 64,250M</w:t>
            </w:r>
          </w:p>
        </w:tc>
        <w:tc>
          <w:tcPr>
            <w:tcW w:w="1200" w:type="dxa"/>
            <w:vAlign w:val="bottom"/>
            <w:tcBorders>
              <w:top w:val="single" w:sz="8" w:color="959595"/>
              <w:bottom w:val="single" w:sz="8" w:color="959595"/>
            </w:tcBorders>
          </w:tcPr>
          <w:p>
            <w:pPr>
              <w:jc w:val="right"/>
              <w:ind w:right="187"/>
              <w:spacing w:after="0"/>
              <w:rPr>
                <w:sz w:val="20"/>
                <w:szCs w:val="20"/>
                <w:color w:val="auto"/>
              </w:rPr>
            </w:pPr>
            <w:r>
              <w:rPr>
                <w:rFonts w:ascii="Arial" w:cs="Arial" w:eastAsia="Arial" w:hAnsi="Arial"/>
                <w:sz w:val="15"/>
                <w:szCs w:val="15"/>
                <w:color w:val="auto"/>
              </w:rPr>
              <w:t>65,398M</w:t>
            </w:r>
          </w:p>
        </w:tc>
        <w:tc>
          <w:tcPr>
            <w:tcW w:w="1640" w:type="dxa"/>
            <w:vAlign w:val="bottom"/>
            <w:tcBorders>
              <w:top w:val="single" w:sz="8" w:color="959595"/>
              <w:bottom w:val="single" w:sz="8" w:color="959595"/>
            </w:tcBorders>
          </w:tcPr>
          <w:p>
            <w:pPr>
              <w:jc w:val="right"/>
              <w:ind w:right="287"/>
              <w:spacing w:after="0"/>
              <w:rPr>
                <w:sz w:val="20"/>
                <w:szCs w:val="20"/>
                <w:color w:val="auto"/>
              </w:rPr>
            </w:pPr>
            <w:r>
              <w:rPr>
                <w:rFonts w:ascii="Arial" w:cs="Arial" w:eastAsia="Arial" w:hAnsi="Arial"/>
                <w:sz w:val="15"/>
                <w:szCs w:val="15"/>
                <w:color w:val="auto"/>
              </w:rPr>
              <w:t>160%</w:t>
            </w:r>
          </w:p>
        </w:tc>
        <w:tc>
          <w:tcPr>
            <w:tcW w:w="134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5"/>
                <w:szCs w:val="15"/>
                <w:color w:val="auto"/>
              </w:rPr>
              <w:t>32%</w:t>
            </w:r>
          </w:p>
        </w:tc>
      </w:tr>
      <w:tr>
        <w:trPr>
          <w:trHeight w:val="196"/>
        </w:trPr>
        <w:tc>
          <w:tcPr>
            <w:tcW w:w="3220" w:type="dxa"/>
            <w:vAlign w:val="bottom"/>
            <w:tcBorders>
              <w:bottom w:val="single" w:sz="8" w:color="959595"/>
            </w:tcBorders>
          </w:tcPr>
          <w:p>
            <w:pPr>
              <w:ind w:left="20"/>
              <w:spacing w:after="0"/>
              <w:rPr>
                <w:sz w:val="20"/>
                <w:szCs w:val="20"/>
                <w:color w:val="auto"/>
              </w:rPr>
            </w:pPr>
            <w:r>
              <w:rPr>
                <w:rFonts w:ascii="Arial" w:cs="Arial" w:eastAsia="Arial" w:hAnsi="Arial"/>
                <w:sz w:val="15"/>
                <w:szCs w:val="15"/>
                <w:color w:val="auto"/>
              </w:rPr>
              <w:t>Segment Operating Profit*</w:t>
            </w:r>
          </w:p>
        </w:tc>
        <w:tc>
          <w:tcPr>
            <w:tcW w:w="2060" w:type="dxa"/>
            <w:vAlign w:val="bottom"/>
            <w:tcBorders>
              <w:bottom w:val="single" w:sz="8" w:color="959595"/>
            </w:tcBorders>
          </w:tcPr>
          <w:p>
            <w:pPr>
              <w:jc w:val="center"/>
              <w:ind w:left="967"/>
              <w:spacing w:after="0"/>
              <w:rPr>
                <w:sz w:val="20"/>
                <w:szCs w:val="20"/>
                <w:color w:val="auto"/>
              </w:rPr>
            </w:pPr>
            <w:r>
              <w:rPr>
                <w:rFonts w:ascii="Arial" w:cs="Arial" w:eastAsia="Arial" w:hAnsi="Arial"/>
                <w:sz w:val="15"/>
                <w:szCs w:val="15"/>
                <w:color w:val="auto"/>
                <w:w w:val="99"/>
              </w:rPr>
              <w:t>40%</w:t>
            </w:r>
          </w:p>
        </w:tc>
        <w:tc>
          <w:tcPr>
            <w:tcW w:w="1780" w:type="dxa"/>
            <w:vAlign w:val="bottom"/>
            <w:tcBorders>
              <w:bottom w:val="single" w:sz="8" w:color="959595"/>
            </w:tcBorders>
          </w:tcPr>
          <w:p>
            <w:pPr>
              <w:jc w:val="right"/>
              <w:ind w:right="270"/>
              <w:spacing w:after="0"/>
              <w:rPr>
                <w:sz w:val="20"/>
                <w:szCs w:val="20"/>
                <w:color w:val="auto"/>
              </w:rPr>
            </w:pPr>
            <w:r>
              <w:rPr>
                <w:rFonts w:ascii="Arial" w:cs="Arial" w:eastAsia="Arial" w:hAnsi="Arial"/>
                <w:sz w:val="14"/>
                <w:szCs w:val="14"/>
                <w:color w:val="auto"/>
              </w:rPr>
              <w:t>6,800 - 6,950M</w:t>
            </w:r>
          </w:p>
        </w:tc>
        <w:tc>
          <w:tcPr>
            <w:tcW w:w="1200" w:type="dxa"/>
            <w:vAlign w:val="bottom"/>
            <w:tcBorders>
              <w:bottom w:val="single" w:sz="8" w:color="959595"/>
            </w:tcBorders>
          </w:tcPr>
          <w:p>
            <w:pPr>
              <w:jc w:val="right"/>
              <w:ind w:right="187"/>
              <w:spacing w:after="0"/>
              <w:rPr>
                <w:sz w:val="20"/>
                <w:szCs w:val="20"/>
                <w:color w:val="auto"/>
              </w:rPr>
            </w:pPr>
            <w:r>
              <w:rPr>
                <w:rFonts w:ascii="Arial" w:cs="Arial" w:eastAsia="Arial" w:hAnsi="Arial"/>
                <w:sz w:val="15"/>
                <w:szCs w:val="15"/>
                <w:color w:val="auto"/>
              </w:rPr>
              <w:t>7,152M</w:t>
            </w:r>
          </w:p>
        </w:tc>
        <w:tc>
          <w:tcPr>
            <w:tcW w:w="1640" w:type="dxa"/>
            <w:vAlign w:val="bottom"/>
            <w:tcBorders>
              <w:bottom w:val="single" w:sz="8" w:color="959595"/>
            </w:tcBorders>
          </w:tcPr>
          <w:p>
            <w:pPr>
              <w:jc w:val="right"/>
              <w:ind w:right="287"/>
              <w:spacing w:after="0"/>
              <w:rPr>
                <w:sz w:val="20"/>
                <w:szCs w:val="20"/>
                <w:color w:val="auto"/>
              </w:rPr>
            </w:pPr>
            <w:r>
              <w:rPr>
                <w:rFonts w:ascii="Arial" w:cs="Arial" w:eastAsia="Arial" w:hAnsi="Arial"/>
                <w:sz w:val="15"/>
                <w:szCs w:val="15"/>
                <w:color w:val="auto"/>
              </w:rPr>
              <w:t>156%</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5"/>
                <w:szCs w:val="15"/>
                <w:color w:val="auto"/>
              </w:rPr>
              <w:t>63%</w:t>
            </w:r>
          </w:p>
        </w:tc>
      </w:tr>
      <w:tr>
        <w:trPr>
          <w:trHeight w:val="196"/>
        </w:trPr>
        <w:tc>
          <w:tcPr>
            <w:tcW w:w="3220" w:type="dxa"/>
            <w:vAlign w:val="bottom"/>
            <w:tcBorders>
              <w:bottom w:val="single" w:sz="8" w:color="959595"/>
            </w:tcBorders>
          </w:tcPr>
          <w:p>
            <w:pPr>
              <w:ind w:left="20"/>
              <w:spacing w:after="0"/>
              <w:rPr>
                <w:sz w:val="20"/>
                <w:szCs w:val="20"/>
                <w:color w:val="auto"/>
              </w:rPr>
            </w:pPr>
            <w:r>
              <w:rPr>
                <w:rFonts w:ascii="Arial" w:cs="Arial" w:eastAsia="Arial" w:hAnsi="Arial"/>
                <w:sz w:val="15"/>
                <w:szCs w:val="15"/>
                <w:color w:val="auto"/>
              </w:rPr>
              <w:t>Cash from Operations**</w:t>
            </w:r>
          </w:p>
        </w:tc>
        <w:tc>
          <w:tcPr>
            <w:tcW w:w="2060" w:type="dxa"/>
            <w:vAlign w:val="bottom"/>
            <w:tcBorders>
              <w:bottom w:val="single" w:sz="8" w:color="959595"/>
            </w:tcBorders>
          </w:tcPr>
          <w:p>
            <w:pPr>
              <w:jc w:val="center"/>
              <w:ind w:left="967"/>
              <w:spacing w:after="0"/>
              <w:rPr>
                <w:sz w:val="20"/>
                <w:szCs w:val="20"/>
                <w:color w:val="auto"/>
              </w:rPr>
            </w:pPr>
            <w:r>
              <w:rPr>
                <w:rFonts w:ascii="Arial" w:cs="Arial" w:eastAsia="Arial" w:hAnsi="Arial"/>
                <w:sz w:val="15"/>
                <w:szCs w:val="15"/>
                <w:color w:val="auto"/>
                <w:w w:val="99"/>
              </w:rPr>
              <w:t>40%</w:t>
            </w:r>
          </w:p>
        </w:tc>
        <w:tc>
          <w:tcPr>
            <w:tcW w:w="1780" w:type="dxa"/>
            <w:vAlign w:val="bottom"/>
            <w:tcBorders>
              <w:bottom w:val="single" w:sz="8" w:color="959595"/>
            </w:tcBorders>
          </w:tcPr>
          <w:p>
            <w:pPr>
              <w:jc w:val="right"/>
              <w:ind w:right="270"/>
              <w:spacing w:after="0"/>
              <w:rPr>
                <w:sz w:val="20"/>
                <w:szCs w:val="20"/>
                <w:color w:val="auto"/>
              </w:rPr>
            </w:pPr>
            <w:r>
              <w:rPr>
                <w:rFonts w:ascii="Arial" w:cs="Arial" w:eastAsia="Arial" w:hAnsi="Arial"/>
                <w:sz w:val="14"/>
                <w:szCs w:val="14"/>
                <w:color w:val="auto"/>
              </w:rPr>
              <w:t>≥ 7,600M</w:t>
            </w:r>
          </w:p>
        </w:tc>
        <w:tc>
          <w:tcPr>
            <w:tcW w:w="1200" w:type="dxa"/>
            <w:vAlign w:val="bottom"/>
            <w:tcBorders>
              <w:bottom w:val="single" w:sz="8" w:color="959595"/>
            </w:tcBorders>
          </w:tcPr>
          <w:p>
            <w:pPr>
              <w:jc w:val="right"/>
              <w:ind w:right="187"/>
              <w:spacing w:after="0"/>
              <w:rPr>
                <w:sz w:val="20"/>
                <w:szCs w:val="20"/>
                <w:color w:val="auto"/>
              </w:rPr>
            </w:pPr>
            <w:r>
              <w:rPr>
                <w:rFonts w:ascii="Arial" w:cs="Arial" w:eastAsia="Arial" w:hAnsi="Arial"/>
                <w:sz w:val="15"/>
                <w:szCs w:val="15"/>
                <w:color w:val="auto"/>
              </w:rPr>
              <w:t>9,208M</w:t>
            </w:r>
          </w:p>
        </w:tc>
        <w:tc>
          <w:tcPr>
            <w:tcW w:w="1640" w:type="dxa"/>
            <w:vAlign w:val="bottom"/>
            <w:tcBorders>
              <w:bottom w:val="single" w:sz="8" w:color="959595"/>
            </w:tcBorders>
          </w:tcPr>
          <w:p>
            <w:pPr>
              <w:jc w:val="right"/>
              <w:ind w:right="287"/>
              <w:spacing w:after="0"/>
              <w:rPr>
                <w:sz w:val="20"/>
                <w:szCs w:val="20"/>
                <w:color w:val="auto"/>
              </w:rPr>
            </w:pPr>
            <w:r>
              <w:rPr>
                <w:rFonts w:ascii="Arial" w:cs="Arial" w:eastAsia="Arial" w:hAnsi="Arial"/>
                <w:sz w:val="15"/>
                <w:szCs w:val="15"/>
                <w:color w:val="auto"/>
              </w:rPr>
              <w:t>200%</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5"/>
                <w:szCs w:val="15"/>
                <w:color w:val="auto"/>
              </w:rPr>
              <w:t>80%</w:t>
            </w:r>
          </w:p>
        </w:tc>
      </w:tr>
      <w:tr>
        <w:trPr>
          <w:trHeight w:val="216"/>
        </w:trPr>
        <w:tc>
          <w:tcPr>
            <w:tcW w:w="3220" w:type="dxa"/>
            <w:vAlign w:val="bottom"/>
            <w:tcBorders>
              <w:bottom w:val="single" w:sz="8" w:color="959595"/>
            </w:tcBorders>
          </w:tcPr>
          <w:p>
            <w:pPr>
              <w:ind w:left="20"/>
              <w:spacing w:after="0"/>
              <w:rPr>
                <w:sz w:val="20"/>
                <w:szCs w:val="20"/>
                <w:color w:val="auto"/>
              </w:rPr>
            </w:pPr>
            <w:r>
              <w:rPr>
                <w:rFonts w:ascii="Arial" w:cs="Arial" w:eastAsia="Arial" w:hAnsi="Arial"/>
                <w:sz w:val="16"/>
                <w:szCs w:val="16"/>
                <w:b w:val="1"/>
                <w:bCs w:val="1"/>
                <w:color w:val="002E6D"/>
              </w:rPr>
              <w:t>Financial Payout Factor</w:t>
            </w:r>
          </w:p>
        </w:tc>
        <w:tc>
          <w:tcPr>
            <w:tcW w:w="2060" w:type="dxa"/>
            <w:vAlign w:val="bottom"/>
            <w:tcBorders>
              <w:bottom w:val="single" w:sz="8" w:color="959595"/>
            </w:tcBorders>
          </w:tcPr>
          <w:p>
            <w:pPr>
              <w:spacing w:after="0"/>
              <w:rPr>
                <w:sz w:val="18"/>
                <w:szCs w:val="18"/>
                <w:color w:val="auto"/>
              </w:rPr>
            </w:pPr>
          </w:p>
        </w:tc>
        <w:tc>
          <w:tcPr>
            <w:tcW w:w="1780" w:type="dxa"/>
            <w:vAlign w:val="bottom"/>
            <w:tcBorders>
              <w:bottom w:val="single" w:sz="8" w:color="959595"/>
            </w:tcBorders>
          </w:tcPr>
          <w:p>
            <w:pPr>
              <w:spacing w:after="0"/>
              <w:rPr>
                <w:sz w:val="18"/>
                <w:szCs w:val="18"/>
                <w:color w:val="auto"/>
              </w:rPr>
            </w:pPr>
          </w:p>
        </w:tc>
        <w:tc>
          <w:tcPr>
            <w:tcW w:w="1200" w:type="dxa"/>
            <w:vAlign w:val="bottom"/>
            <w:tcBorders>
              <w:bottom w:val="single" w:sz="8" w:color="959595"/>
            </w:tcBorders>
          </w:tcPr>
          <w:p>
            <w:pPr>
              <w:spacing w:after="0"/>
              <w:rPr>
                <w:sz w:val="18"/>
                <w:szCs w:val="18"/>
                <w:color w:val="auto"/>
              </w:rPr>
            </w:pPr>
          </w:p>
        </w:tc>
        <w:tc>
          <w:tcPr>
            <w:tcW w:w="1640" w:type="dxa"/>
            <w:vAlign w:val="bottom"/>
            <w:tcBorders>
              <w:bottom w:val="single" w:sz="8" w:color="959595"/>
            </w:tcBorders>
          </w:tcPr>
          <w:p>
            <w:pPr>
              <w:spacing w:after="0"/>
              <w:rPr>
                <w:sz w:val="18"/>
                <w:szCs w:val="18"/>
                <w:color w:val="auto"/>
              </w:rPr>
            </w:pP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6"/>
                <w:szCs w:val="16"/>
                <w:b w:val="1"/>
                <w:bCs w:val="1"/>
                <w:color w:val="002E6D"/>
              </w:rPr>
              <w:t>175 %</w:t>
            </w:r>
          </w:p>
        </w:tc>
      </w:tr>
    </w:tbl>
    <w:p>
      <w:pPr>
        <w:spacing w:after="0" w:line="164"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See Appendix A for definition of Non-GAAP </w:t>
      </w:r>
      <w:r>
        <w:rPr>
          <w:rFonts w:ascii="Arial" w:cs="Arial" w:eastAsia="Arial" w:hAnsi="Arial"/>
          <w:sz w:val="14"/>
          <w:szCs w:val="14"/>
          <w:color w:val="auto"/>
        </w:rPr>
        <w:t>terms.</w:t>
      </w:r>
    </w:p>
    <w:p>
      <w:pPr>
        <w:spacing w:after="0" w:line="75"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Reported Cash from Operations for fiscal 2020 was $8.2B, which has been adjusted by $1.0 billion for unplanned pension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280670</wp:posOffset>
            </wp:positionV>
            <wp:extent cx="969010" cy="2228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48</w:t>
      </w:r>
    </w:p>
    <w:p>
      <w:pPr>
        <w:sectPr>
          <w:pgSz w:w="11900" w:h="16838" w:orient="portrait"/>
          <w:cols w:equalWidth="0" w:num="1">
            <w:col w:w="11240"/>
          </w:cols>
          <w:pgMar w:left="320" w:top="609"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Strategic &amp; Operational Assessment (30% Weight). </w:t>
      </w:r>
      <w:r>
        <w:rPr>
          <w:rFonts w:ascii="Arial" w:cs="Arial" w:eastAsia="Arial" w:hAnsi="Arial"/>
          <w:sz w:val="17"/>
          <w:szCs w:val="17"/>
          <w:color w:val="auto"/>
        </w:rPr>
        <w:t>Our strategic and operational performance assessments are evaluated differently than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performance assessments. For the 2020 performance year, a broad set of goals were established for our strategic and operational commitments at the beginning of the year, including goals tied to the development of new business, program performance, technological innovation, and executing on sustainability initiatives, such as achievement of pre-established measures and targets related to diversity and talent management. The strategic and operational performance goals are not measured against quantitative performance criteria for each goal, because some are aspirational, cannot be forecasted reliably or are qualitative in nature. When determining the overall payout factor, the Compensation Committee considers both quantitative and qualitative results and applies discretion when evaluating performance in totality. The strategic and operational performance goals and results are set forth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83"/>
        </w:trPr>
        <w:tc>
          <w:tcPr>
            <w:tcW w:w="51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6"/>
                <w:szCs w:val="16"/>
                <w:b w:val="1"/>
                <w:bCs w:val="1"/>
                <w:color w:val="002E6D"/>
              </w:rPr>
              <w:t>2020 Strategic &amp; Operational Goals Summary</w:t>
            </w:r>
          </w:p>
        </w:tc>
        <w:tc>
          <w:tcPr>
            <w:tcW w:w="6060" w:type="dxa"/>
            <w:vAlign w:val="bottom"/>
            <w:tcBorders>
              <w:bottom w:val="single" w:sz="8" w:color="E5E7EF"/>
            </w:tcBorders>
            <w:gridSpan w:val="2"/>
            <w:shd w:val="clear" w:color="auto" w:fill="E5E7EF"/>
          </w:tcPr>
          <w:p>
            <w:pPr>
              <w:ind w:left="220"/>
              <w:spacing w:after="0"/>
              <w:rPr>
                <w:sz w:val="20"/>
                <w:szCs w:val="20"/>
                <w:color w:val="auto"/>
              </w:rPr>
            </w:pPr>
            <w:r>
              <w:rPr>
                <w:rFonts w:ascii="Arial" w:cs="Arial" w:eastAsia="Arial" w:hAnsi="Arial"/>
                <w:sz w:val="16"/>
                <w:szCs w:val="16"/>
                <w:b w:val="1"/>
                <w:bCs w:val="1"/>
                <w:color w:val="002E6D"/>
              </w:rPr>
              <w:t>Assessment Summary Highlights</w:t>
            </w:r>
          </w:p>
        </w:tc>
        <w:tc>
          <w:tcPr>
            <w:tcW w:w="0" w:type="dxa"/>
            <w:vAlign w:val="bottom"/>
          </w:tcPr>
          <w:p>
            <w:pPr>
              <w:spacing w:after="0"/>
              <w:rPr>
                <w:sz w:val="1"/>
                <w:szCs w:val="1"/>
                <w:color w:val="auto"/>
              </w:rPr>
            </w:pPr>
          </w:p>
        </w:tc>
      </w:tr>
      <w:tr>
        <w:trPr>
          <w:trHeight w:val="217"/>
        </w:trPr>
        <w:tc>
          <w:tcPr>
            <w:tcW w:w="5180" w:type="dxa"/>
            <w:vAlign w:val="bottom"/>
            <w:tcBorders>
              <w:top w:val="single" w:sz="8" w:color="959595"/>
            </w:tcBorders>
            <w:vMerge w:val="restart"/>
          </w:tcPr>
          <w:p>
            <w:pPr>
              <w:ind w:left="920"/>
              <w:spacing w:after="0"/>
              <w:rPr>
                <w:sz w:val="20"/>
                <w:szCs w:val="20"/>
                <w:color w:val="auto"/>
              </w:rPr>
            </w:pPr>
            <w:r>
              <w:rPr>
                <w:rFonts w:ascii="Arial" w:cs="Arial" w:eastAsia="Arial" w:hAnsi="Arial"/>
                <w:sz w:val="16"/>
                <w:szCs w:val="16"/>
                <w:b w:val="1"/>
                <w:bCs w:val="1"/>
                <w:color w:val="auto"/>
              </w:rPr>
              <w:t>Focus Programs</w:t>
            </w:r>
          </w:p>
        </w:tc>
        <w:tc>
          <w:tcPr>
            <w:tcW w:w="6060" w:type="dxa"/>
            <w:vAlign w:val="bottom"/>
            <w:tcBorders>
              <w:top w:val="single" w:sz="8" w:color="959595"/>
            </w:tcBorders>
            <w:gridSpan w:val="2"/>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Orders of $68.1 billion and year-end backlog of $147.1 billion</w:t>
            </w: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6060" w:type="dxa"/>
            <w:vAlign w:val="bottom"/>
            <w:gridSpan w:val="2"/>
            <w:vMerge w:val="restart"/>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Achieved 92% keep sold program milestones</w:t>
            </w:r>
          </w:p>
        </w:tc>
        <w:tc>
          <w:tcPr>
            <w:tcW w:w="0" w:type="dxa"/>
            <w:vAlign w:val="bottom"/>
          </w:tcPr>
          <w:p>
            <w:pPr>
              <w:spacing w:after="0"/>
              <w:rPr>
                <w:sz w:val="1"/>
                <w:szCs w:val="1"/>
                <w:color w:val="auto"/>
              </w:rPr>
            </w:pPr>
          </w:p>
        </w:tc>
      </w:tr>
      <w:tr>
        <w:trPr>
          <w:trHeight w:val="148"/>
        </w:trPr>
        <w:tc>
          <w:tcPr>
            <w:tcW w:w="5180" w:type="dxa"/>
            <w:vAlign w:val="bottom"/>
            <w:vMerge w:val="restart"/>
          </w:tcPr>
          <w:p>
            <w:pPr>
              <w:ind w:left="920"/>
              <w:spacing w:after="0"/>
              <w:rPr>
                <w:sz w:val="20"/>
                <w:szCs w:val="20"/>
                <w:color w:val="auto"/>
              </w:rPr>
            </w:pPr>
            <w:r>
              <w:rPr>
                <w:rFonts w:ascii="Arial" w:cs="Arial" w:eastAsia="Arial" w:hAnsi="Arial"/>
                <w:sz w:val="16"/>
                <w:szCs w:val="16"/>
                <w:color w:val="auto"/>
              </w:rPr>
              <w:t>Shape and secure key Focus Program wins and achieve</w:t>
            </w:r>
          </w:p>
        </w:tc>
        <w:tc>
          <w:tcPr>
            <w:tcW w:w="6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80" w:type="dxa"/>
            <w:vAlign w:val="bottom"/>
            <w:vMerge w:val="continue"/>
          </w:tcPr>
          <w:p>
            <w:pPr>
              <w:spacing w:after="0"/>
              <w:rPr>
                <w:sz w:val="14"/>
                <w:szCs w:val="14"/>
                <w:color w:val="auto"/>
              </w:rPr>
            </w:pPr>
          </w:p>
        </w:tc>
        <w:tc>
          <w:tcPr>
            <w:tcW w:w="6060" w:type="dxa"/>
            <w:vAlign w:val="bottom"/>
            <w:gridSpan w:val="2"/>
            <w:vMerge w:val="restart"/>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79% win rate on programs throughout the year</w:t>
            </w:r>
          </w:p>
        </w:tc>
        <w:tc>
          <w:tcPr>
            <w:tcW w:w="0" w:type="dxa"/>
            <w:vAlign w:val="bottom"/>
          </w:tcPr>
          <w:p>
            <w:pPr>
              <w:spacing w:after="0"/>
              <w:rPr>
                <w:sz w:val="1"/>
                <w:szCs w:val="1"/>
                <w:color w:val="auto"/>
              </w:rPr>
            </w:pPr>
          </w:p>
        </w:tc>
      </w:tr>
      <w:tr>
        <w:trPr>
          <w:trHeight w:val="94"/>
        </w:trPr>
        <w:tc>
          <w:tcPr>
            <w:tcW w:w="5180" w:type="dxa"/>
            <w:vAlign w:val="bottom"/>
            <w:vMerge w:val="restart"/>
          </w:tcPr>
          <w:p>
            <w:pPr>
              <w:ind w:left="920"/>
              <w:spacing w:after="0"/>
              <w:rPr>
                <w:sz w:val="20"/>
                <w:szCs w:val="20"/>
                <w:color w:val="auto"/>
              </w:rPr>
            </w:pPr>
            <w:r>
              <w:rPr>
                <w:rFonts w:ascii="Arial" w:cs="Arial" w:eastAsia="Arial" w:hAnsi="Arial"/>
                <w:sz w:val="16"/>
                <w:szCs w:val="16"/>
                <w:color w:val="auto"/>
              </w:rPr>
              <w:t>Keep Sold Program milestones</w:t>
            </w:r>
          </w:p>
        </w:tc>
        <w:tc>
          <w:tcPr>
            <w:tcW w:w="6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5180" w:type="dxa"/>
            <w:vAlign w:val="bottom"/>
            <w:tcBorders>
              <w:bottom w:val="single" w:sz="8" w:color="929292"/>
            </w:tcBorders>
          </w:tcPr>
          <w:p>
            <w:pPr>
              <w:spacing w:after="0"/>
              <w:rPr>
                <w:sz w:val="14"/>
                <w:szCs w:val="14"/>
                <w:color w:val="auto"/>
              </w:rPr>
            </w:pPr>
          </w:p>
        </w:tc>
        <w:tc>
          <w:tcPr>
            <w:tcW w:w="320" w:type="dxa"/>
            <w:vAlign w:val="bottom"/>
            <w:tcBorders>
              <w:bottom w:val="single" w:sz="8" w:color="929292"/>
            </w:tcBorders>
          </w:tcPr>
          <w:p>
            <w:pPr>
              <w:spacing w:after="0"/>
              <w:rPr>
                <w:sz w:val="14"/>
                <w:szCs w:val="14"/>
                <w:color w:val="auto"/>
              </w:rPr>
            </w:pPr>
          </w:p>
        </w:tc>
        <w:tc>
          <w:tcPr>
            <w:tcW w:w="5740" w:type="dxa"/>
            <w:vAlign w:val="bottom"/>
            <w:tcBorders>
              <w:bottom w:val="single" w:sz="8" w:color="929292"/>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8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International</w:t>
            </w:r>
          </w:p>
        </w:tc>
        <w:tc>
          <w:tcPr>
            <w:tcW w:w="320" w:type="dxa"/>
            <w:vAlign w:val="bottom"/>
          </w:tcPr>
          <w:p>
            <w:pPr>
              <w:ind w:left="220"/>
              <w:spacing w:after="0"/>
              <w:rPr>
                <w:sz w:val="20"/>
                <w:szCs w:val="20"/>
                <w:color w:val="auto"/>
              </w:rPr>
            </w:pPr>
            <w:r>
              <w:rPr>
                <w:rFonts w:ascii="Arial" w:cs="Arial" w:eastAsia="Arial" w:hAnsi="Arial"/>
                <w:sz w:val="16"/>
                <w:szCs w:val="16"/>
                <w:color w:val="002E6D"/>
              </w:rPr>
              <w:t>•</w:t>
            </w:r>
          </w:p>
        </w:tc>
        <w:tc>
          <w:tcPr>
            <w:tcW w:w="5740" w:type="dxa"/>
            <w:vAlign w:val="bottom"/>
          </w:tcPr>
          <w:p>
            <w:pPr>
              <w:ind w:left="40"/>
              <w:spacing w:after="0"/>
              <w:rPr>
                <w:sz w:val="20"/>
                <w:szCs w:val="20"/>
                <w:color w:val="auto"/>
              </w:rPr>
            </w:pPr>
            <w:r>
              <w:rPr>
                <w:rFonts w:ascii="Arial" w:cs="Arial" w:eastAsia="Arial" w:hAnsi="Arial"/>
                <w:sz w:val="16"/>
                <w:szCs w:val="16"/>
                <w:color w:val="auto"/>
              </w:rPr>
              <w:t>$16.4B of net sales to international customers (including foreign military sales)</w:t>
            </w: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6060" w:type="dxa"/>
            <w:vAlign w:val="bottom"/>
            <w:gridSpan w:val="2"/>
            <w:vMerge w:val="restart"/>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Continued strong international interest in our programs and focus on</w:t>
            </w:r>
          </w:p>
        </w:tc>
        <w:tc>
          <w:tcPr>
            <w:tcW w:w="0" w:type="dxa"/>
            <w:vAlign w:val="bottom"/>
          </w:tcPr>
          <w:p>
            <w:pPr>
              <w:spacing w:after="0"/>
              <w:rPr>
                <w:sz w:val="1"/>
                <w:szCs w:val="1"/>
                <w:color w:val="auto"/>
              </w:rPr>
            </w:pPr>
          </w:p>
        </w:tc>
      </w:tr>
      <w:tr>
        <w:trPr>
          <w:trHeight w:val="149"/>
        </w:trPr>
        <w:tc>
          <w:tcPr>
            <w:tcW w:w="5180" w:type="dxa"/>
            <w:vAlign w:val="bottom"/>
            <w:vMerge w:val="restart"/>
          </w:tcPr>
          <w:p>
            <w:pPr>
              <w:ind w:left="920"/>
              <w:spacing w:after="0"/>
              <w:rPr>
                <w:sz w:val="20"/>
                <w:szCs w:val="20"/>
                <w:color w:val="auto"/>
              </w:rPr>
            </w:pPr>
            <w:r>
              <w:rPr>
                <w:rFonts w:ascii="Arial" w:cs="Arial" w:eastAsia="Arial" w:hAnsi="Arial"/>
                <w:sz w:val="16"/>
                <w:szCs w:val="16"/>
                <w:color w:val="auto"/>
              </w:rPr>
              <w:t>Continue international expansion through increased</w:t>
            </w:r>
          </w:p>
        </w:tc>
        <w:tc>
          <w:tcPr>
            <w:tcW w:w="6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740" w:type="dxa"/>
            <w:vAlign w:val="bottom"/>
          </w:tcPr>
          <w:p>
            <w:pPr>
              <w:ind w:left="60"/>
              <w:spacing w:after="0" w:line="170" w:lineRule="exact"/>
              <w:rPr>
                <w:sz w:val="20"/>
                <w:szCs w:val="20"/>
                <w:color w:val="auto"/>
              </w:rPr>
            </w:pPr>
            <w:r>
              <w:rPr>
                <w:rFonts w:ascii="Arial" w:cs="Arial" w:eastAsia="Arial" w:hAnsi="Arial"/>
                <w:sz w:val="16"/>
                <w:szCs w:val="16"/>
                <w:color w:val="auto"/>
              </w:rPr>
              <w:t>strengthening international relationships</w:t>
            </w:r>
          </w:p>
        </w:tc>
        <w:tc>
          <w:tcPr>
            <w:tcW w:w="0" w:type="dxa"/>
            <w:vAlign w:val="bottom"/>
          </w:tcPr>
          <w:p>
            <w:pPr>
              <w:spacing w:after="0"/>
              <w:rPr>
                <w:sz w:val="1"/>
                <w:szCs w:val="1"/>
                <w:color w:val="auto"/>
              </w:rPr>
            </w:pPr>
          </w:p>
        </w:tc>
      </w:tr>
      <w:tr>
        <w:trPr>
          <w:trHeight w:val="195"/>
        </w:trPr>
        <w:tc>
          <w:tcPr>
            <w:tcW w:w="5180" w:type="dxa"/>
            <w:vAlign w:val="bottom"/>
          </w:tcPr>
          <w:p>
            <w:pPr>
              <w:ind w:left="920"/>
              <w:spacing w:after="0"/>
              <w:rPr>
                <w:sz w:val="20"/>
                <w:szCs w:val="20"/>
                <w:color w:val="auto"/>
              </w:rPr>
            </w:pPr>
            <w:r>
              <w:rPr>
                <w:rFonts w:ascii="Arial" w:cs="Arial" w:eastAsia="Arial" w:hAnsi="Arial"/>
                <w:sz w:val="16"/>
                <w:szCs w:val="16"/>
                <w:color w:val="auto"/>
              </w:rPr>
              <w:t>orders and sales</w:t>
            </w:r>
          </w:p>
        </w:tc>
        <w:tc>
          <w:tcPr>
            <w:tcW w:w="3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180" w:type="dxa"/>
            <w:vAlign w:val="bottom"/>
            <w:tcBorders>
              <w:bottom w:val="single" w:sz="8" w:color="959595"/>
            </w:tcBorders>
          </w:tcPr>
          <w:p>
            <w:pPr>
              <w:spacing w:after="0"/>
              <w:rPr>
                <w:sz w:val="12"/>
                <w:szCs w:val="12"/>
                <w:color w:val="auto"/>
              </w:rPr>
            </w:pPr>
          </w:p>
        </w:tc>
        <w:tc>
          <w:tcPr>
            <w:tcW w:w="320" w:type="dxa"/>
            <w:vAlign w:val="bottom"/>
            <w:tcBorders>
              <w:bottom w:val="single" w:sz="8" w:color="959595"/>
            </w:tcBorders>
          </w:tcPr>
          <w:p>
            <w:pPr>
              <w:spacing w:after="0"/>
              <w:rPr>
                <w:sz w:val="12"/>
                <w:szCs w:val="12"/>
                <w:color w:val="auto"/>
              </w:rPr>
            </w:pPr>
          </w:p>
        </w:tc>
        <w:tc>
          <w:tcPr>
            <w:tcW w:w="5740" w:type="dxa"/>
            <w:vAlign w:val="bottom"/>
            <w:tcBorders>
              <w:bottom w:val="single" w:sz="8" w:color="959595"/>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18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Mission Success</w:t>
            </w:r>
          </w:p>
        </w:tc>
        <w:tc>
          <w:tcPr>
            <w:tcW w:w="320" w:type="dxa"/>
            <w:vAlign w:val="bottom"/>
          </w:tcPr>
          <w:p>
            <w:pPr>
              <w:ind w:left="220"/>
              <w:spacing w:after="0"/>
              <w:rPr>
                <w:sz w:val="20"/>
                <w:szCs w:val="20"/>
                <w:color w:val="auto"/>
              </w:rPr>
            </w:pPr>
            <w:r>
              <w:rPr>
                <w:rFonts w:ascii="Arial" w:cs="Arial" w:eastAsia="Arial" w:hAnsi="Arial"/>
                <w:sz w:val="16"/>
                <w:szCs w:val="16"/>
                <w:color w:val="002E6D"/>
              </w:rPr>
              <w:t>•</w:t>
            </w:r>
          </w:p>
        </w:tc>
        <w:tc>
          <w:tcPr>
            <w:tcW w:w="5740" w:type="dxa"/>
            <w:vAlign w:val="bottom"/>
          </w:tcPr>
          <w:p>
            <w:pPr>
              <w:ind w:left="40"/>
              <w:spacing w:after="0"/>
              <w:rPr>
                <w:sz w:val="20"/>
                <w:szCs w:val="20"/>
                <w:color w:val="auto"/>
              </w:rPr>
            </w:pPr>
            <w:r>
              <w:rPr>
                <w:rFonts w:ascii="Arial" w:cs="Arial" w:eastAsia="Arial" w:hAnsi="Arial"/>
                <w:sz w:val="16"/>
                <w:szCs w:val="16"/>
                <w:color w:val="auto"/>
              </w:rPr>
              <w:t>Achieved objectives for key metrics while mitigating external factors with</w:t>
            </w: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740" w:type="dxa"/>
            <w:vAlign w:val="bottom"/>
            <w:vMerge w:val="restart"/>
          </w:tcPr>
          <w:p>
            <w:pPr>
              <w:ind w:left="60"/>
              <w:spacing w:after="0"/>
              <w:rPr>
                <w:sz w:val="20"/>
                <w:szCs w:val="20"/>
                <w:color w:val="auto"/>
              </w:rPr>
            </w:pPr>
            <w:r>
              <w:rPr>
                <w:rFonts w:ascii="Arial" w:cs="Arial" w:eastAsia="Arial" w:hAnsi="Arial"/>
                <w:sz w:val="16"/>
                <w:szCs w:val="16"/>
                <w:color w:val="auto"/>
              </w:rPr>
              <w:t>completion of 95% targeted Mission Success events</w:t>
            </w:r>
          </w:p>
        </w:tc>
        <w:tc>
          <w:tcPr>
            <w:tcW w:w="0" w:type="dxa"/>
            <w:vAlign w:val="bottom"/>
          </w:tcPr>
          <w:p>
            <w:pPr>
              <w:spacing w:after="0"/>
              <w:rPr>
                <w:sz w:val="1"/>
                <w:szCs w:val="1"/>
                <w:color w:val="auto"/>
              </w:rPr>
            </w:pPr>
          </w:p>
        </w:tc>
      </w:tr>
      <w:tr>
        <w:trPr>
          <w:trHeight w:val="94"/>
        </w:trPr>
        <w:tc>
          <w:tcPr>
            <w:tcW w:w="5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920"/>
              <w:spacing w:after="0"/>
              <w:rPr>
                <w:sz w:val="20"/>
                <w:szCs w:val="20"/>
                <w:color w:val="auto"/>
              </w:rPr>
            </w:pPr>
            <w:r>
              <w:rPr>
                <w:rFonts w:ascii="Arial" w:cs="Arial" w:eastAsia="Arial" w:hAnsi="Arial"/>
                <w:sz w:val="16"/>
                <w:szCs w:val="16"/>
                <w:color w:val="auto"/>
              </w:rPr>
              <w:t>Achieve Mission Success milestones</w:t>
            </w:r>
          </w:p>
        </w:tc>
        <w:tc>
          <w:tcPr>
            <w:tcW w:w="6060" w:type="dxa"/>
            <w:vAlign w:val="bottom"/>
            <w:gridSpan w:val="2"/>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Key program milestones achieved throughout the Corporation in all customer</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40" w:type="dxa"/>
            <w:vAlign w:val="bottom"/>
          </w:tcPr>
          <w:p>
            <w:pPr>
              <w:ind w:left="60"/>
              <w:spacing w:after="0"/>
              <w:rPr>
                <w:sz w:val="20"/>
                <w:szCs w:val="20"/>
                <w:color w:val="auto"/>
              </w:rPr>
            </w:pPr>
            <w:r>
              <w:rPr>
                <w:rFonts w:ascii="Arial" w:cs="Arial" w:eastAsia="Arial" w:hAnsi="Arial"/>
                <w:sz w:val="16"/>
                <w:szCs w:val="16"/>
                <w:color w:val="auto"/>
              </w:rPr>
              <w:t>operational domains</w:t>
            </w:r>
          </w:p>
        </w:tc>
        <w:tc>
          <w:tcPr>
            <w:tcW w:w="0" w:type="dxa"/>
            <w:vAlign w:val="bottom"/>
          </w:tcPr>
          <w:p>
            <w:pPr>
              <w:spacing w:after="0"/>
              <w:rPr>
                <w:sz w:val="1"/>
                <w:szCs w:val="1"/>
                <w:color w:val="auto"/>
              </w:rPr>
            </w:pPr>
          </w:p>
        </w:tc>
      </w:tr>
      <w:tr>
        <w:trPr>
          <w:trHeight w:val="87"/>
        </w:trPr>
        <w:tc>
          <w:tcPr>
            <w:tcW w:w="5180" w:type="dxa"/>
            <w:vAlign w:val="bottom"/>
            <w:tcBorders>
              <w:bottom w:val="single" w:sz="8" w:color="959595"/>
            </w:tcBorders>
          </w:tcPr>
          <w:p>
            <w:pPr>
              <w:spacing w:after="0"/>
              <w:rPr>
                <w:sz w:val="7"/>
                <w:szCs w:val="7"/>
                <w:color w:val="auto"/>
              </w:rPr>
            </w:pPr>
          </w:p>
        </w:tc>
        <w:tc>
          <w:tcPr>
            <w:tcW w:w="6060" w:type="dxa"/>
            <w:vAlign w:val="bottom"/>
            <w:tcBorders>
              <w:bottom w:val="single" w:sz="8" w:color="959595"/>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18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Program Performance</w:t>
            </w:r>
          </w:p>
        </w:tc>
        <w:tc>
          <w:tcPr>
            <w:tcW w:w="6060" w:type="dxa"/>
            <w:vAlign w:val="bottom"/>
            <w:gridSpan w:val="2"/>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Implemented new Corporate Focus Supplier (CFS) initiative</w:t>
            </w: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6060" w:type="dxa"/>
            <w:vAlign w:val="bottom"/>
            <w:gridSpan w:val="2"/>
            <w:vMerge w:val="restart"/>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Returned $3.9 billion of Cash from Operations to our stockholders through</w:t>
            </w:r>
          </w:p>
        </w:tc>
        <w:tc>
          <w:tcPr>
            <w:tcW w:w="0" w:type="dxa"/>
            <w:vAlign w:val="bottom"/>
          </w:tcPr>
          <w:p>
            <w:pPr>
              <w:spacing w:after="0"/>
              <w:rPr>
                <w:sz w:val="1"/>
                <w:szCs w:val="1"/>
                <w:color w:val="auto"/>
              </w:rPr>
            </w:pPr>
          </w:p>
        </w:tc>
      </w:tr>
      <w:tr>
        <w:trPr>
          <w:trHeight w:val="148"/>
        </w:trPr>
        <w:tc>
          <w:tcPr>
            <w:tcW w:w="5180" w:type="dxa"/>
            <w:vAlign w:val="bottom"/>
            <w:vMerge w:val="restart"/>
          </w:tcPr>
          <w:p>
            <w:pPr>
              <w:ind w:left="920"/>
              <w:spacing w:after="0"/>
              <w:rPr>
                <w:sz w:val="20"/>
                <w:szCs w:val="20"/>
                <w:color w:val="auto"/>
              </w:rPr>
            </w:pPr>
            <w:r>
              <w:rPr>
                <w:rFonts w:ascii="Arial" w:cs="Arial" w:eastAsia="Arial" w:hAnsi="Arial"/>
                <w:sz w:val="16"/>
                <w:szCs w:val="16"/>
                <w:color w:val="auto"/>
              </w:rPr>
              <w:t>Execute programs to achieve customer commitments</w:t>
            </w:r>
          </w:p>
        </w:tc>
        <w:tc>
          <w:tcPr>
            <w:tcW w:w="6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740" w:type="dxa"/>
            <w:vAlign w:val="bottom"/>
          </w:tcPr>
          <w:p>
            <w:pPr>
              <w:ind w:left="60"/>
              <w:spacing w:after="0" w:line="170" w:lineRule="exact"/>
              <w:rPr>
                <w:sz w:val="20"/>
                <w:szCs w:val="20"/>
                <w:color w:val="auto"/>
              </w:rPr>
            </w:pPr>
            <w:r>
              <w:rPr>
                <w:rFonts w:ascii="Arial" w:cs="Arial" w:eastAsia="Arial" w:hAnsi="Arial"/>
                <w:sz w:val="16"/>
                <w:szCs w:val="16"/>
                <w:color w:val="auto"/>
              </w:rPr>
              <w:t>dividends and share repurchases</w:t>
            </w:r>
          </w:p>
        </w:tc>
        <w:tc>
          <w:tcPr>
            <w:tcW w:w="0" w:type="dxa"/>
            <w:vAlign w:val="bottom"/>
          </w:tcPr>
          <w:p>
            <w:pPr>
              <w:spacing w:after="0"/>
              <w:rPr>
                <w:sz w:val="1"/>
                <w:szCs w:val="1"/>
                <w:color w:val="auto"/>
              </w:rPr>
            </w:pPr>
          </w:p>
        </w:tc>
      </w:tr>
      <w:tr>
        <w:trPr>
          <w:trHeight w:val="195"/>
        </w:trPr>
        <w:tc>
          <w:tcPr>
            <w:tcW w:w="5180" w:type="dxa"/>
            <w:vAlign w:val="bottom"/>
          </w:tcPr>
          <w:p>
            <w:pPr>
              <w:ind w:left="920"/>
              <w:spacing w:after="0"/>
              <w:rPr>
                <w:sz w:val="20"/>
                <w:szCs w:val="20"/>
                <w:color w:val="auto"/>
              </w:rPr>
            </w:pPr>
            <w:r>
              <w:rPr>
                <w:rFonts w:ascii="Arial" w:cs="Arial" w:eastAsia="Arial" w:hAnsi="Arial"/>
                <w:sz w:val="16"/>
                <w:szCs w:val="16"/>
                <w:color w:val="auto"/>
              </w:rPr>
              <w:t>and increase stockholder value</w:t>
            </w:r>
          </w:p>
        </w:tc>
        <w:tc>
          <w:tcPr>
            <w:tcW w:w="3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180" w:type="dxa"/>
            <w:vAlign w:val="bottom"/>
            <w:tcBorders>
              <w:bottom w:val="single" w:sz="8" w:color="959595"/>
            </w:tcBorders>
          </w:tcPr>
          <w:p>
            <w:pPr>
              <w:spacing w:after="0"/>
              <w:rPr>
                <w:sz w:val="12"/>
                <w:szCs w:val="12"/>
                <w:color w:val="auto"/>
              </w:rPr>
            </w:pPr>
          </w:p>
        </w:tc>
        <w:tc>
          <w:tcPr>
            <w:tcW w:w="6060" w:type="dxa"/>
            <w:vAlign w:val="bottom"/>
            <w:tcBorders>
              <w:bottom w:val="single" w:sz="8" w:color="959595"/>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18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Portfolio Shaping / Enterprise Initiatives</w:t>
            </w:r>
          </w:p>
        </w:tc>
        <w:tc>
          <w:tcPr>
            <w:tcW w:w="6060" w:type="dxa"/>
            <w:vAlign w:val="bottom"/>
            <w:gridSpan w:val="2"/>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Pursued strategic acquisitions and partnerships to drive business growth</w:t>
            </w: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6060" w:type="dxa"/>
            <w:vAlign w:val="bottom"/>
            <w:gridSpan w:val="2"/>
            <w:vMerge w:val="restart"/>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Exceeded affordability goals and realized corporate overhead savings</w:t>
            </w:r>
          </w:p>
        </w:tc>
        <w:tc>
          <w:tcPr>
            <w:tcW w:w="0" w:type="dxa"/>
            <w:vAlign w:val="bottom"/>
          </w:tcPr>
          <w:p>
            <w:pPr>
              <w:spacing w:after="0"/>
              <w:rPr>
                <w:sz w:val="1"/>
                <w:szCs w:val="1"/>
                <w:color w:val="auto"/>
              </w:rPr>
            </w:pPr>
          </w:p>
        </w:tc>
      </w:tr>
      <w:tr>
        <w:trPr>
          <w:trHeight w:val="148"/>
        </w:trPr>
        <w:tc>
          <w:tcPr>
            <w:tcW w:w="5180" w:type="dxa"/>
            <w:vAlign w:val="bottom"/>
            <w:vMerge w:val="restart"/>
          </w:tcPr>
          <w:p>
            <w:pPr>
              <w:ind w:left="920"/>
              <w:spacing w:after="0"/>
              <w:rPr>
                <w:sz w:val="20"/>
                <w:szCs w:val="20"/>
                <w:color w:val="auto"/>
              </w:rPr>
            </w:pPr>
            <w:r>
              <w:rPr>
                <w:rFonts w:ascii="Arial" w:cs="Arial" w:eastAsia="Arial" w:hAnsi="Arial"/>
                <w:sz w:val="16"/>
                <w:szCs w:val="16"/>
                <w:color w:val="auto"/>
              </w:rPr>
              <w:t>Assess portfolio on an ongoing basis to maximize</w:t>
            </w:r>
          </w:p>
        </w:tc>
        <w:tc>
          <w:tcPr>
            <w:tcW w:w="6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80" w:type="dxa"/>
            <w:vAlign w:val="bottom"/>
            <w:vMerge w:val="continue"/>
          </w:tcPr>
          <w:p>
            <w:pPr>
              <w:spacing w:after="0"/>
              <w:rPr>
                <w:sz w:val="14"/>
                <w:szCs w:val="14"/>
                <w:color w:val="auto"/>
              </w:rPr>
            </w:pPr>
          </w:p>
        </w:tc>
        <w:tc>
          <w:tcPr>
            <w:tcW w:w="6060" w:type="dxa"/>
            <w:vAlign w:val="bottom"/>
            <w:gridSpan w:val="2"/>
            <w:vMerge w:val="restart"/>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Achievement or substantial progress on 2020 Sustainability Management Plan</w:t>
            </w:r>
          </w:p>
        </w:tc>
        <w:tc>
          <w:tcPr>
            <w:tcW w:w="0" w:type="dxa"/>
            <w:vAlign w:val="bottom"/>
          </w:tcPr>
          <w:p>
            <w:pPr>
              <w:spacing w:after="0"/>
              <w:rPr>
                <w:sz w:val="1"/>
                <w:szCs w:val="1"/>
                <w:color w:val="auto"/>
              </w:rPr>
            </w:pPr>
          </w:p>
        </w:tc>
      </w:tr>
      <w:tr>
        <w:trPr>
          <w:trHeight w:val="94"/>
        </w:trPr>
        <w:tc>
          <w:tcPr>
            <w:tcW w:w="5180" w:type="dxa"/>
            <w:vAlign w:val="bottom"/>
            <w:vMerge w:val="restart"/>
          </w:tcPr>
          <w:p>
            <w:pPr>
              <w:ind w:left="920"/>
              <w:spacing w:after="0"/>
              <w:rPr>
                <w:sz w:val="20"/>
                <w:szCs w:val="20"/>
                <w:color w:val="auto"/>
              </w:rPr>
            </w:pPr>
            <w:r>
              <w:rPr>
                <w:rFonts w:ascii="Arial" w:cs="Arial" w:eastAsia="Arial" w:hAnsi="Arial"/>
                <w:sz w:val="16"/>
                <w:szCs w:val="16"/>
                <w:color w:val="auto"/>
              </w:rPr>
              <w:t>stockholder value, which includes M&amp;A activity,</w:t>
            </w:r>
          </w:p>
        </w:tc>
        <w:tc>
          <w:tcPr>
            <w:tcW w:w="6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740" w:type="dxa"/>
            <w:vAlign w:val="bottom"/>
            <w:vMerge w:val="restart"/>
          </w:tcPr>
          <w:p>
            <w:pPr>
              <w:ind w:left="60"/>
              <w:spacing w:after="0"/>
              <w:rPr>
                <w:sz w:val="20"/>
                <w:szCs w:val="20"/>
                <w:color w:val="auto"/>
              </w:rPr>
            </w:pPr>
            <w:r>
              <w:rPr>
                <w:rFonts w:ascii="Arial" w:cs="Arial" w:eastAsia="Arial" w:hAnsi="Arial"/>
                <w:sz w:val="16"/>
                <w:szCs w:val="16"/>
                <w:color w:val="auto"/>
              </w:rPr>
              <w:t>goals relating to: Business Integrity, Product Impact, Employee Wellbeing,</w:t>
            </w:r>
          </w:p>
        </w:tc>
        <w:tc>
          <w:tcPr>
            <w:tcW w:w="0" w:type="dxa"/>
            <w:vAlign w:val="bottom"/>
          </w:tcPr>
          <w:p>
            <w:pPr>
              <w:spacing w:after="0"/>
              <w:rPr>
                <w:sz w:val="1"/>
                <w:szCs w:val="1"/>
                <w:color w:val="auto"/>
              </w:rPr>
            </w:pPr>
          </w:p>
        </w:tc>
      </w:tr>
      <w:tr>
        <w:trPr>
          <w:trHeight w:val="94"/>
        </w:trPr>
        <w:tc>
          <w:tcPr>
            <w:tcW w:w="5180" w:type="dxa"/>
            <w:vAlign w:val="bottom"/>
            <w:vMerge w:val="restart"/>
          </w:tcPr>
          <w:p>
            <w:pPr>
              <w:ind w:left="920"/>
              <w:spacing w:after="0"/>
              <w:rPr>
                <w:sz w:val="20"/>
                <w:szCs w:val="20"/>
                <w:color w:val="auto"/>
              </w:rPr>
            </w:pPr>
            <w:r>
              <w:rPr>
                <w:rFonts w:ascii="Arial" w:cs="Arial" w:eastAsia="Arial" w:hAnsi="Arial"/>
                <w:sz w:val="16"/>
                <w:szCs w:val="16"/>
                <w:color w:val="auto"/>
              </w:rPr>
              <w:t>streamlining operations and other enterprise initiatives</w:t>
            </w:r>
          </w:p>
        </w:tc>
        <w:tc>
          <w:tcPr>
            <w:tcW w:w="320" w:type="dxa"/>
            <w:vAlign w:val="bottom"/>
          </w:tcPr>
          <w:p>
            <w:pPr>
              <w:spacing w:after="0"/>
              <w:rPr>
                <w:sz w:val="8"/>
                <w:szCs w:val="8"/>
                <w:color w:val="auto"/>
              </w:rPr>
            </w:pP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740" w:type="dxa"/>
            <w:vAlign w:val="bottom"/>
            <w:vMerge w:val="restart"/>
          </w:tcPr>
          <w:p>
            <w:pPr>
              <w:ind w:left="60"/>
              <w:spacing w:after="0"/>
              <w:rPr>
                <w:sz w:val="20"/>
                <w:szCs w:val="20"/>
                <w:color w:val="auto"/>
              </w:rPr>
            </w:pPr>
            <w:r>
              <w:rPr>
                <w:rFonts w:ascii="Arial" w:cs="Arial" w:eastAsia="Arial" w:hAnsi="Arial"/>
                <w:sz w:val="16"/>
                <w:szCs w:val="16"/>
                <w:color w:val="auto"/>
              </w:rPr>
              <w:t>Resource Efficiency and Information Security</w:t>
            </w:r>
          </w:p>
        </w:tc>
        <w:tc>
          <w:tcPr>
            <w:tcW w:w="0" w:type="dxa"/>
            <w:vAlign w:val="bottom"/>
          </w:tcPr>
          <w:p>
            <w:pPr>
              <w:spacing w:after="0"/>
              <w:rPr>
                <w:sz w:val="1"/>
                <w:szCs w:val="1"/>
                <w:color w:val="auto"/>
              </w:rPr>
            </w:pPr>
          </w:p>
        </w:tc>
      </w:tr>
      <w:tr>
        <w:trPr>
          <w:trHeight w:val="94"/>
        </w:trPr>
        <w:tc>
          <w:tcPr>
            <w:tcW w:w="5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180" w:type="dxa"/>
            <w:vAlign w:val="bottom"/>
            <w:tcBorders>
              <w:bottom w:val="single" w:sz="8" w:color="959595"/>
            </w:tcBorders>
          </w:tcPr>
          <w:p>
            <w:pPr>
              <w:spacing w:after="0"/>
              <w:rPr>
                <w:sz w:val="7"/>
                <w:szCs w:val="7"/>
                <w:color w:val="auto"/>
              </w:rPr>
            </w:pPr>
          </w:p>
        </w:tc>
        <w:tc>
          <w:tcPr>
            <w:tcW w:w="6060" w:type="dxa"/>
            <w:vAlign w:val="bottom"/>
            <w:tcBorders>
              <w:bottom w:val="single" w:sz="8" w:color="959595"/>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18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Innovation</w:t>
            </w:r>
          </w:p>
        </w:tc>
        <w:tc>
          <w:tcPr>
            <w:tcW w:w="6060" w:type="dxa"/>
            <w:vAlign w:val="bottom"/>
            <w:gridSpan w:val="2"/>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Launched 21st Century Warfare initiative, integrating advanced concepts like</w:t>
            </w: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740" w:type="dxa"/>
            <w:vAlign w:val="bottom"/>
            <w:vMerge w:val="restart"/>
          </w:tcPr>
          <w:p>
            <w:pPr>
              <w:ind w:left="60"/>
              <w:spacing w:after="0"/>
              <w:rPr>
                <w:sz w:val="20"/>
                <w:szCs w:val="20"/>
                <w:color w:val="auto"/>
              </w:rPr>
            </w:pPr>
            <w:r>
              <w:rPr>
                <w:rFonts w:ascii="Arial" w:cs="Arial" w:eastAsia="Arial" w:hAnsi="Arial"/>
                <w:sz w:val="16"/>
                <w:szCs w:val="16"/>
                <w:color w:val="auto"/>
              </w:rPr>
              <w:t>direct energy and hypersonics with maturing /commercial technology like</w:t>
            </w:r>
          </w:p>
        </w:tc>
        <w:tc>
          <w:tcPr>
            <w:tcW w:w="0" w:type="dxa"/>
            <w:vAlign w:val="bottom"/>
          </w:tcPr>
          <w:p>
            <w:pPr>
              <w:spacing w:after="0"/>
              <w:rPr>
                <w:sz w:val="1"/>
                <w:szCs w:val="1"/>
                <w:color w:val="auto"/>
              </w:rPr>
            </w:pPr>
          </w:p>
        </w:tc>
      </w:tr>
      <w:tr>
        <w:trPr>
          <w:trHeight w:val="95"/>
        </w:trPr>
        <w:tc>
          <w:tcPr>
            <w:tcW w:w="5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920"/>
              <w:spacing w:after="0"/>
              <w:rPr>
                <w:sz w:val="20"/>
                <w:szCs w:val="20"/>
                <w:color w:val="auto"/>
              </w:rPr>
            </w:pPr>
            <w:r>
              <w:rPr>
                <w:rFonts w:ascii="Arial" w:cs="Arial" w:eastAsia="Arial" w:hAnsi="Arial"/>
                <w:sz w:val="16"/>
                <w:szCs w:val="16"/>
                <w:color w:val="auto"/>
              </w:rPr>
              <w:t>Execute technology and digital transformation strategy,</w:t>
            </w:r>
          </w:p>
        </w:tc>
        <w:tc>
          <w:tcPr>
            <w:tcW w:w="320" w:type="dxa"/>
            <w:vAlign w:val="bottom"/>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6"/>
                <w:szCs w:val="16"/>
                <w:color w:val="auto"/>
              </w:rPr>
              <w:t>advanced communications / 5G and Artificial Intelligence</w:t>
            </w:r>
          </w:p>
        </w:tc>
        <w:tc>
          <w:tcPr>
            <w:tcW w:w="0" w:type="dxa"/>
            <w:vAlign w:val="bottom"/>
          </w:tcPr>
          <w:p>
            <w:pPr>
              <w:spacing w:after="0"/>
              <w:rPr>
                <w:sz w:val="1"/>
                <w:szCs w:val="1"/>
                <w:color w:val="auto"/>
              </w:rPr>
            </w:pPr>
          </w:p>
        </w:tc>
      </w:tr>
      <w:tr>
        <w:trPr>
          <w:trHeight w:val="210"/>
        </w:trPr>
        <w:tc>
          <w:tcPr>
            <w:tcW w:w="5180" w:type="dxa"/>
            <w:vAlign w:val="bottom"/>
          </w:tcPr>
          <w:p>
            <w:pPr>
              <w:ind w:left="920"/>
              <w:spacing w:after="0"/>
              <w:rPr>
                <w:sz w:val="20"/>
                <w:szCs w:val="20"/>
                <w:color w:val="auto"/>
              </w:rPr>
            </w:pPr>
            <w:r>
              <w:rPr>
                <w:rFonts w:ascii="Arial" w:cs="Arial" w:eastAsia="Arial" w:hAnsi="Arial"/>
                <w:sz w:val="16"/>
                <w:szCs w:val="16"/>
                <w:color w:val="auto"/>
              </w:rPr>
              <w:t>ensuring robust innovation, collaboration and strategic</w:t>
            </w:r>
          </w:p>
        </w:tc>
        <w:tc>
          <w:tcPr>
            <w:tcW w:w="320" w:type="dxa"/>
            <w:vAlign w:val="bottom"/>
          </w:tcPr>
          <w:p>
            <w:pPr>
              <w:ind w:left="220"/>
              <w:spacing w:after="0"/>
              <w:rPr>
                <w:sz w:val="20"/>
                <w:szCs w:val="20"/>
                <w:color w:val="auto"/>
              </w:rPr>
            </w:pPr>
            <w:r>
              <w:rPr>
                <w:rFonts w:ascii="Arial" w:cs="Arial" w:eastAsia="Arial" w:hAnsi="Arial"/>
                <w:sz w:val="16"/>
                <w:szCs w:val="16"/>
                <w:color w:val="002E6D"/>
              </w:rPr>
              <w:t>•</w:t>
            </w:r>
          </w:p>
        </w:tc>
        <w:tc>
          <w:tcPr>
            <w:tcW w:w="5740" w:type="dxa"/>
            <w:vAlign w:val="bottom"/>
          </w:tcPr>
          <w:p>
            <w:pPr>
              <w:ind w:left="40"/>
              <w:spacing w:after="0"/>
              <w:rPr>
                <w:sz w:val="20"/>
                <w:szCs w:val="20"/>
                <w:color w:val="auto"/>
              </w:rPr>
            </w:pPr>
            <w:r>
              <w:rPr>
                <w:rFonts w:ascii="Arial" w:cs="Arial" w:eastAsia="Arial" w:hAnsi="Arial"/>
                <w:sz w:val="16"/>
                <w:szCs w:val="16"/>
                <w:color w:val="auto"/>
              </w:rPr>
              <w:t>Continued implementation of transformational digital capabilities and</w:t>
            </w:r>
          </w:p>
        </w:tc>
        <w:tc>
          <w:tcPr>
            <w:tcW w:w="0" w:type="dxa"/>
            <w:vAlign w:val="bottom"/>
          </w:tcPr>
          <w:p>
            <w:pPr>
              <w:spacing w:after="0"/>
              <w:rPr>
                <w:sz w:val="1"/>
                <w:szCs w:val="1"/>
                <w:color w:val="auto"/>
              </w:rPr>
            </w:pPr>
          </w:p>
        </w:tc>
      </w:tr>
      <w:tr>
        <w:trPr>
          <w:trHeight w:val="235"/>
        </w:trPr>
        <w:tc>
          <w:tcPr>
            <w:tcW w:w="5180" w:type="dxa"/>
            <w:vAlign w:val="bottom"/>
          </w:tcPr>
          <w:p>
            <w:pPr>
              <w:ind w:left="920"/>
              <w:spacing w:after="0"/>
              <w:rPr>
                <w:sz w:val="20"/>
                <w:szCs w:val="20"/>
                <w:color w:val="auto"/>
              </w:rPr>
            </w:pPr>
            <w:r>
              <w:rPr>
                <w:rFonts w:ascii="Arial" w:cs="Arial" w:eastAsia="Arial" w:hAnsi="Arial"/>
                <w:sz w:val="16"/>
                <w:szCs w:val="16"/>
                <w:color w:val="auto"/>
              </w:rPr>
              <w:t>partnering</w:t>
            </w:r>
          </w:p>
        </w:tc>
        <w:tc>
          <w:tcPr>
            <w:tcW w:w="320" w:type="dxa"/>
            <w:vAlign w:val="bottom"/>
          </w:tcPr>
          <w:p>
            <w:pPr>
              <w:spacing w:after="0"/>
              <w:rPr>
                <w:sz w:val="20"/>
                <w:szCs w:val="20"/>
                <w:color w:val="auto"/>
              </w:rPr>
            </w:pPr>
          </w:p>
        </w:tc>
        <w:tc>
          <w:tcPr>
            <w:tcW w:w="5740" w:type="dxa"/>
            <w:vAlign w:val="bottom"/>
          </w:tcPr>
          <w:p>
            <w:pPr>
              <w:ind w:left="60"/>
              <w:spacing w:after="0"/>
              <w:rPr>
                <w:sz w:val="20"/>
                <w:szCs w:val="20"/>
                <w:color w:val="auto"/>
              </w:rPr>
            </w:pPr>
            <w:r>
              <w:rPr>
                <w:rFonts w:ascii="Arial" w:cs="Arial" w:eastAsia="Arial" w:hAnsi="Arial"/>
                <w:sz w:val="16"/>
                <w:szCs w:val="16"/>
                <w:color w:val="auto"/>
              </w:rPr>
              <w:t>infrastructure across the enterprise</w:t>
            </w:r>
          </w:p>
        </w:tc>
        <w:tc>
          <w:tcPr>
            <w:tcW w:w="0" w:type="dxa"/>
            <w:vAlign w:val="bottom"/>
          </w:tcPr>
          <w:p>
            <w:pPr>
              <w:spacing w:after="0"/>
              <w:rPr>
                <w:sz w:val="1"/>
                <w:szCs w:val="1"/>
                <w:color w:val="auto"/>
              </w:rPr>
            </w:pPr>
          </w:p>
        </w:tc>
      </w:tr>
      <w:tr>
        <w:trPr>
          <w:trHeight w:val="101"/>
        </w:trPr>
        <w:tc>
          <w:tcPr>
            <w:tcW w:w="5180" w:type="dxa"/>
            <w:vAlign w:val="bottom"/>
            <w:tcBorders>
              <w:bottom w:val="single" w:sz="8" w:color="959595"/>
            </w:tcBorders>
          </w:tcPr>
          <w:p>
            <w:pPr>
              <w:spacing w:after="0"/>
              <w:rPr>
                <w:sz w:val="8"/>
                <w:szCs w:val="8"/>
                <w:color w:val="auto"/>
              </w:rPr>
            </w:pPr>
          </w:p>
        </w:tc>
        <w:tc>
          <w:tcPr>
            <w:tcW w:w="6060" w:type="dxa"/>
            <w:vAlign w:val="bottom"/>
            <w:tcBorders>
              <w:bottom w:val="single" w:sz="8" w:color="95959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518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Talent Management</w:t>
            </w:r>
          </w:p>
        </w:tc>
        <w:tc>
          <w:tcPr>
            <w:tcW w:w="6060" w:type="dxa"/>
            <w:vAlign w:val="bottom"/>
            <w:gridSpan w:val="2"/>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Evolved the way we work and developed infrastructure for future success</w:t>
            </w:r>
          </w:p>
        </w:tc>
        <w:tc>
          <w:tcPr>
            <w:tcW w:w="0" w:type="dxa"/>
            <w:vAlign w:val="bottom"/>
          </w:tcPr>
          <w:p>
            <w:pPr>
              <w:spacing w:after="0"/>
              <w:rPr>
                <w:sz w:val="1"/>
                <w:szCs w:val="1"/>
                <w:color w:val="auto"/>
              </w:rPr>
            </w:pPr>
          </w:p>
        </w:tc>
      </w:tr>
      <w:tr>
        <w:trPr>
          <w:trHeight w:val="108"/>
        </w:trPr>
        <w:tc>
          <w:tcPr>
            <w:tcW w:w="5180" w:type="dxa"/>
            <w:vAlign w:val="bottom"/>
            <w:vMerge w:val="continue"/>
          </w:tcPr>
          <w:p>
            <w:pPr>
              <w:spacing w:after="0"/>
              <w:rPr>
                <w:sz w:val="9"/>
                <w:szCs w:val="9"/>
                <w:color w:val="auto"/>
              </w:rPr>
            </w:pPr>
          </w:p>
        </w:tc>
        <w:tc>
          <w:tcPr>
            <w:tcW w:w="320" w:type="dxa"/>
            <w:vAlign w:val="bottom"/>
            <w:vMerge w:val="restart"/>
          </w:tcPr>
          <w:p>
            <w:pPr>
              <w:ind w:left="220"/>
              <w:spacing w:after="0"/>
              <w:rPr>
                <w:sz w:val="20"/>
                <w:szCs w:val="20"/>
                <w:color w:val="auto"/>
              </w:rPr>
            </w:pPr>
            <w:r>
              <w:rPr>
                <w:rFonts w:ascii="Arial" w:cs="Arial" w:eastAsia="Arial" w:hAnsi="Arial"/>
                <w:sz w:val="16"/>
                <w:szCs w:val="16"/>
                <w:color w:val="002E6D"/>
              </w:rPr>
              <w:t>•</w:t>
            </w:r>
          </w:p>
        </w:tc>
        <w:tc>
          <w:tcPr>
            <w:tcW w:w="5740" w:type="dxa"/>
            <w:vAlign w:val="bottom"/>
            <w:vMerge w:val="restart"/>
          </w:tcPr>
          <w:p>
            <w:pPr>
              <w:ind w:left="40"/>
              <w:spacing w:after="0"/>
              <w:rPr>
                <w:sz w:val="20"/>
                <w:szCs w:val="20"/>
                <w:color w:val="auto"/>
              </w:rPr>
            </w:pPr>
            <w:r>
              <w:rPr>
                <w:rFonts w:ascii="Arial" w:cs="Arial" w:eastAsia="Arial" w:hAnsi="Arial"/>
                <w:sz w:val="16"/>
                <w:szCs w:val="16"/>
                <w:color w:val="auto"/>
              </w:rPr>
              <w:t>Successfully executed diversity and inclusion initiatives with respect to</w:t>
            </w:r>
          </w:p>
        </w:tc>
        <w:tc>
          <w:tcPr>
            <w:tcW w:w="0" w:type="dxa"/>
            <w:vAlign w:val="bottom"/>
          </w:tcPr>
          <w:p>
            <w:pPr>
              <w:spacing w:after="0"/>
              <w:rPr>
                <w:sz w:val="1"/>
                <w:szCs w:val="1"/>
                <w:color w:val="auto"/>
              </w:rPr>
            </w:pPr>
          </w:p>
        </w:tc>
      </w:tr>
      <w:tr>
        <w:trPr>
          <w:trHeight w:val="149"/>
        </w:trPr>
        <w:tc>
          <w:tcPr>
            <w:tcW w:w="5180" w:type="dxa"/>
            <w:vAlign w:val="bottom"/>
            <w:vMerge w:val="restart"/>
          </w:tcPr>
          <w:p>
            <w:pPr>
              <w:ind w:left="920"/>
              <w:spacing w:after="0"/>
              <w:rPr>
                <w:sz w:val="20"/>
                <w:szCs w:val="20"/>
                <w:color w:val="auto"/>
              </w:rPr>
            </w:pPr>
            <w:r>
              <w:rPr>
                <w:rFonts w:ascii="Arial" w:cs="Arial" w:eastAsia="Arial" w:hAnsi="Arial"/>
                <w:sz w:val="16"/>
                <w:szCs w:val="16"/>
                <w:color w:val="auto"/>
              </w:rPr>
              <w:t>Attract, develop and retain the workforce needed to</w:t>
            </w:r>
          </w:p>
        </w:tc>
        <w:tc>
          <w:tcPr>
            <w:tcW w:w="320" w:type="dxa"/>
            <w:vAlign w:val="bottom"/>
            <w:vMerge w:val="continue"/>
          </w:tcPr>
          <w:p>
            <w:pPr>
              <w:spacing w:after="0"/>
              <w:rPr>
                <w:sz w:val="12"/>
                <w:szCs w:val="12"/>
                <w:color w:val="auto"/>
              </w:rPr>
            </w:pPr>
          </w:p>
        </w:tc>
        <w:tc>
          <w:tcPr>
            <w:tcW w:w="5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740" w:type="dxa"/>
            <w:vAlign w:val="bottom"/>
          </w:tcPr>
          <w:p>
            <w:pPr>
              <w:ind w:left="60"/>
              <w:spacing w:after="0" w:line="170" w:lineRule="exact"/>
              <w:rPr>
                <w:sz w:val="20"/>
                <w:szCs w:val="20"/>
                <w:color w:val="auto"/>
              </w:rPr>
            </w:pPr>
            <w:r>
              <w:rPr>
                <w:rFonts w:ascii="Arial" w:cs="Arial" w:eastAsia="Arial" w:hAnsi="Arial"/>
                <w:sz w:val="16"/>
                <w:szCs w:val="16"/>
                <w:color w:val="auto"/>
              </w:rPr>
              <w:t>representation, attrition, external hiring, and leadership</w:t>
            </w:r>
          </w:p>
        </w:tc>
        <w:tc>
          <w:tcPr>
            <w:tcW w:w="0" w:type="dxa"/>
            <w:vAlign w:val="bottom"/>
          </w:tcPr>
          <w:p>
            <w:pPr>
              <w:spacing w:after="0"/>
              <w:rPr>
                <w:sz w:val="1"/>
                <w:szCs w:val="1"/>
                <w:color w:val="auto"/>
              </w:rPr>
            </w:pPr>
          </w:p>
        </w:tc>
      </w:tr>
      <w:tr>
        <w:trPr>
          <w:trHeight w:val="195"/>
        </w:trPr>
        <w:tc>
          <w:tcPr>
            <w:tcW w:w="5180" w:type="dxa"/>
            <w:vAlign w:val="bottom"/>
          </w:tcPr>
          <w:p>
            <w:pPr>
              <w:ind w:left="920"/>
              <w:spacing w:after="0"/>
              <w:rPr>
                <w:sz w:val="20"/>
                <w:szCs w:val="20"/>
                <w:color w:val="auto"/>
              </w:rPr>
            </w:pPr>
            <w:r>
              <w:rPr>
                <w:rFonts w:ascii="Arial" w:cs="Arial" w:eastAsia="Arial" w:hAnsi="Arial"/>
                <w:sz w:val="16"/>
                <w:szCs w:val="16"/>
                <w:color w:val="auto"/>
              </w:rPr>
              <w:t>deliver commitments to customers and stockholders</w:t>
            </w:r>
          </w:p>
        </w:tc>
        <w:tc>
          <w:tcPr>
            <w:tcW w:w="6060" w:type="dxa"/>
            <w:vAlign w:val="bottom"/>
            <w:gridSpan w:val="2"/>
            <w:vMerge w:val="restart"/>
          </w:tcPr>
          <w:p>
            <w:pPr>
              <w:ind w:left="220"/>
              <w:spacing w:after="0"/>
              <w:rPr>
                <w:sz w:val="20"/>
                <w:szCs w:val="20"/>
                <w:color w:val="auto"/>
              </w:rPr>
            </w:pPr>
            <w:r>
              <w:rPr>
                <w:rFonts w:ascii="Arial" w:cs="Arial" w:eastAsia="Arial" w:hAnsi="Arial"/>
                <w:sz w:val="16"/>
                <w:szCs w:val="16"/>
                <w:color w:val="002E6D"/>
              </w:rPr>
              <w:t xml:space="preserve">• </w:t>
            </w:r>
            <w:r>
              <w:rPr>
                <w:rFonts w:ascii="Arial" w:cs="Arial" w:eastAsia="Arial" w:hAnsi="Arial"/>
                <w:sz w:val="16"/>
                <w:szCs w:val="16"/>
                <w:color w:val="000000"/>
              </w:rPr>
              <w:t>Achieved business objectives in 19 union negotiations</w:t>
            </w:r>
          </w:p>
        </w:tc>
        <w:tc>
          <w:tcPr>
            <w:tcW w:w="0" w:type="dxa"/>
            <w:vAlign w:val="bottom"/>
          </w:tcPr>
          <w:p>
            <w:pPr>
              <w:spacing w:after="0"/>
              <w:rPr>
                <w:sz w:val="1"/>
                <w:szCs w:val="1"/>
                <w:color w:val="auto"/>
              </w:rPr>
            </w:pPr>
          </w:p>
        </w:tc>
      </w:tr>
      <w:tr>
        <w:trPr>
          <w:trHeight w:val="94"/>
        </w:trPr>
        <w:tc>
          <w:tcPr>
            <w:tcW w:w="5180" w:type="dxa"/>
            <w:vAlign w:val="bottom"/>
          </w:tcPr>
          <w:p>
            <w:pPr>
              <w:spacing w:after="0"/>
              <w:rPr>
                <w:sz w:val="8"/>
                <w:szCs w:val="8"/>
                <w:color w:val="auto"/>
              </w:rPr>
            </w:pPr>
          </w:p>
        </w:tc>
        <w:tc>
          <w:tcPr>
            <w:tcW w:w="6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180" w:type="dxa"/>
            <w:vAlign w:val="bottom"/>
            <w:tcBorders>
              <w:bottom w:val="single" w:sz="8" w:color="959595"/>
            </w:tcBorders>
          </w:tcPr>
          <w:p>
            <w:pPr>
              <w:spacing w:after="0"/>
              <w:rPr>
                <w:sz w:val="7"/>
                <w:szCs w:val="7"/>
                <w:color w:val="auto"/>
              </w:rPr>
            </w:pPr>
          </w:p>
        </w:tc>
        <w:tc>
          <w:tcPr>
            <w:tcW w:w="320" w:type="dxa"/>
            <w:vAlign w:val="bottom"/>
            <w:tcBorders>
              <w:bottom w:val="single" w:sz="8" w:color="959595"/>
            </w:tcBorders>
          </w:tcPr>
          <w:p>
            <w:pPr>
              <w:spacing w:after="0"/>
              <w:rPr>
                <w:sz w:val="7"/>
                <w:szCs w:val="7"/>
                <w:color w:val="auto"/>
              </w:rPr>
            </w:pPr>
          </w:p>
        </w:tc>
        <w:tc>
          <w:tcPr>
            <w:tcW w:w="5740" w:type="dxa"/>
            <w:vAlign w:val="bottom"/>
            <w:tcBorders>
              <w:bottom w:val="single" w:sz="8" w:color="959595"/>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180" w:type="dxa"/>
            <w:vAlign w:val="bottom"/>
            <w:tcBorders>
              <w:bottom w:val="single" w:sz="8" w:color="929292"/>
            </w:tcBorders>
          </w:tcPr>
          <w:p>
            <w:pPr>
              <w:ind w:left="20"/>
              <w:spacing w:after="0"/>
              <w:rPr>
                <w:sz w:val="20"/>
                <w:szCs w:val="20"/>
                <w:color w:val="auto"/>
              </w:rPr>
            </w:pPr>
            <w:r>
              <w:rPr>
                <w:rFonts w:ascii="Arial" w:cs="Arial" w:eastAsia="Arial" w:hAnsi="Arial"/>
                <w:sz w:val="16"/>
                <w:szCs w:val="16"/>
                <w:b w:val="1"/>
                <w:bCs w:val="1"/>
                <w:color w:val="002E6D"/>
              </w:rPr>
              <w:t>Strategic &amp; Operational Payout Factor</w:t>
            </w:r>
          </w:p>
        </w:tc>
        <w:tc>
          <w:tcPr>
            <w:tcW w:w="320" w:type="dxa"/>
            <w:vAlign w:val="bottom"/>
            <w:tcBorders>
              <w:bottom w:val="single" w:sz="8" w:color="929292"/>
            </w:tcBorders>
          </w:tcPr>
          <w:p>
            <w:pPr>
              <w:spacing w:after="0"/>
              <w:rPr>
                <w:sz w:val="18"/>
                <w:szCs w:val="18"/>
                <w:color w:val="auto"/>
              </w:rPr>
            </w:pPr>
          </w:p>
        </w:tc>
        <w:tc>
          <w:tcPr>
            <w:tcW w:w="5740" w:type="dxa"/>
            <w:vAlign w:val="bottom"/>
            <w:tcBorders>
              <w:bottom w:val="single" w:sz="8" w:color="929292"/>
            </w:tcBorders>
          </w:tcPr>
          <w:p>
            <w:pPr>
              <w:ind w:left="5260"/>
              <w:spacing w:after="0"/>
              <w:rPr>
                <w:sz w:val="20"/>
                <w:szCs w:val="20"/>
                <w:color w:val="auto"/>
              </w:rPr>
            </w:pPr>
            <w:r>
              <w:rPr>
                <w:rFonts w:ascii="Arial" w:cs="Arial" w:eastAsia="Arial" w:hAnsi="Arial"/>
                <w:sz w:val="16"/>
                <w:szCs w:val="16"/>
                <w:b w:val="1"/>
                <w:bCs w:val="1"/>
                <w:color w:val="002E6D"/>
              </w:rPr>
              <w:t>180 %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-4902835</wp:posOffset>
            </wp:positionV>
            <wp:extent cx="342900" cy="3943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0" cy="39433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-4131310</wp:posOffset>
            </wp:positionV>
            <wp:extent cx="299720" cy="3003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9720" cy="3003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-3522980</wp:posOffset>
            </wp:positionV>
            <wp:extent cx="308610" cy="3429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8610" cy="34290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-2896870</wp:posOffset>
            </wp:positionV>
            <wp:extent cx="308610" cy="3517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08610" cy="3517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-2193925</wp:posOffset>
            </wp:positionV>
            <wp:extent cx="316865" cy="3771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6865" cy="3771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-1405255</wp:posOffset>
            </wp:positionV>
            <wp:extent cx="291465" cy="3511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91465" cy="3511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-711200</wp:posOffset>
            </wp:positionV>
            <wp:extent cx="325755" cy="3771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5755" cy="377190"/>
                    </a:xfrm>
                    <a:prstGeom prst="rect">
                      <a:avLst/>
                    </a:prstGeom>
                    <a:noFill/>
                  </pic:spPr>
                </pic:pic>
              </a:graphicData>
            </a:graphic>
          </wp:anchor>
        </w:drawing>
      </w:r>
    </w:p>
    <w:p>
      <w:pPr>
        <w:spacing w:after="0" w:line="95"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The Compensation Committee reviewed these accomplishments and recommended this factor to recognize the Corporation’s strong operational performance in a highly competitive environment while undertaking and executing major strategic initiatives.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49</w:t>
      </w:r>
    </w:p>
    <w:p>
      <w:pPr>
        <w:sectPr>
          <w:pgSz w:w="11900" w:h="16838" w:orient="portrait"/>
          <w:cols w:equalWidth="0" w:num="1">
            <w:col w:w="11240"/>
          </w:cols>
          <w:pgMar w:left="320" w:top="609" w:right="339" w:bottom="1440" w:gutter="0" w:footer="0" w:header="0"/>
        </w:sectPr>
      </w:pPr>
    </w:p>
    <w:bookmarkStart w:id="53" w:name="page54"/>
    <w:bookmarkEnd w:id="53"/>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475C90"/>
        </w:rPr>
        <w:t>Summary of Annual Incentive Payout Calculations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For 2020, the Compensation Committee approved an annual incentive target of 175% of base salary for Mr. Taiclet, aligning with the 2020 market rates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Ms. Hewson's and Mr. Possenriede's annual incentive target percentage did not change and remained at 175% and 105% of base salary, respectively. Mr. St. John's target of 105% of base salary also did not change in connection with his appointment as COO during 2020. Our business segment EVPs' targets were set to 105% of their base salaries. The final payout factor and payout amounts for each of our NEOs, as determined by the Board,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color w:val="475C90"/>
        </w:rPr>
        <w:t>Summary of 2020 Enterprise Performance &amp; Overall Payout Factor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Borders>
              <w:bottom w:val="single" w:sz="8" w:color="E5E7EF"/>
            </w:tcBorders>
            <w:shd w:val="clear" w:color="auto" w:fill="E5E7EF"/>
          </w:tcPr>
          <w:p>
            <w:pPr>
              <w:spacing w:after="0"/>
              <w:rPr>
                <w:sz w:val="18"/>
                <w:szCs w:val="18"/>
                <w:color w:val="auto"/>
              </w:rPr>
            </w:pPr>
          </w:p>
        </w:tc>
        <w:tc>
          <w:tcPr>
            <w:tcW w:w="1100" w:type="dxa"/>
            <w:vAlign w:val="bottom"/>
            <w:tcBorders>
              <w:bottom w:val="single" w:sz="8" w:color="E5E7EF"/>
            </w:tcBorders>
            <w:shd w:val="clear" w:color="auto" w:fill="E5E7EF"/>
          </w:tcPr>
          <w:p>
            <w:pPr>
              <w:jc w:val="right"/>
              <w:ind w:right="330"/>
              <w:spacing w:after="0"/>
              <w:rPr>
                <w:sz w:val="20"/>
                <w:szCs w:val="20"/>
                <w:color w:val="auto"/>
              </w:rPr>
            </w:pPr>
            <w:r>
              <w:rPr>
                <w:rFonts w:ascii="Arial" w:cs="Arial" w:eastAsia="Arial" w:hAnsi="Arial"/>
                <w:sz w:val="13"/>
                <w:szCs w:val="13"/>
                <w:color w:val="auto"/>
              </w:rPr>
              <w:t>Weight</w:t>
            </w:r>
          </w:p>
        </w:tc>
        <w:tc>
          <w:tcPr>
            <w:tcW w:w="420" w:type="dxa"/>
            <w:vAlign w:val="bottom"/>
            <w:tcBorders>
              <w:bottom w:val="single" w:sz="8" w:color="E5E7EF"/>
            </w:tcBorders>
            <w:shd w:val="clear" w:color="auto" w:fill="E5E7EF"/>
          </w:tcPr>
          <w:p>
            <w:pPr>
              <w:spacing w:after="0"/>
              <w:rPr>
                <w:sz w:val="18"/>
                <w:szCs w:val="18"/>
                <w:color w:val="auto"/>
              </w:rPr>
            </w:pPr>
          </w:p>
        </w:tc>
        <w:tc>
          <w:tcPr>
            <w:tcW w:w="1180" w:type="dxa"/>
            <w:vAlign w:val="bottom"/>
            <w:tcBorders>
              <w:bottom w:val="single" w:sz="8" w:color="E5E7EF"/>
            </w:tcBorders>
            <w:shd w:val="clear" w:color="auto" w:fill="E5E7EF"/>
          </w:tcPr>
          <w:p>
            <w:pPr>
              <w:jc w:val="right"/>
              <w:ind w:right="233"/>
              <w:spacing w:after="0"/>
              <w:rPr>
                <w:sz w:val="20"/>
                <w:szCs w:val="20"/>
                <w:color w:val="auto"/>
              </w:rPr>
            </w:pPr>
            <w:r>
              <w:rPr>
                <w:rFonts w:ascii="Arial" w:cs="Arial" w:eastAsia="Arial" w:hAnsi="Arial"/>
                <w:sz w:val="13"/>
                <w:szCs w:val="13"/>
                <w:color w:val="auto"/>
              </w:rPr>
              <w:t>2020 Factors</w:t>
            </w:r>
          </w:p>
        </w:tc>
        <w:tc>
          <w:tcPr>
            <w:tcW w:w="400" w:type="dxa"/>
            <w:vAlign w:val="bottom"/>
            <w:tcBorders>
              <w:bottom w:val="single" w:sz="8" w:color="E5E7EF"/>
            </w:tcBorders>
            <w:shd w:val="clear" w:color="auto" w:fill="E5E7EF"/>
          </w:tcPr>
          <w:p>
            <w:pPr>
              <w:spacing w:after="0"/>
              <w:rPr>
                <w:sz w:val="18"/>
                <w:szCs w:val="18"/>
                <w:color w:val="auto"/>
              </w:rPr>
            </w:pPr>
          </w:p>
        </w:tc>
        <w:tc>
          <w:tcPr>
            <w:tcW w:w="1120" w:type="dxa"/>
            <w:vAlign w:val="bottom"/>
            <w:tcBorders>
              <w:bottom w:val="single" w:sz="8" w:color="E5E7EF"/>
            </w:tcBorders>
            <w:gridSpan w:val="2"/>
            <w:shd w:val="clear" w:color="auto" w:fill="E5E7EF"/>
          </w:tcPr>
          <w:p>
            <w:pPr>
              <w:jc w:val="right"/>
              <w:ind w:right="20"/>
              <w:spacing w:after="0"/>
              <w:rPr>
                <w:sz w:val="20"/>
                <w:szCs w:val="20"/>
                <w:color w:val="auto"/>
              </w:rPr>
            </w:pPr>
            <w:r>
              <w:rPr>
                <w:rFonts w:ascii="Arial" w:cs="Arial" w:eastAsia="Arial" w:hAnsi="Arial"/>
                <w:sz w:val="13"/>
                <w:szCs w:val="13"/>
                <w:color w:val="auto"/>
              </w:rPr>
              <w:t>Weighted Payout</w:t>
            </w:r>
          </w:p>
        </w:tc>
        <w:tc>
          <w:tcPr>
            <w:tcW w:w="0" w:type="dxa"/>
            <w:vAlign w:val="bottom"/>
          </w:tcPr>
          <w:p>
            <w:pPr>
              <w:spacing w:after="0"/>
              <w:rPr>
                <w:sz w:val="1"/>
                <w:szCs w:val="1"/>
                <w:color w:val="auto"/>
              </w:rPr>
            </w:pPr>
          </w:p>
        </w:tc>
      </w:tr>
      <w:tr>
        <w:trPr>
          <w:trHeight w:val="183"/>
        </w:trPr>
        <w:tc>
          <w:tcPr>
            <w:tcW w:w="4180" w:type="dxa"/>
            <w:vAlign w:val="bottom"/>
            <w:tcBorders>
              <w:top w:val="single" w:sz="8" w:color="929292"/>
              <w:bottom w:val="single" w:sz="8" w:color="929292"/>
            </w:tcBorders>
          </w:tcPr>
          <w:p>
            <w:pPr>
              <w:ind w:left="20"/>
              <w:spacing w:after="0"/>
              <w:rPr>
                <w:sz w:val="20"/>
                <w:szCs w:val="20"/>
                <w:color w:val="auto"/>
              </w:rPr>
            </w:pPr>
            <w:r>
              <w:rPr>
                <w:rFonts w:ascii="Arial" w:cs="Arial" w:eastAsia="Arial" w:hAnsi="Arial"/>
                <w:sz w:val="14"/>
                <w:szCs w:val="14"/>
                <w:color w:val="auto"/>
              </w:rPr>
              <w:t>Financial</w:t>
            </w:r>
          </w:p>
        </w:tc>
        <w:tc>
          <w:tcPr>
            <w:tcW w:w="1220" w:type="dxa"/>
            <w:vAlign w:val="bottom"/>
            <w:tcBorders>
              <w:top w:val="single" w:sz="8" w:color="929292"/>
              <w:bottom w:val="single" w:sz="8" w:color="929292"/>
            </w:tcBorders>
          </w:tcPr>
          <w:p>
            <w:pPr>
              <w:spacing w:after="0"/>
              <w:rPr>
                <w:sz w:val="15"/>
                <w:szCs w:val="15"/>
                <w:color w:val="auto"/>
              </w:rPr>
            </w:pPr>
          </w:p>
        </w:tc>
        <w:tc>
          <w:tcPr>
            <w:tcW w:w="800" w:type="dxa"/>
            <w:vAlign w:val="bottom"/>
            <w:tcBorders>
              <w:top w:val="single" w:sz="8" w:color="929292"/>
              <w:bottom w:val="single" w:sz="8" w:color="929292"/>
            </w:tcBorders>
          </w:tcPr>
          <w:p>
            <w:pPr>
              <w:spacing w:after="0"/>
              <w:rPr>
                <w:sz w:val="15"/>
                <w:szCs w:val="15"/>
                <w:color w:val="auto"/>
              </w:rPr>
            </w:pPr>
          </w:p>
        </w:tc>
        <w:tc>
          <w:tcPr>
            <w:tcW w:w="820" w:type="dxa"/>
            <w:vAlign w:val="bottom"/>
            <w:tcBorders>
              <w:top w:val="single" w:sz="8" w:color="929292"/>
              <w:bottom w:val="single" w:sz="8" w:color="929292"/>
            </w:tcBorders>
          </w:tcPr>
          <w:p>
            <w:pPr>
              <w:spacing w:after="0"/>
              <w:rPr>
                <w:sz w:val="15"/>
                <w:szCs w:val="15"/>
                <w:color w:val="auto"/>
              </w:rPr>
            </w:pPr>
          </w:p>
        </w:tc>
        <w:tc>
          <w:tcPr>
            <w:tcW w:w="1100" w:type="dxa"/>
            <w:vAlign w:val="bottom"/>
            <w:tcBorders>
              <w:top w:val="single" w:sz="8" w:color="929292"/>
              <w:bottom w:val="single" w:sz="8" w:color="929292"/>
            </w:tcBorders>
          </w:tcPr>
          <w:p>
            <w:pPr>
              <w:jc w:val="right"/>
              <w:ind w:right="330"/>
              <w:spacing w:after="0"/>
              <w:rPr>
                <w:sz w:val="20"/>
                <w:szCs w:val="20"/>
                <w:color w:val="auto"/>
              </w:rPr>
            </w:pPr>
            <w:r>
              <w:rPr>
                <w:rFonts w:ascii="Arial" w:cs="Arial" w:eastAsia="Arial" w:hAnsi="Arial"/>
                <w:sz w:val="14"/>
                <w:szCs w:val="14"/>
                <w:color w:val="auto"/>
              </w:rPr>
              <w:t>70%</w:t>
            </w:r>
          </w:p>
        </w:tc>
        <w:tc>
          <w:tcPr>
            <w:tcW w:w="420" w:type="dxa"/>
            <w:vAlign w:val="bottom"/>
            <w:tcBorders>
              <w:top w:val="single" w:sz="8" w:color="929292"/>
              <w:bottom w:val="single" w:sz="8" w:color="929292"/>
            </w:tcBorders>
          </w:tcPr>
          <w:p>
            <w:pPr>
              <w:spacing w:after="0"/>
              <w:rPr>
                <w:sz w:val="15"/>
                <w:szCs w:val="15"/>
                <w:color w:val="auto"/>
              </w:rPr>
            </w:pPr>
          </w:p>
        </w:tc>
        <w:tc>
          <w:tcPr>
            <w:tcW w:w="1180" w:type="dxa"/>
            <w:vAlign w:val="bottom"/>
            <w:tcBorders>
              <w:top w:val="single" w:sz="8" w:color="929292"/>
              <w:bottom w:val="single" w:sz="8" w:color="929292"/>
            </w:tcBorders>
          </w:tcPr>
          <w:p>
            <w:pPr>
              <w:jc w:val="right"/>
              <w:ind w:right="233"/>
              <w:spacing w:after="0"/>
              <w:rPr>
                <w:sz w:val="20"/>
                <w:szCs w:val="20"/>
                <w:color w:val="auto"/>
              </w:rPr>
            </w:pPr>
            <w:r>
              <w:rPr>
                <w:rFonts w:ascii="Arial" w:cs="Arial" w:eastAsia="Arial" w:hAnsi="Arial"/>
                <w:sz w:val="14"/>
                <w:szCs w:val="14"/>
                <w:color w:val="auto"/>
              </w:rPr>
              <w:t>175%</w:t>
            </w:r>
          </w:p>
        </w:tc>
        <w:tc>
          <w:tcPr>
            <w:tcW w:w="400" w:type="dxa"/>
            <w:vAlign w:val="bottom"/>
            <w:tcBorders>
              <w:top w:val="single" w:sz="8" w:color="929292"/>
              <w:bottom w:val="single" w:sz="8" w:color="929292"/>
            </w:tcBorders>
          </w:tcPr>
          <w:p>
            <w:pPr>
              <w:spacing w:after="0"/>
              <w:rPr>
                <w:sz w:val="15"/>
                <w:szCs w:val="15"/>
                <w:color w:val="auto"/>
              </w:rPr>
            </w:pPr>
          </w:p>
        </w:tc>
        <w:tc>
          <w:tcPr>
            <w:tcW w:w="1120" w:type="dxa"/>
            <w:vAlign w:val="bottom"/>
            <w:tcBorders>
              <w:top w:val="single" w:sz="8" w:color="929292"/>
              <w:bottom w:val="single" w:sz="8" w:color="929292"/>
            </w:tcBorders>
            <w:gridSpan w:val="2"/>
          </w:tcPr>
          <w:p>
            <w:pPr>
              <w:jc w:val="right"/>
              <w:ind w:right="2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Strategic &amp; Operational</w:t>
            </w:r>
          </w:p>
        </w:tc>
        <w:tc>
          <w:tcPr>
            <w:tcW w:w="1220" w:type="dxa"/>
            <w:vAlign w:val="bottom"/>
            <w:tcBorders>
              <w:bottom w:val="single" w:sz="8" w:color="929292"/>
            </w:tcBorders>
          </w:tcPr>
          <w:p>
            <w:pPr>
              <w:spacing w:after="0"/>
              <w:rPr>
                <w:sz w:val="15"/>
                <w:szCs w:val="15"/>
                <w:color w:val="auto"/>
              </w:rPr>
            </w:pPr>
          </w:p>
        </w:tc>
        <w:tc>
          <w:tcPr>
            <w:tcW w:w="800" w:type="dxa"/>
            <w:vAlign w:val="bottom"/>
            <w:tcBorders>
              <w:bottom w:val="single" w:sz="8" w:color="929292"/>
            </w:tcBorders>
          </w:tcPr>
          <w:p>
            <w:pPr>
              <w:spacing w:after="0"/>
              <w:rPr>
                <w:sz w:val="15"/>
                <w:szCs w:val="15"/>
                <w:color w:val="auto"/>
              </w:rPr>
            </w:pPr>
          </w:p>
        </w:tc>
        <w:tc>
          <w:tcPr>
            <w:tcW w:w="820" w:type="dxa"/>
            <w:vAlign w:val="bottom"/>
            <w:tcBorders>
              <w:bottom w:val="single" w:sz="8" w:color="929292"/>
            </w:tcBorders>
          </w:tcPr>
          <w:p>
            <w:pPr>
              <w:spacing w:after="0"/>
              <w:rPr>
                <w:sz w:val="15"/>
                <w:szCs w:val="15"/>
                <w:color w:val="auto"/>
              </w:rPr>
            </w:pPr>
          </w:p>
        </w:tc>
        <w:tc>
          <w:tcPr>
            <w:tcW w:w="1100" w:type="dxa"/>
            <w:vAlign w:val="bottom"/>
            <w:tcBorders>
              <w:bottom w:val="single" w:sz="8" w:color="929292"/>
            </w:tcBorders>
          </w:tcPr>
          <w:p>
            <w:pPr>
              <w:jc w:val="right"/>
              <w:ind w:right="330"/>
              <w:spacing w:after="0"/>
              <w:rPr>
                <w:sz w:val="20"/>
                <w:szCs w:val="20"/>
                <w:color w:val="auto"/>
              </w:rPr>
            </w:pPr>
            <w:r>
              <w:rPr>
                <w:rFonts w:ascii="Arial" w:cs="Arial" w:eastAsia="Arial" w:hAnsi="Arial"/>
                <w:sz w:val="14"/>
                <w:szCs w:val="14"/>
                <w:color w:val="auto"/>
              </w:rPr>
              <w:t>30%</w:t>
            </w:r>
          </w:p>
        </w:tc>
        <w:tc>
          <w:tcPr>
            <w:tcW w:w="420" w:type="dxa"/>
            <w:vAlign w:val="bottom"/>
            <w:tcBorders>
              <w:bottom w:val="single" w:sz="8" w:color="929292"/>
            </w:tcBorders>
          </w:tcPr>
          <w:p>
            <w:pPr>
              <w:spacing w:after="0"/>
              <w:rPr>
                <w:sz w:val="15"/>
                <w:szCs w:val="15"/>
                <w:color w:val="auto"/>
              </w:rPr>
            </w:pPr>
          </w:p>
        </w:tc>
        <w:tc>
          <w:tcPr>
            <w:tcW w:w="1180" w:type="dxa"/>
            <w:vAlign w:val="bottom"/>
            <w:tcBorders>
              <w:bottom w:val="single" w:sz="8" w:color="929292"/>
            </w:tcBorders>
          </w:tcPr>
          <w:p>
            <w:pPr>
              <w:jc w:val="right"/>
              <w:ind w:right="233"/>
              <w:spacing w:after="0"/>
              <w:rPr>
                <w:sz w:val="20"/>
                <w:szCs w:val="20"/>
                <w:color w:val="auto"/>
              </w:rPr>
            </w:pPr>
            <w:r>
              <w:rPr>
                <w:rFonts w:ascii="Arial" w:cs="Arial" w:eastAsia="Arial" w:hAnsi="Arial"/>
                <w:sz w:val="14"/>
                <w:szCs w:val="14"/>
                <w:color w:val="auto"/>
              </w:rPr>
              <w:t>180%</w:t>
            </w:r>
          </w:p>
        </w:tc>
        <w:tc>
          <w:tcPr>
            <w:tcW w:w="400" w:type="dxa"/>
            <w:vAlign w:val="bottom"/>
            <w:tcBorders>
              <w:bottom w:val="single" w:sz="8" w:color="929292"/>
            </w:tcBorders>
          </w:tcPr>
          <w:p>
            <w:pPr>
              <w:spacing w:after="0"/>
              <w:rPr>
                <w:sz w:val="15"/>
                <w:szCs w:val="15"/>
                <w:color w:val="auto"/>
              </w:rPr>
            </w:pPr>
          </w:p>
        </w:tc>
        <w:tc>
          <w:tcPr>
            <w:tcW w:w="1120" w:type="dxa"/>
            <w:vAlign w:val="bottom"/>
            <w:tcBorders>
              <w:bottom w:val="single" w:sz="8" w:color="929292"/>
            </w:tcBorders>
            <w:gridSpan w:val="2"/>
          </w:tcPr>
          <w:p>
            <w:pPr>
              <w:jc w:val="right"/>
              <w:ind w:right="2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17"/>
        </w:trPr>
        <w:tc>
          <w:tcPr>
            <w:tcW w:w="4180" w:type="dxa"/>
            <w:vAlign w:val="bottom"/>
            <w:tcBorders>
              <w:bottom w:val="single" w:sz="8" w:color="929292"/>
            </w:tcBorders>
            <w:shd w:val="clear" w:color="auto" w:fill="E5E7EF"/>
          </w:tcPr>
          <w:p>
            <w:pPr>
              <w:ind w:left="20"/>
              <w:spacing w:after="0"/>
              <w:rPr>
                <w:sz w:val="20"/>
                <w:szCs w:val="20"/>
                <w:color w:val="auto"/>
              </w:rPr>
            </w:pPr>
            <w:r>
              <w:rPr>
                <w:rFonts w:ascii="Arial" w:cs="Arial" w:eastAsia="Arial" w:hAnsi="Arial"/>
                <w:sz w:val="16"/>
                <w:szCs w:val="16"/>
                <w:b w:val="1"/>
                <w:bCs w:val="1"/>
                <w:color w:val="002F6C"/>
              </w:rPr>
              <w:t>Overall Payout Factor</w:t>
            </w:r>
          </w:p>
        </w:tc>
        <w:tc>
          <w:tcPr>
            <w:tcW w:w="1220" w:type="dxa"/>
            <w:vAlign w:val="bottom"/>
            <w:tcBorders>
              <w:bottom w:val="single" w:sz="8" w:color="929292"/>
            </w:tcBorders>
            <w:shd w:val="clear" w:color="auto" w:fill="E5E7EF"/>
          </w:tcPr>
          <w:p>
            <w:pPr>
              <w:spacing w:after="0"/>
              <w:rPr>
                <w:sz w:val="18"/>
                <w:szCs w:val="18"/>
                <w:color w:val="auto"/>
              </w:rPr>
            </w:pPr>
          </w:p>
        </w:tc>
        <w:tc>
          <w:tcPr>
            <w:tcW w:w="800" w:type="dxa"/>
            <w:vAlign w:val="bottom"/>
            <w:tcBorders>
              <w:bottom w:val="single" w:sz="8" w:color="929292"/>
            </w:tcBorders>
            <w:shd w:val="clear" w:color="auto" w:fill="E5E7EF"/>
          </w:tcPr>
          <w:p>
            <w:pPr>
              <w:spacing w:after="0"/>
              <w:rPr>
                <w:sz w:val="18"/>
                <w:szCs w:val="18"/>
                <w:color w:val="auto"/>
              </w:rPr>
            </w:pPr>
          </w:p>
        </w:tc>
        <w:tc>
          <w:tcPr>
            <w:tcW w:w="820" w:type="dxa"/>
            <w:vAlign w:val="bottom"/>
            <w:tcBorders>
              <w:bottom w:val="single" w:sz="8" w:color="929292"/>
            </w:tcBorders>
            <w:shd w:val="clear" w:color="auto" w:fill="E5E7EF"/>
          </w:tcPr>
          <w:p>
            <w:pPr>
              <w:spacing w:after="0"/>
              <w:rPr>
                <w:sz w:val="18"/>
                <w:szCs w:val="18"/>
                <w:color w:val="auto"/>
              </w:rPr>
            </w:pPr>
          </w:p>
        </w:tc>
        <w:tc>
          <w:tcPr>
            <w:tcW w:w="1100" w:type="dxa"/>
            <w:vAlign w:val="bottom"/>
            <w:tcBorders>
              <w:bottom w:val="single" w:sz="8" w:color="929292"/>
            </w:tcBorders>
            <w:shd w:val="clear" w:color="auto" w:fill="E5E7EF"/>
          </w:tcPr>
          <w:p>
            <w:pPr>
              <w:spacing w:after="0"/>
              <w:rPr>
                <w:sz w:val="18"/>
                <w:szCs w:val="18"/>
                <w:color w:val="auto"/>
              </w:rPr>
            </w:pPr>
          </w:p>
        </w:tc>
        <w:tc>
          <w:tcPr>
            <w:tcW w:w="420" w:type="dxa"/>
            <w:vAlign w:val="bottom"/>
            <w:tcBorders>
              <w:bottom w:val="single" w:sz="8" w:color="929292"/>
            </w:tcBorders>
            <w:shd w:val="clear" w:color="auto" w:fill="E5E7EF"/>
          </w:tcPr>
          <w:p>
            <w:pPr>
              <w:spacing w:after="0"/>
              <w:rPr>
                <w:sz w:val="18"/>
                <w:szCs w:val="18"/>
                <w:color w:val="auto"/>
              </w:rPr>
            </w:pPr>
          </w:p>
        </w:tc>
        <w:tc>
          <w:tcPr>
            <w:tcW w:w="1180" w:type="dxa"/>
            <w:vAlign w:val="bottom"/>
            <w:tcBorders>
              <w:bottom w:val="single" w:sz="8" w:color="929292"/>
            </w:tcBorders>
            <w:shd w:val="clear" w:color="auto" w:fill="E5E7EF"/>
          </w:tcPr>
          <w:p>
            <w:pPr>
              <w:spacing w:after="0"/>
              <w:rPr>
                <w:sz w:val="18"/>
                <w:szCs w:val="18"/>
                <w:color w:val="auto"/>
              </w:rPr>
            </w:pPr>
          </w:p>
        </w:tc>
        <w:tc>
          <w:tcPr>
            <w:tcW w:w="400" w:type="dxa"/>
            <w:vAlign w:val="bottom"/>
            <w:tcBorders>
              <w:bottom w:val="single" w:sz="8" w:color="929292"/>
            </w:tcBorders>
            <w:shd w:val="clear" w:color="auto" w:fill="E5E7EF"/>
          </w:tcPr>
          <w:p>
            <w:pPr>
              <w:spacing w:after="0"/>
              <w:rPr>
                <w:sz w:val="18"/>
                <w:szCs w:val="18"/>
                <w:color w:val="auto"/>
              </w:rPr>
            </w:pPr>
          </w:p>
        </w:tc>
        <w:tc>
          <w:tcPr>
            <w:tcW w:w="1120" w:type="dxa"/>
            <w:vAlign w:val="bottom"/>
            <w:tcBorders>
              <w:bottom w:val="single" w:sz="8" w:color="929292"/>
            </w:tcBorders>
            <w:gridSpan w:val="2"/>
            <w:shd w:val="clear" w:color="auto" w:fill="E5E7EF"/>
          </w:tcPr>
          <w:p>
            <w:pPr>
              <w:jc w:val="right"/>
              <w:ind w:right="20"/>
              <w:spacing w:after="0"/>
              <w:rPr>
                <w:sz w:val="20"/>
                <w:szCs w:val="20"/>
                <w:color w:val="auto"/>
              </w:rPr>
            </w:pPr>
            <w:r>
              <w:rPr>
                <w:rFonts w:ascii="Arial" w:cs="Arial" w:eastAsia="Arial" w:hAnsi="Arial"/>
                <w:sz w:val="16"/>
                <w:szCs w:val="16"/>
                <w:b w:val="1"/>
                <w:bCs w:val="1"/>
                <w:color w:val="002F6C"/>
              </w:rPr>
              <w:t>177 %</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20" w:type="dxa"/>
            <w:vAlign w:val="bottom"/>
            <w:gridSpan w:val="2"/>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80" w:type="dxa"/>
            <w:vAlign w:val="bottom"/>
            <w:shd w:val="clear" w:color="auto" w:fill="E5E7EF"/>
          </w:tcPr>
          <w:p>
            <w:pPr>
              <w:spacing w:after="0"/>
              <w:rPr>
                <w:sz w:val="16"/>
                <w:szCs w:val="16"/>
                <w:color w:val="auto"/>
              </w:rPr>
            </w:pPr>
          </w:p>
        </w:tc>
        <w:tc>
          <w:tcPr>
            <w:tcW w:w="1220" w:type="dxa"/>
            <w:vAlign w:val="bottom"/>
            <w:shd w:val="clear" w:color="auto" w:fill="E5E7EF"/>
          </w:tcPr>
          <w:p>
            <w:pPr>
              <w:jc w:val="right"/>
              <w:ind w:right="190"/>
              <w:spacing w:after="0"/>
              <w:rPr>
                <w:sz w:val="20"/>
                <w:szCs w:val="20"/>
                <w:color w:val="auto"/>
              </w:rPr>
            </w:pPr>
            <w:r>
              <w:rPr>
                <w:rFonts w:ascii="Arial" w:cs="Arial" w:eastAsia="Arial" w:hAnsi="Arial"/>
                <w:sz w:val="13"/>
                <w:szCs w:val="13"/>
                <w:color w:val="auto"/>
              </w:rPr>
              <w:t>Base Salary</w:t>
            </w:r>
          </w:p>
        </w:tc>
        <w:tc>
          <w:tcPr>
            <w:tcW w:w="1620" w:type="dxa"/>
            <w:vAlign w:val="bottom"/>
            <w:gridSpan w:val="2"/>
            <w:shd w:val="clear" w:color="auto" w:fill="E5E7EF"/>
          </w:tcPr>
          <w:p>
            <w:pPr>
              <w:jc w:val="right"/>
              <w:ind w:right="340"/>
              <w:spacing w:after="0"/>
              <w:rPr>
                <w:sz w:val="20"/>
                <w:szCs w:val="20"/>
                <w:color w:val="auto"/>
              </w:rPr>
            </w:pPr>
            <w:r>
              <w:rPr>
                <w:rFonts w:ascii="Arial" w:cs="Arial" w:eastAsia="Arial" w:hAnsi="Arial"/>
                <w:sz w:val="13"/>
                <w:szCs w:val="13"/>
                <w:color w:val="auto"/>
              </w:rPr>
              <w:t>Target % of Salary</w:t>
            </w:r>
          </w:p>
        </w:tc>
        <w:tc>
          <w:tcPr>
            <w:tcW w:w="11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Target Award</w:t>
            </w:r>
          </w:p>
        </w:tc>
        <w:tc>
          <w:tcPr>
            <w:tcW w:w="420" w:type="dxa"/>
            <w:vAlign w:val="bottom"/>
            <w:vMerge w:val="restart"/>
            <w:shd w:val="clear" w:color="auto" w:fill="E5E7EF"/>
          </w:tcPr>
          <w:p>
            <w:pPr>
              <w:ind w:left="200"/>
              <w:spacing w:after="0"/>
              <w:rPr>
                <w:sz w:val="20"/>
                <w:szCs w:val="20"/>
                <w:color w:val="auto"/>
              </w:rPr>
            </w:pPr>
            <w:r>
              <w:rPr>
                <w:rFonts w:ascii="Arial" w:cs="Arial" w:eastAsia="Arial" w:hAnsi="Arial"/>
                <w:sz w:val="13"/>
                <w:szCs w:val="13"/>
                <w:color w:val="auto"/>
              </w:rPr>
              <w:t>X</w:t>
            </w:r>
          </w:p>
        </w:tc>
        <w:tc>
          <w:tcPr>
            <w:tcW w:w="1180" w:type="dxa"/>
            <w:vAlign w:val="bottom"/>
            <w:shd w:val="clear" w:color="auto" w:fill="E5E7EF"/>
          </w:tcPr>
          <w:p>
            <w:pPr>
              <w:jc w:val="right"/>
              <w:ind w:right="93"/>
              <w:spacing w:after="0"/>
              <w:rPr>
                <w:sz w:val="20"/>
                <w:szCs w:val="20"/>
                <w:color w:val="auto"/>
              </w:rPr>
            </w:pPr>
            <w:r>
              <w:rPr>
                <w:rFonts w:ascii="Arial" w:cs="Arial" w:eastAsia="Arial" w:hAnsi="Arial"/>
                <w:sz w:val="13"/>
                <w:szCs w:val="13"/>
                <w:color w:val="auto"/>
              </w:rPr>
              <w:t>Overall Payout</w:t>
            </w:r>
          </w:p>
        </w:tc>
        <w:tc>
          <w:tcPr>
            <w:tcW w:w="400" w:type="dxa"/>
            <w:vAlign w:val="bottom"/>
            <w:vMerge w:val="restart"/>
            <w:shd w:val="clear" w:color="auto" w:fill="E5E7EF"/>
          </w:tcPr>
          <w:p>
            <w:pPr>
              <w:jc w:val="right"/>
              <w:ind w:right="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Payout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180" w:type="dxa"/>
            <w:vAlign w:val="bottom"/>
            <w:vMerge w:val="restart"/>
            <w:shd w:val="clear" w:color="auto" w:fill="E5E7EF"/>
          </w:tcPr>
          <w:p>
            <w:pPr>
              <w:ind w:left="20"/>
              <w:spacing w:after="0"/>
              <w:rPr>
                <w:sz w:val="20"/>
                <w:szCs w:val="20"/>
                <w:color w:val="auto"/>
              </w:rPr>
            </w:pPr>
            <w:r>
              <w:rPr>
                <w:rFonts w:ascii="Arial" w:cs="Arial" w:eastAsia="Arial" w:hAnsi="Arial"/>
                <w:sz w:val="13"/>
                <w:szCs w:val="13"/>
                <w:color w:val="auto"/>
              </w:rPr>
              <w:t>NEO</w:t>
            </w:r>
          </w:p>
        </w:tc>
        <w:tc>
          <w:tcPr>
            <w:tcW w:w="1220" w:type="dxa"/>
            <w:vAlign w:val="bottom"/>
            <w:vMerge w:val="restart"/>
            <w:shd w:val="clear" w:color="auto" w:fill="E5E7EF"/>
          </w:tcPr>
          <w:p>
            <w:pPr>
              <w:jc w:val="right"/>
              <w:ind w:right="190"/>
              <w:spacing w:after="0"/>
              <w:rPr>
                <w:sz w:val="20"/>
                <w:szCs w:val="20"/>
                <w:color w:val="auto"/>
              </w:rPr>
            </w:pPr>
            <w:r>
              <w:rPr>
                <w:rFonts w:ascii="Arial" w:cs="Arial" w:eastAsia="Arial" w:hAnsi="Arial"/>
                <w:sz w:val="13"/>
                <w:szCs w:val="13"/>
                <w:color w:val="auto"/>
              </w:rPr>
              <w:t>($)</w:t>
            </w:r>
          </w:p>
        </w:tc>
        <w:tc>
          <w:tcPr>
            <w:tcW w:w="1620" w:type="dxa"/>
            <w:vAlign w:val="bottom"/>
            <w:gridSpan w:val="2"/>
            <w:vMerge w:val="restart"/>
            <w:shd w:val="clear" w:color="auto" w:fill="E5E7EF"/>
          </w:tcPr>
          <w:p>
            <w:pPr>
              <w:jc w:val="right"/>
              <w:ind w:right="340"/>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continue"/>
            <w:shd w:val="clear" w:color="auto" w:fill="E5E7EF"/>
          </w:tcPr>
          <w:p>
            <w:pPr>
              <w:spacing w:after="0"/>
              <w:rPr>
                <w:sz w:val="8"/>
                <w:szCs w:val="8"/>
                <w:color w:val="auto"/>
              </w:rPr>
            </w:pPr>
          </w:p>
        </w:tc>
        <w:tc>
          <w:tcPr>
            <w:tcW w:w="1180" w:type="dxa"/>
            <w:vAlign w:val="bottom"/>
            <w:vMerge w:val="restart"/>
            <w:shd w:val="clear" w:color="auto" w:fill="E5E7EF"/>
          </w:tcPr>
          <w:p>
            <w:pPr>
              <w:jc w:val="right"/>
              <w:ind w:right="313"/>
              <w:spacing w:after="0"/>
              <w:rPr>
                <w:sz w:val="20"/>
                <w:szCs w:val="20"/>
                <w:color w:val="auto"/>
              </w:rPr>
            </w:pPr>
            <w:r>
              <w:rPr>
                <w:rFonts w:ascii="Arial" w:cs="Arial" w:eastAsia="Arial" w:hAnsi="Arial"/>
                <w:sz w:val="13"/>
                <w:szCs w:val="13"/>
                <w:color w:val="auto"/>
              </w:rPr>
              <w:t>Factor</w:t>
            </w:r>
          </w:p>
        </w:tc>
        <w:tc>
          <w:tcPr>
            <w:tcW w:w="400" w:type="dxa"/>
            <w:vAlign w:val="bottom"/>
            <w:vMerge w:val="continue"/>
            <w:shd w:val="clear" w:color="auto" w:fill="E5E7EF"/>
          </w:tcPr>
          <w:p>
            <w:pPr>
              <w:spacing w:after="0"/>
              <w:rPr>
                <w:sz w:val="8"/>
                <w:szCs w:val="8"/>
                <w:color w:val="auto"/>
              </w:rPr>
            </w:pPr>
          </w:p>
        </w:tc>
        <w:tc>
          <w:tcPr>
            <w:tcW w:w="110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180" w:type="dxa"/>
            <w:vAlign w:val="bottom"/>
            <w:tcBorders>
              <w:bottom w:val="single" w:sz="8" w:color="E5E7EF"/>
            </w:tcBorders>
            <w:vMerge w:val="continue"/>
            <w:shd w:val="clear" w:color="auto" w:fill="E5E7EF"/>
          </w:tcPr>
          <w:p>
            <w:pPr>
              <w:spacing w:after="0"/>
              <w:rPr>
                <w:sz w:val="12"/>
                <w:szCs w:val="12"/>
                <w:color w:val="auto"/>
              </w:rPr>
            </w:pPr>
          </w:p>
        </w:tc>
        <w:tc>
          <w:tcPr>
            <w:tcW w:w="1220" w:type="dxa"/>
            <w:vAlign w:val="bottom"/>
            <w:tcBorders>
              <w:bottom w:val="single" w:sz="8" w:color="E5E7EF"/>
            </w:tcBorders>
            <w:vMerge w:val="continue"/>
            <w:shd w:val="clear" w:color="auto" w:fill="E5E7EF"/>
          </w:tcPr>
          <w:p>
            <w:pPr>
              <w:spacing w:after="0"/>
              <w:rPr>
                <w:sz w:val="12"/>
                <w:szCs w:val="12"/>
                <w:color w:val="auto"/>
              </w:rPr>
            </w:pPr>
          </w:p>
        </w:tc>
        <w:tc>
          <w:tcPr>
            <w:tcW w:w="1620" w:type="dxa"/>
            <w:vAlign w:val="bottom"/>
            <w:tcBorders>
              <w:bottom w:val="single" w:sz="8" w:color="E5E7EF"/>
            </w:tcBorders>
            <w:gridSpan w:val="2"/>
            <w:vMerge w:val="continue"/>
            <w:shd w:val="clear" w:color="auto" w:fill="E5E7EF"/>
          </w:tcPr>
          <w:p>
            <w:pPr>
              <w:spacing w:after="0"/>
              <w:rPr>
                <w:sz w:val="12"/>
                <w:szCs w:val="12"/>
                <w:color w:val="auto"/>
              </w:rPr>
            </w:pPr>
          </w:p>
        </w:tc>
        <w:tc>
          <w:tcPr>
            <w:tcW w:w="1100" w:type="dxa"/>
            <w:vAlign w:val="bottom"/>
            <w:tcBorders>
              <w:bottom w:val="single" w:sz="8" w:color="E5E7EF"/>
            </w:tcBorders>
            <w:vMerge w:val="continue"/>
            <w:shd w:val="clear" w:color="auto" w:fill="E5E7EF"/>
          </w:tcPr>
          <w:p>
            <w:pPr>
              <w:spacing w:after="0"/>
              <w:rPr>
                <w:sz w:val="12"/>
                <w:szCs w:val="12"/>
                <w:color w:val="auto"/>
              </w:rPr>
            </w:pPr>
          </w:p>
        </w:tc>
        <w:tc>
          <w:tcPr>
            <w:tcW w:w="420" w:type="dxa"/>
            <w:vAlign w:val="bottom"/>
            <w:tcBorders>
              <w:bottom w:val="single" w:sz="8" w:color="E5E7EF"/>
            </w:tcBorders>
            <w:shd w:val="clear" w:color="auto" w:fill="E5E7EF"/>
          </w:tcPr>
          <w:p>
            <w:pPr>
              <w:spacing w:after="0"/>
              <w:rPr>
                <w:sz w:val="12"/>
                <w:szCs w:val="12"/>
                <w:color w:val="auto"/>
              </w:rPr>
            </w:pPr>
          </w:p>
        </w:tc>
        <w:tc>
          <w:tcPr>
            <w:tcW w:w="1180" w:type="dxa"/>
            <w:vAlign w:val="bottom"/>
            <w:tcBorders>
              <w:bottom w:val="single" w:sz="8" w:color="E5E7EF"/>
            </w:tcBorders>
            <w:vMerge w:val="continue"/>
            <w:shd w:val="clear" w:color="auto" w:fill="E5E7EF"/>
          </w:tcPr>
          <w:p>
            <w:pPr>
              <w:spacing w:after="0"/>
              <w:rPr>
                <w:sz w:val="12"/>
                <w:szCs w:val="12"/>
                <w:color w:val="auto"/>
              </w:rPr>
            </w:pPr>
          </w:p>
        </w:tc>
        <w:tc>
          <w:tcPr>
            <w:tcW w:w="400" w:type="dxa"/>
            <w:vAlign w:val="bottom"/>
            <w:tcBorders>
              <w:bottom w:val="single" w:sz="8" w:color="E5E7EF"/>
            </w:tcBorders>
            <w:shd w:val="clear" w:color="auto" w:fill="E5E7EF"/>
          </w:tcPr>
          <w:p>
            <w:pPr>
              <w:spacing w:after="0"/>
              <w:rPr>
                <w:sz w:val="12"/>
                <w:szCs w:val="12"/>
                <w:color w:val="auto"/>
              </w:rPr>
            </w:pPr>
          </w:p>
        </w:tc>
        <w:tc>
          <w:tcPr>
            <w:tcW w:w="1100" w:type="dxa"/>
            <w:vAlign w:val="bottom"/>
            <w:tcBorders>
              <w:bottom w:val="single" w:sz="8" w:color="E5E7EF"/>
            </w:tcBorders>
            <w:vMerge w:val="continue"/>
            <w:shd w:val="clear" w:color="auto" w:fill="E5E7E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180" w:type="dxa"/>
            <w:vAlign w:val="bottom"/>
            <w:tcBorders>
              <w:top w:val="single" w:sz="8" w:color="B6B6B6"/>
              <w:bottom w:val="single" w:sz="8" w:color="B6B6B6"/>
            </w:tcBorders>
          </w:tcPr>
          <w:p>
            <w:pPr>
              <w:ind w:left="20"/>
              <w:spacing w:after="0"/>
              <w:rPr>
                <w:sz w:val="20"/>
                <w:szCs w:val="20"/>
                <w:color w:val="auto"/>
              </w:rPr>
            </w:pPr>
            <w:r>
              <w:rPr>
                <w:rFonts w:ascii="Arial" w:cs="Arial" w:eastAsia="Arial" w:hAnsi="Arial"/>
                <w:sz w:val="15"/>
                <w:szCs w:val="15"/>
                <w:color w:val="002F6C"/>
              </w:rPr>
              <w:t>Mr. Taiclet*</w:t>
            </w:r>
          </w:p>
        </w:tc>
        <w:tc>
          <w:tcPr>
            <w:tcW w:w="1220" w:type="dxa"/>
            <w:vAlign w:val="bottom"/>
            <w:tcBorders>
              <w:top w:val="single" w:sz="8" w:color="B6B6B6"/>
              <w:bottom w:val="single" w:sz="8" w:color="B6B6B6"/>
            </w:tcBorders>
          </w:tcPr>
          <w:p>
            <w:pPr>
              <w:jc w:val="right"/>
              <w:ind w:right="190"/>
              <w:spacing w:after="0"/>
              <w:rPr>
                <w:sz w:val="20"/>
                <w:szCs w:val="20"/>
                <w:color w:val="auto"/>
              </w:rPr>
            </w:pPr>
            <w:r>
              <w:rPr>
                <w:rFonts w:ascii="Arial" w:cs="Arial" w:eastAsia="Arial" w:hAnsi="Arial"/>
                <w:sz w:val="14"/>
                <w:szCs w:val="14"/>
                <w:color w:val="auto"/>
              </w:rPr>
              <w:t>1,700,000</w:t>
            </w:r>
          </w:p>
        </w:tc>
        <w:tc>
          <w:tcPr>
            <w:tcW w:w="1620" w:type="dxa"/>
            <w:vAlign w:val="bottom"/>
            <w:tcBorders>
              <w:top w:val="single" w:sz="8" w:color="B6B6B6"/>
              <w:bottom w:val="single" w:sz="8" w:color="B6B6B6"/>
            </w:tcBorders>
            <w:gridSpan w:val="2"/>
          </w:tcPr>
          <w:p>
            <w:pPr>
              <w:jc w:val="right"/>
              <w:ind w:right="340"/>
              <w:spacing w:after="0"/>
              <w:rPr>
                <w:sz w:val="20"/>
                <w:szCs w:val="20"/>
                <w:color w:val="auto"/>
              </w:rPr>
            </w:pPr>
            <w:r>
              <w:rPr>
                <w:rFonts w:ascii="Arial" w:cs="Arial" w:eastAsia="Arial" w:hAnsi="Arial"/>
                <w:sz w:val="14"/>
                <w:szCs w:val="14"/>
                <w:color w:val="auto"/>
              </w:rPr>
              <w:t>175</w:t>
            </w:r>
          </w:p>
        </w:tc>
        <w:tc>
          <w:tcPr>
            <w:tcW w:w="11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1,636,250</w:t>
            </w:r>
          </w:p>
        </w:tc>
        <w:tc>
          <w:tcPr>
            <w:tcW w:w="420" w:type="dxa"/>
            <w:vAlign w:val="bottom"/>
            <w:tcBorders>
              <w:top w:val="single" w:sz="8" w:color="B6B6B6"/>
            </w:tcBorders>
          </w:tcPr>
          <w:p>
            <w:pPr>
              <w:spacing w:after="0"/>
              <w:rPr>
                <w:sz w:val="21"/>
                <w:szCs w:val="21"/>
                <w:color w:val="auto"/>
              </w:rPr>
            </w:pPr>
          </w:p>
        </w:tc>
        <w:tc>
          <w:tcPr>
            <w:tcW w:w="1180" w:type="dxa"/>
            <w:vAlign w:val="bottom"/>
            <w:tcBorders>
              <w:top w:val="single" w:sz="8" w:color="B6B6B6"/>
            </w:tcBorders>
          </w:tcPr>
          <w:p>
            <w:pPr>
              <w:spacing w:after="0"/>
              <w:rPr>
                <w:sz w:val="21"/>
                <w:szCs w:val="21"/>
                <w:color w:val="auto"/>
              </w:rPr>
            </w:pPr>
          </w:p>
        </w:tc>
        <w:tc>
          <w:tcPr>
            <w:tcW w:w="400" w:type="dxa"/>
            <w:vAlign w:val="bottom"/>
            <w:tcBorders>
              <w:top w:val="single" w:sz="8" w:color="B6B6B6"/>
              <w:bottom w:val="single" w:sz="8" w:color="B6B6B6"/>
            </w:tcBorders>
          </w:tcPr>
          <w:p>
            <w:pPr>
              <w:spacing w:after="0"/>
              <w:rPr>
                <w:sz w:val="21"/>
                <w:szCs w:val="21"/>
                <w:color w:val="auto"/>
              </w:rPr>
            </w:pPr>
          </w:p>
        </w:tc>
        <w:tc>
          <w:tcPr>
            <w:tcW w:w="11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2,896,200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B6B6B6"/>
            </w:tcBorders>
          </w:tcPr>
          <w:p>
            <w:pPr>
              <w:ind w:left="20"/>
              <w:spacing w:after="0"/>
              <w:rPr>
                <w:sz w:val="20"/>
                <w:szCs w:val="20"/>
                <w:color w:val="auto"/>
              </w:rPr>
            </w:pPr>
            <w:r>
              <w:rPr>
                <w:rFonts w:ascii="Arial" w:cs="Arial" w:eastAsia="Arial" w:hAnsi="Arial"/>
                <w:sz w:val="15"/>
                <w:szCs w:val="15"/>
                <w:color w:val="002F6C"/>
              </w:rPr>
              <w:t>Ms. Hewson</w:t>
            </w:r>
          </w:p>
        </w:tc>
        <w:tc>
          <w:tcPr>
            <w:tcW w:w="1220" w:type="dxa"/>
            <w:vAlign w:val="bottom"/>
            <w:tcBorders>
              <w:bottom w:val="single" w:sz="8" w:color="B6B6B6"/>
            </w:tcBorders>
          </w:tcPr>
          <w:p>
            <w:pPr>
              <w:jc w:val="right"/>
              <w:ind w:right="190"/>
              <w:spacing w:after="0"/>
              <w:rPr>
                <w:sz w:val="20"/>
                <w:szCs w:val="20"/>
                <w:color w:val="auto"/>
              </w:rPr>
            </w:pPr>
            <w:r>
              <w:rPr>
                <w:rFonts w:ascii="Arial" w:cs="Arial" w:eastAsia="Arial" w:hAnsi="Arial"/>
                <w:sz w:val="14"/>
                <w:szCs w:val="14"/>
                <w:color w:val="auto"/>
              </w:rPr>
              <w:t>1,855,000</w:t>
            </w:r>
          </w:p>
        </w:tc>
        <w:tc>
          <w:tcPr>
            <w:tcW w:w="1620" w:type="dxa"/>
            <w:vAlign w:val="bottom"/>
            <w:tcBorders>
              <w:bottom w:val="single" w:sz="8" w:color="B6B6B6"/>
            </w:tcBorders>
            <w:gridSpan w:val="2"/>
          </w:tcPr>
          <w:p>
            <w:pPr>
              <w:jc w:val="right"/>
              <w:ind w:right="340"/>
              <w:spacing w:after="0"/>
              <w:rPr>
                <w:sz w:val="20"/>
                <w:szCs w:val="20"/>
                <w:color w:val="auto"/>
              </w:rPr>
            </w:pPr>
            <w:r>
              <w:rPr>
                <w:rFonts w:ascii="Arial" w:cs="Arial" w:eastAsia="Arial" w:hAnsi="Arial"/>
                <w:sz w:val="14"/>
                <w:szCs w:val="14"/>
                <w:color w:val="auto"/>
              </w:rPr>
              <w:t>175</w:t>
            </w: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3,246,250</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Borders>
              <w:bottom w:val="single" w:sz="8" w:color="B6B6B6"/>
            </w:tcBorders>
          </w:tcPr>
          <w:p>
            <w:pPr>
              <w:spacing w:after="0"/>
              <w:rPr>
                <w:sz w:val="21"/>
                <w:szCs w:val="21"/>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5,745,900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B6B6B6"/>
            </w:tcBorders>
          </w:tcPr>
          <w:p>
            <w:pPr>
              <w:ind w:left="20"/>
              <w:spacing w:after="0"/>
              <w:rPr>
                <w:sz w:val="20"/>
                <w:szCs w:val="20"/>
                <w:color w:val="auto"/>
              </w:rPr>
            </w:pPr>
            <w:r>
              <w:rPr>
                <w:rFonts w:ascii="Arial" w:cs="Arial" w:eastAsia="Arial" w:hAnsi="Arial"/>
                <w:sz w:val="15"/>
                <w:szCs w:val="15"/>
                <w:color w:val="002F6C"/>
              </w:rPr>
              <w:t>Mr. Possenriede</w:t>
            </w:r>
          </w:p>
        </w:tc>
        <w:tc>
          <w:tcPr>
            <w:tcW w:w="1220" w:type="dxa"/>
            <w:vAlign w:val="bottom"/>
            <w:tcBorders>
              <w:bottom w:val="single" w:sz="8" w:color="B6B6B6"/>
            </w:tcBorders>
          </w:tcPr>
          <w:p>
            <w:pPr>
              <w:jc w:val="right"/>
              <w:ind w:right="190"/>
              <w:spacing w:after="0"/>
              <w:rPr>
                <w:sz w:val="20"/>
                <w:szCs w:val="20"/>
                <w:color w:val="auto"/>
              </w:rPr>
            </w:pPr>
            <w:r>
              <w:rPr>
                <w:rFonts w:ascii="Arial" w:cs="Arial" w:eastAsia="Arial" w:hAnsi="Arial"/>
                <w:sz w:val="14"/>
                <w:szCs w:val="14"/>
                <w:color w:val="auto"/>
              </w:rPr>
              <w:t>935,000</w:t>
            </w:r>
          </w:p>
        </w:tc>
        <w:tc>
          <w:tcPr>
            <w:tcW w:w="1620" w:type="dxa"/>
            <w:vAlign w:val="bottom"/>
            <w:tcBorders>
              <w:bottom w:val="single" w:sz="8" w:color="B6B6B6"/>
            </w:tcBorders>
            <w:gridSpan w:val="2"/>
          </w:tcPr>
          <w:p>
            <w:pPr>
              <w:jc w:val="right"/>
              <w:ind w:right="340"/>
              <w:spacing w:after="0"/>
              <w:rPr>
                <w:sz w:val="20"/>
                <w:szCs w:val="20"/>
                <w:color w:val="auto"/>
              </w:rPr>
            </w:pPr>
            <w:r>
              <w:rPr>
                <w:rFonts w:ascii="Arial" w:cs="Arial" w:eastAsia="Arial" w:hAnsi="Arial"/>
                <w:sz w:val="14"/>
                <w:szCs w:val="14"/>
                <w:color w:val="auto"/>
              </w:rPr>
              <w:t>105</w:t>
            </w: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981,750</w:t>
            </w:r>
          </w:p>
        </w:tc>
        <w:tc>
          <w:tcPr>
            <w:tcW w:w="420" w:type="dxa"/>
            <w:vAlign w:val="bottom"/>
          </w:tcPr>
          <w:p>
            <w:pPr>
              <w:spacing w:after="0"/>
              <w:rPr>
                <w:sz w:val="21"/>
                <w:szCs w:val="21"/>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4"/>
                <w:szCs w:val="14"/>
                <w:color w:val="auto"/>
              </w:rPr>
              <w:t>177%</w:t>
            </w:r>
          </w:p>
        </w:tc>
        <w:tc>
          <w:tcPr>
            <w:tcW w:w="400" w:type="dxa"/>
            <w:vAlign w:val="bottom"/>
            <w:tcBorders>
              <w:bottom w:val="single" w:sz="8" w:color="B6B6B6"/>
            </w:tcBorders>
          </w:tcPr>
          <w:p>
            <w:pPr>
              <w:spacing w:after="0"/>
              <w:rPr>
                <w:sz w:val="21"/>
                <w:szCs w:val="21"/>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1,737,700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4180" w:type="dxa"/>
            <w:vAlign w:val="bottom"/>
            <w:vMerge w:val="restart"/>
          </w:tcPr>
          <w:p>
            <w:pPr>
              <w:ind w:left="20"/>
              <w:spacing w:after="0"/>
              <w:rPr>
                <w:sz w:val="20"/>
                <w:szCs w:val="20"/>
                <w:color w:val="auto"/>
              </w:rPr>
            </w:pPr>
            <w:r>
              <w:rPr>
                <w:rFonts w:ascii="Arial" w:cs="Arial" w:eastAsia="Arial" w:hAnsi="Arial"/>
                <w:sz w:val="15"/>
                <w:szCs w:val="15"/>
                <w:color w:val="002F6C"/>
              </w:rPr>
              <w:t>Mr. St. John</w:t>
            </w:r>
          </w:p>
        </w:tc>
        <w:tc>
          <w:tcPr>
            <w:tcW w:w="1220" w:type="dxa"/>
            <w:vAlign w:val="bottom"/>
            <w:vMerge w:val="restart"/>
          </w:tcPr>
          <w:p>
            <w:pPr>
              <w:jc w:val="right"/>
              <w:ind w:right="190"/>
              <w:spacing w:after="0"/>
              <w:rPr>
                <w:sz w:val="20"/>
                <w:szCs w:val="20"/>
                <w:color w:val="auto"/>
              </w:rPr>
            </w:pPr>
            <w:r>
              <w:rPr>
                <w:rFonts w:ascii="Arial" w:cs="Arial" w:eastAsia="Arial" w:hAnsi="Arial"/>
                <w:sz w:val="14"/>
                <w:szCs w:val="14"/>
                <w:color w:val="auto"/>
              </w:rPr>
              <w:t>935,000</w:t>
            </w:r>
          </w:p>
        </w:tc>
        <w:tc>
          <w:tcPr>
            <w:tcW w:w="162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105</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981,750</w:t>
            </w:r>
          </w:p>
        </w:tc>
        <w:tc>
          <w:tcPr>
            <w:tcW w:w="4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1,737,700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180" w:type="dxa"/>
            <w:vAlign w:val="bottom"/>
            <w:tcBorders>
              <w:bottom w:val="single" w:sz="8" w:color="B6B6B6"/>
            </w:tcBorders>
            <w:vMerge w:val="continue"/>
          </w:tcPr>
          <w:p>
            <w:pPr>
              <w:spacing w:after="0"/>
              <w:rPr>
                <w:sz w:val="14"/>
                <w:szCs w:val="14"/>
                <w:color w:val="auto"/>
              </w:rPr>
            </w:pPr>
          </w:p>
        </w:tc>
        <w:tc>
          <w:tcPr>
            <w:tcW w:w="1220" w:type="dxa"/>
            <w:vAlign w:val="bottom"/>
            <w:tcBorders>
              <w:bottom w:val="single" w:sz="8" w:color="B6B6B6"/>
            </w:tcBorders>
            <w:vMerge w:val="continue"/>
          </w:tcPr>
          <w:p>
            <w:pPr>
              <w:spacing w:after="0"/>
              <w:rPr>
                <w:sz w:val="14"/>
                <w:szCs w:val="14"/>
                <w:color w:val="auto"/>
              </w:rPr>
            </w:pPr>
          </w:p>
        </w:tc>
        <w:tc>
          <w:tcPr>
            <w:tcW w:w="1620" w:type="dxa"/>
            <w:vAlign w:val="bottom"/>
            <w:tcBorders>
              <w:bottom w:val="single" w:sz="8" w:color="B6B6B6"/>
            </w:tcBorders>
            <w:gridSpan w:val="2"/>
            <w:vMerge w:val="continue"/>
          </w:tcPr>
          <w:p>
            <w:pPr>
              <w:spacing w:after="0"/>
              <w:rPr>
                <w:sz w:val="14"/>
                <w:szCs w:val="14"/>
                <w:color w:val="auto"/>
              </w:rPr>
            </w:pPr>
          </w:p>
        </w:tc>
        <w:tc>
          <w:tcPr>
            <w:tcW w:w="1100" w:type="dxa"/>
            <w:vAlign w:val="bottom"/>
            <w:tcBorders>
              <w:bottom w:val="single" w:sz="8" w:color="B6B6B6"/>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Borders>
              <w:bottom w:val="single" w:sz="8" w:color="B6B6B6"/>
            </w:tcBorders>
          </w:tcPr>
          <w:p>
            <w:pPr>
              <w:spacing w:after="0"/>
              <w:rPr>
                <w:sz w:val="14"/>
                <w:szCs w:val="14"/>
                <w:color w:val="auto"/>
              </w:rPr>
            </w:pPr>
          </w:p>
        </w:tc>
        <w:tc>
          <w:tcPr>
            <w:tcW w:w="1100" w:type="dxa"/>
            <w:vAlign w:val="bottom"/>
            <w:tcBorders>
              <w:bottom w:val="single" w:sz="8" w:color="B6B6B6"/>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B6B6B6"/>
            </w:tcBorders>
          </w:tcPr>
          <w:p>
            <w:pPr>
              <w:ind w:left="20"/>
              <w:spacing w:after="0"/>
              <w:rPr>
                <w:sz w:val="20"/>
                <w:szCs w:val="20"/>
                <w:color w:val="auto"/>
              </w:rPr>
            </w:pPr>
            <w:r>
              <w:rPr>
                <w:rFonts w:ascii="Arial" w:cs="Arial" w:eastAsia="Arial" w:hAnsi="Arial"/>
                <w:sz w:val="15"/>
                <w:szCs w:val="15"/>
                <w:color w:val="002F6C"/>
              </w:rPr>
              <w:t>Mr. Ambrose</w:t>
            </w:r>
          </w:p>
        </w:tc>
        <w:tc>
          <w:tcPr>
            <w:tcW w:w="1220" w:type="dxa"/>
            <w:vAlign w:val="bottom"/>
            <w:tcBorders>
              <w:bottom w:val="single" w:sz="8" w:color="B6B6B6"/>
            </w:tcBorders>
          </w:tcPr>
          <w:p>
            <w:pPr>
              <w:jc w:val="right"/>
              <w:ind w:right="190"/>
              <w:spacing w:after="0"/>
              <w:rPr>
                <w:sz w:val="20"/>
                <w:szCs w:val="20"/>
                <w:color w:val="auto"/>
              </w:rPr>
            </w:pPr>
            <w:r>
              <w:rPr>
                <w:rFonts w:ascii="Arial" w:cs="Arial" w:eastAsia="Arial" w:hAnsi="Arial"/>
                <w:sz w:val="14"/>
                <w:szCs w:val="14"/>
                <w:color w:val="auto"/>
              </w:rPr>
              <w:t>935,000</w:t>
            </w:r>
          </w:p>
        </w:tc>
        <w:tc>
          <w:tcPr>
            <w:tcW w:w="1620" w:type="dxa"/>
            <w:vAlign w:val="bottom"/>
            <w:tcBorders>
              <w:bottom w:val="single" w:sz="8" w:color="B6B6B6"/>
            </w:tcBorders>
            <w:gridSpan w:val="2"/>
          </w:tcPr>
          <w:p>
            <w:pPr>
              <w:jc w:val="right"/>
              <w:ind w:right="340"/>
              <w:spacing w:after="0"/>
              <w:rPr>
                <w:sz w:val="20"/>
                <w:szCs w:val="20"/>
                <w:color w:val="auto"/>
              </w:rPr>
            </w:pPr>
            <w:r>
              <w:rPr>
                <w:rFonts w:ascii="Arial" w:cs="Arial" w:eastAsia="Arial" w:hAnsi="Arial"/>
                <w:sz w:val="14"/>
                <w:szCs w:val="14"/>
                <w:color w:val="auto"/>
              </w:rPr>
              <w:t>105</w:t>
            </w: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981,750</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Borders>
              <w:bottom w:val="single" w:sz="8" w:color="B6B6B6"/>
            </w:tcBorders>
          </w:tcPr>
          <w:p>
            <w:pPr>
              <w:spacing w:after="0"/>
              <w:rPr>
                <w:sz w:val="21"/>
                <w:szCs w:val="21"/>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1,737,700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B6B6B6"/>
            </w:tcBorders>
          </w:tcPr>
          <w:p>
            <w:pPr>
              <w:ind w:left="20"/>
              <w:spacing w:after="0"/>
              <w:rPr>
                <w:sz w:val="20"/>
                <w:szCs w:val="20"/>
                <w:color w:val="auto"/>
              </w:rPr>
            </w:pPr>
            <w:r>
              <w:rPr>
                <w:rFonts w:ascii="Arial" w:cs="Arial" w:eastAsia="Arial" w:hAnsi="Arial"/>
                <w:sz w:val="15"/>
                <w:szCs w:val="15"/>
                <w:color w:val="002F6C"/>
              </w:rPr>
              <w:t>Ms. Evans</w:t>
            </w:r>
          </w:p>
        </w:tc>
        <w:tc>
          <w:tcPr>
            <w:tcW w:w="1220" w:type="dxa"/>
            <w:vAlign w:val="bottom"/>
            <w:tcBorders>
              <w:bottom w:val="single" w:sz="8" w:color="B6B6B6"/>
            </w:tcBorders>
          </w:tcPr>
          <w:p>
            <w:pPr>
              <w:jc w:val="right"/>
              <w:ind w:right="190"/>
              <w:spacing w:after="0"/>
              <w:rPr>
                <w:sz w:val="20"/>
                <w:szCs w:val="20"/>
                <w:color w:val="auto"/>
              </w:rPr>
            </w:pPr>
            <w:r>
              <w:rPr>
                <w:rFonts w:ascii="Arial" w:cs="Arial" w:eastAsia="Arial" w:hAnsi="Arial"/>
                <w:sz w:val="14"/>
                <w:szCs w:val="14"/>
                <w:color w:val="auto"/>
              </w:rPr>
              <w:t>935,000</w:t>
            </w:r>
          </w:p>
        </w:tc>
        <w:tc>
          <w:tcPr>
            <w:tcW w:w="1620" w:type="dxa"/>
            <w:vAlign w:val="bottom"/>
            <w:tcBorders>
              <w:bottom w:val="single" w:sz="8" w:color="B6B6B6"/>
            </w:tcBorders>
            <w:gridSpan w:val="2"/>
          </w:tcPr>
          <w:p>
            <w:pPr>
              <w:jc w:val="right"/>
              <w:ind w:right="340"/>
              <w:spacing w:after="0"/>
              <w:rPr>
                <w:sz w:val="20"/>
                <w:szCs w:val="20"/>
                <w:color w:val="auto"/>
              </w:rPr>
            </w:pPr>
            <w:r>
              <w:rPr>
                <w:rFonts w:ascii="Arial" w:cs="Arial" w:eastAsia="Arial" w:hAnsi="Arial"/>
                <w:sz w:val="14"/>
                <w:szCs w:val="14"/>
                <w:color w:val="auto"/>
              </w:rPr>
              <w:t>105</w:t>
            </w: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981,750</w:t>
            </w:r>
          </w:p>
        </w:tc>
        <w:tc>
          <w:tcPr>
            <w:tcW w:w="420" w:type="dxa"/>
            <w:vAlign w:val="bottom"/>
            <w:tcBorders>
              <w:bottom w:val="single" w:sz="8" w:color="B6B6B6"/>
            </w:tcBorders>
          </w:tcPr>
          <w:p>
            <w:pPr>
              <w:spacing w:after="0"/>
              <w:rPr>
                <w:sz w:val="21"/>
                <w:szCs w:val="21"/>
                <w:color w:val="auto"/>
              </w:rPr>
            </w:pPr>
          </w:p>
        </w:tc>
        <w:tc>
          <w:tcPr>
            <w:tcW w:w="1180" w:type="dxa"/>
            <w:vAlign w:val="bottom"/>
            <w:tcBorders>
              <w:bottom w:val="single" w:sz="8" w:color="B6B6B6"/>
            </w:tcBorders>
          </w:tcPr>
          <w:p>
            <w:pPr>
              <w:spacing w:after="0"/>
              <w:rPr>
                <w:sz w:val="21"/>
                <w:szCs w:val="21"/>
                <w:color w:val="auto"/>
              </w:rPr>
            </w:pPr>
          </w:p>
        </w:tc>
        <w:tc>
          <w:tcPr>
            <w:tcW w:w="400" w:type="dxa"/>
            <w:vAlign w:val="bottom"/>
            <w:tcBorders>
              <w:bottom w:val="single" w:sz="8" w:color="B6B6B6"/>
            </w:tcBorders>
          </w:tcPr>
          <w:p>
            <w:pPr>
              <w:spacing w:after="0"/>
              <w:rPr>
                <w:sz w:val="21"/>
                <w:szCs w:val="21"/>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1,737,700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*Mr. Taiclet's annual incentive target and payout are prorated based on time served during fiscal year 2020.</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475C90"/>
        </w:rPr>
        <w:t>2020 Long-Term Incentive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summary shows the 2020 LTI compensation mix for the CEO and other NEOs and principal terms of the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6497955" cy="3463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97955" cy="3463290"/>
                    </a:xfrm>
                    <a:prstGeom prst="rect">
                      <a:avLst/>
                    </a:prstGeom>
                    <a:noFill/>
                  </pic:spPr>
                </pic:pic>
              </a:graphicData>
            </a:graphic>
          </wp:anchor>
        </w:drawing>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808080"/>
        </w:rPr>
        <w:t>PSUs (distributed in common stock):</w:t>
      </w:r>
    </w:p>
    <w:p>
      <w:pPr>
        <w:spacing w:after="0" w:line="88" w:lineRule="exact"/>
        <w:rPr>
          <w:sz w:val="20"/>
          <w:szCs w:val="20"/>
          <w:color w:val="auto"/>
        </w:rPr>
      </w:pPr>
    </w:p>
    <w:p>
      <w:pPr>
        <w:ind w:left="20" w:right="5640"/>
        <w:spacing w:after="0" w:line="281" w:lineRule="auto"/>
        <w:rPr>
          <w:sz w:val="20"/>
          <w:szCs w:val="20"/>
          <w:color w:val="auto"/>
        </w:rPr>
      </w:pPr>
      <w:r>
        <w:rPr>
          <w:rFonts w:ascii="Arial" w:cs="Arial" w:eastAsia="Arial" w:hAnsi="Arial"/>
          <w:sz w:val="17"/>
          <w:szCs w:val="17"/>
          <w:b w:val="1"/>
          <w:bCs w:val="1"/>
          <w:color w:val="808080"/>
        </w:rPr>
        <w:t xml:space="preserve">Performance Measures: </w:t>
      </w:r>
      <w:r>
        <w:rPr>
          <w:rFonts w:ascii="Arial" w:cs="Arial" w:eastAsia="Arial" w:hAnsi="Arial"/>
          <w:sz w:val="17"/>
          <w:szCs w:val="17"/>
          <w:color w:val="000000"/>
        </w:rPr>
        <w:t>Three-year Relative TSR (50%), ROIC (25%) &amp;</w:t>
      </w:r>
      <w:r>
        <w:rPr>
          <w:rFonts w:ascii="Arial" w:cs="Arial" w:eastAsia="Arial" w:hAnsi="Arial"/>
          <w:sz w:val="17"/>
          <w:szCs w:val="17"/>
          <w:b w:val="1"/>
          <w:bCs w:val="1"/>
          <w:color w:val="808080"/>
        </w:rPr>
        <w:t xml:space="preserve"> </w:t>
      </w:r>
      <w:r>
        <w:rPr>
          <w:rFonts w:ascii="Arial" w:cs="Arial" w:eastAsia="Arial" w:hAnsi="Arial"/>
          <w:sz w:val="17"/>
          <w:szCs w:val="17"/>
          <w:color w:val="000000"/>
        </w:rPr>
        <w:t>Performance Cash (25%)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808080"/>
        </w:rPr>
        <w:t>Caps:</w:t>
      </w:r>
    </w:p>
    <w:p>
      <w:pPr>
        <w:spacing w:after="0" w:line="27" w:lineRule="exact"/>
        <w:rPr>
          <w:sz w:val="20"/>
          <w:szCs w:val="20"/>
          <w:color w:val="auto"/>
        </w:rPr>
      </w:pPr>
    </w:p>
    <w:p>
      <w:pPr>
        <w:ind w:left="320" w:hanging="213"/>
        <w:spacing w:after="0"/>
        <w:tabs>
          <w:tab w:leader="none" w:pos="320" w:val="left"/>
        </w:tabs>
        <w:numPr>
          <w:ilvl w:val="0"/>
          <w:numId w:val="89"/>
        </w:numPr>
        <w:rPr>
          <w:rFonts w:ascii="Arial" w:cs="Arial" w:eastAsia="Arial" w:hAnsi="Arial"/>
          <w:sz w:val="17"/>
          <w:szCs w:val="17"/>
          <w:color w:val="646363"/>
        </w:rPr>
      </w:pPr>
      <w:r>
        <w:rPr>
          <w:rFonts w:ascii="Arial" w:cs="Arial" w:eastAsia="Arial" w:hAnsi="Arial"/>
          <w:sz w:val="17"/>
          <w:szCs w:val="17"/>
          <w:color w:val="auto"/>
        </w:rPr>
        <w:t>200% of target shares</w:t>
      </w:r>
    </w:p>
    <w:p>
      <w:pPr>
        <w:spacing w:after="0" w:line="7" w:lineRule="exact"/>
        <w:rPr>
          <w:rFonts w:ascii="Arial" w:cs="Arial" w:eastAsia="Arial" w:hAnsi="Arial"/>
          <w:sz w:val="17"/>
          <w:szCs w:val="17"/>
          <w:color w:val="646363"/>
        </w:rPr>
      </w:pPr>
    </w:p>
    <w:p>
      <w:pPr>
        <w:ind w:left="360" w:right="5880" w:hanging="253"/>
        <w:spacing w:after="0" w:line="248" w:lineRule="auto"/>
        <w:tabs>
          <w:tab w:leader="none" w:pos="325" w:val="left"/>
        </w:tabs>
        <w:numPr>
          <w:ilvl w:val="0"/>
          <w:numId w:val="89"/>
        </w:numPr>
        <w:rPr>
          <w:rFonts w:ascii="Arial" w:cs="Arial" w:eastAsia="Arial" w:hAnsi="Arial"/>
          <w:sz w:val="17"/>
          <w:szCs w:val="17"/>
          <w:color w:val="646363"/>
        </w:rPr>
      </w:pPr>
      <w:r>
        <w:rPr>
          <w:rFonts w:ascii="Arial" w:cs="Arial" w:eastAsia="Arial" w:hAnsi="Arial"/>
          <w:sz w:val="17"/>
          <w:szCs w:val="17"/>
          <w:color w:val="auto"/>
        </w:rPr>
        <w:t>Relative TSR measure capped at 100% if the Corporation’s TSR is negative</w:t>
      </w:r>
    </w:p>
    <w:p>
      <w:pPr>
        <w:spacing w:after="0" w:line="1" w:lineRule="exact"/>
        <w:rPr>
          <w:rFonts w:ascii="Arial" w:cs="Arial" w:eastAsia="Arial" w:hAnsi="Arial"/>
          <w:sz w:val="17"/>
          <w:szCs w:val="17"/>
          <w:color w:val="646363"/>
        </w:rPr>
      </w:pPr>
    </w:p>
    <w:p>
      <w:pPr>
        <w:ind w:left="320" w:hanging="213"/>
        <w:spacing w:after="0"/>
        <w:tabs>
          <w:tab w:leader="none" w:pos="320" w:val="left"/>
        </w:tabs>
        <w:numPr>
          <w:ilvl w:val="0"/>
          <w:numId w:val="89"/>
        </w:numPr>
        <w:rPr>
          <w:rFonts w:ascii="Arial" w:cs="Arial" w:eastAsia="Arial" w:hAnsi="Arial"/>
          <w:sz w:val="17"/>
          <w:szCs w:val="17"/>
          <w:color w:val="646363"/>
        </w:rPr>
      </w:pPr>
      <w:r>
        <w:rPr>
          <w:rFonts w:ascii="Arial" w:cs="Arial" w:eastAsia="Arial" w:hAnsi="Arial"/>
          <w:sz w:val="17"/>
          <w:szCs w:val="17"/>
          <w:color w:val="auto"/>
        </w:rPr>
        <w:t>Value capped at 400% of stock price on date of grant times shares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3797300" cy="685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79730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7"/>
          <w:szCs w:val="17"/>
          <w:color w:val="838DB4"/>
        </w:rPr>
        <w:t>RSUs (distributed in common stock):</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838DB4"/>
        </w:rPr>
        <w:t xml:space="preserve">Vesting Schedule: </w:t>
      </w:r>
      <w:r>
        <w:rPr>
          <w:rFonts w:ascii="Arial" w:cs="Arial" w:eastAsia="Arial" w:hAnsi="Arial"/>
          <w:sz w:val="17"/>
          <w:szCs w:val="17"/>
          <w:color w:val="000000"/>
        </w:rPr>
        <w:t>RSUs cliff vest 100% three years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3797300" cy="685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79730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7"/>
          <w:szCs w:val="17"/>
          <w:color w:val="002F6C"/>
        </w:rPr>
        <w:t>3-Year LTIP (paid in cash):</w:t>
      </w:r>
    </w:p>
    <w:p>
      <w:pPr>
        <w:spacing w:after="0" w:line="68" w:lineRule="exact"/>
        <w:rPr>
          <w:sz w:val="20"/>
          <w:szCs w:val="20"/>
          <w:color w:val="auto"/>
        </w:rPr>
      </w:pPr>
    </w:p>
    <w:p>
      <w:pPr>
        <w:ind w:left="20" w:right="5640"/>
        <w:spacing w:after="0" w:line="281" w:lineRule="auto"/>
        <w:rPr>
          <w:sz w:val="20"/>
          <w:szCs w:val="20"/>
          <w:color w:val="auto"/>
        </w:rPr>
      </w:pPr>
      <w:r>
        <w:rPr>
          <w:rFonts w:ascii="Arial" w:cs="Arial" w:eastAsia="Arial" w:hAnsi="Arial"/>
          <w:sz w:val="17"/>
          <w:szCs w:val="17"/>
          <w:b w:val="1"/>
          <w:bCs w:val="1"/>
          <w:color w:val="002F6C"/>
        </w:rPr>
        <w:t xml:space="preserve">Performance Measures: </w:t>
      </w:r>
      <w:r>
        <w:rPr>
          <w:rFonts w:ascii="Arial" w:cs="Arial" w:eastAsia="Arial" w:hAnsi="Arial"/>
          <w:sz w:val="17"/>
          <w:szCs w:val="17"/>
          <w:color w:val="000000"/>
        </w:rPr>
        <w:t>Three-year Relative TSR (50%), ROIC (25%) &amp;</w:t>
      </w:r>
      <w:r>
        <w:rPr>
          <w:rFonts w:ascii="Arial" w:cs="Arial" w:eastAsia="Arial" w:hAnsi="Arial"/>
          <w:sz w:val="17"/>
          <w:szCs w:val="17"/>
          <w:b w:val="1"/>
          <w:bCs w:val="1"/>
          <w:color w:val="002F6C"/>
        </w:rPr>
        <w:t xml:space="preserve"> </w:t>
      </w:r>
      <w:r>
        <w:rPr>
          <w:rFonts w:ascii="Arial" w:cs="Arial" w:eastAsia="Arial" w:hAnsi="Arial"/>
          <w:sz w:val="17"/>
          <w:szCs w:val="17"/>
          <w:color w:val="000000"/>
        </w:rPr>
        <w:t>Performance Cash (25%)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2F6C"/>
        </w:rPr>
        <w:t>Caps:</w:t>
      </w:r>
    </w:p>
    <w:p>
      <w:pPr>
        <w:spacing w:after="0" w:line="27" w:lineRule="exact"/>
        <w:rPr>
          <w:sz w:val="20"/>
          <w:szCs w:val="20"/>
          <w:color w:val="auto"/>
        </w:rPr>
      </w:pPr>
    </w:p>
    <w:p>
      <w:pPr>
        <w:ind w:left="320" w:hanging="213"/>
        <w:spacing w:after="0"/>
        <w:tabs>
          <w:tab w:leader="none" w:pos="320" w:val="left"/>
        </w:tabs>
        <w:numPr>
          <w:ilvl w:val="0"/>
          <w:numId w:val="90"/>
        </w:numPr>
        <w:rPr>
          <w:rFonts w:ascii="Arial" w:cs="Arial" w:eastAsia="Arial" w:hAnsi="Arial"/>
          <w:sz w:val="17"/>
          <w:szCs w:val="17"/>
          <w:color w:val="002E6D"/>
        </w:rPr>
      </w:pPr>
      <w:r>
        <w:rPr>
          <w:rFonts w:ascii="Arial" w:cs="Arial" w:eastAsia="Arial" w:hAnsi="Arial"/>
          <w:sz w:val="17"/>
          <w:szCs w:val="17"/>
          <w:color w:val="auto"/>
        </w:rPr>
        <w:t>200% of target amount</w:t>
      </w:r>
    </w:p>
    <w:p>
      <w:pPr>
        <w:spacing w:after="0" w:line="7" w:lineRule="exact"/>
        <w:rPr>
          <w:rFonts w:ascii="Arial" w:cs="Arial" w:eastAsia="Arial" w:hAnsi="Arial"/>
          <w:sz w:val="17"/>
          <w:szCs w:val="17"/>
          <w:color w:val="002E6D"/>
        </w:rPr>
      </w:pPr>
    </w:p>
    <w:p>
      <w:pPr>
        <w:ind w:left="360" w:right="5880" w:hanging="253"/>
        <w:spacing w:after="0" w:line="248" w:lineRule="auto"/>
        <w:tabs>
          <w:tab w:leader="none" w:pos="325" w:val="left"/>
        </w:tabs>
        <w:numPr>
          <w:ilvl w:val="0"/>
          <w:numId w:val="90"/>
        </w:numPr>
        <w:rPr>
          <w:rFonts w:ascii="Arial" w:cs="Arial" w:eastAsia="Arial" w:hAnsi="Arial"/>
          <w:sz w:val="17"/>
          <w:szCs w:val="17"/>
          <w:color w:val="002E6D"/>
        </w:rPr>
      </w:pPr>
      <w:r>
        <w:rPr>
          <w:rFonts w:ascii="Arial" w:cs="Arial" w:eastAsia="Arial" w:hAnsi="Arial"/>
          <w:sz w:val="17"/>
          <w:szCs w:val="17"/>
          <w:color w:val="auto"/>
        </w:rPr>
        <w:t>Relative TSR measure capped at 100% if the Corporation’s TSR is negative</w:t>
      </w:r>
    </w:p>
    <w:p>
      <w:pPr>
        <w:spacing w:after="0" w:line="1" w:lineRule="exact"/>
        <w:rPr>
          <w:rFonts w:ascii="Arial" w:cs="Arial" w:eastAsia="Arial" w:hAnsi="Arial"/>
          <w:sz w:val="17"/>
          <w:szCs w:val="17"/>
          <w:color w:val="002E6D"/>
        </w:rPr>
      </w:pPr>
    </w:p>
    <w:p>
      <w:pPr>
        <w:ind w:left="320" w:hanging="213"/>
        <w:spacing w:after="0"/>
        <w:tabs>
          <w:tab w:leader="none" w:pos="320" w:val="left"/>
        </w:tabs>
        <w:numPr>
          <w:ilvl w:val="0"/>
          <w:numId w:val="90"/>
        </w:numPr>
        <w:rPr>
          <w:rFonts w:ascii="Arial" w:cs="Arial" w:eastAsia="Arial" w:hAnsi="Arial"/>
          <w:sz w:val="17"/>
          <w:szCs w:val="17"/>
          <w:color w:val="002E6D"/>
        </w:rPr>
      </w:pPr>
      <w:r>
        <w:rPr>
          <w:rFonts w:ascii="Arial" w:cs="Arial" w:eastAsia="Arial" w:hAnsi="Arial"/>
          <w:sz w:val="17"/>
          <w:szCs w:val="17"/>
          <w:color w:val="auto"/>
        </w:rPr>
        <w:t>Individual payout capped at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37973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79730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334010</wp:posOffset>
            </wp:positionV>
            <wp:extent cx="969010" cy="2228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50</w:t>
      </w:r>
    </w:p>
    <w:p>
      <w:pPr>
        <w:sectPr>
          <w:pgSz w:w="11900" w:h="16838" w:orient="portrait"/>
          <w:cols w:equalWidth="0" w:num="1">
            <w:col w:w="11240"/>
          </w:cols>
          <w:pgMar w:left="320" w:top="60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4"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In determining the appropriate level of equity grants for 2020, the Compensation Committee took into consideration the long-term incentive market rate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along with a variety of other factors, including the number of awards outstanding and shares remaining available for issuance under the Corporation’s equity incentive plans, the number of shares that would be issued under contemplated awards over the range of potential performance achievement, the total number of the Corporation’s outstanding shares, the resulting implications for stockholder dilution and the number of shares granted to our executives year-over-year.</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002E6D"/>
        </w:rPr>
        <w:t>PSU Awards (50% of the LTI award)</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PSU awards are calculated by multiplying the overall target LTI award value by the 50% weighting assigned to the PSU portion. The number of PSUs granted is determined based on the closing stock price of the Corporation's common stock on the NYSE on the date of grant. Each NEO’s PSU target number of shares is determined as of the grant date of the award, and the actual number of shares earned at the end of the period is calculated based on our performance measured against the three financial metrics as follows: 50% Relative TSR, 25% ROIC and 25% Performance Cash.</w:t>
      </w:r>
    </w:p>
    <w:p>
      <w:pPr>
        <w:spacing w:after="0" w:line="97"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The number of shares granted at the end of the cycle can range from 0% to 200% of the applicable target number of shares. If average TSR is negative at the end of the performance cycle, the payout factor for the Relative TSR measure is capped at 100%. In addition, the maximum value that can be earned under a PSU award is 400% of the stock price on the date of grant times the shares earned. The award calculation is formulaic pursuant to the provisions defined in the award agreement, and no adjustment can be made to the final number of shares granted, which is determined based on the performance outcomes relative to our pre-set goals. Participants also accrue deferred dividend equivalents on the shares earned, which are paid in cash following vesting of the underlying shares.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002E6D"/>
        </w:rPr>
        <w:t>RSU Awards (30% of LTI award)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RSU awards are calculated by multiplying the overall target LTI award value by the 30% weighting assigned to the RSU portion.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number of RSUs granted is determined based on the closing stock price of the Corporation's common stock on the NYSE on the date of grant.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Deferred dividend equivalents are accrued during the vesting period and paid in cash following the vesting of the underlying shares.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002E6D"/>
        </w:rPr>
        <w:t>LTIP Awards (20% of the LTI award)</w:t>
      </w:r>
    </w:p>
    <w:p>
      <w:pPr>
        <w:spacing w:after="0" w:line="11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LTIP awards are cash-based and are calculated by multiplying the overall target LTI award value by the 20% weighting assigned to the LTIP portion. Each NEO’s LTIP target is determined at the time of grant, and the actual award earned at the end of the three-year performance period is calculated based on the same performance measures as those used for the PSUs (50% Relative TSR, 25% ROIC and 25% Performance Cash).</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Payouts can range from 0% to 200% of the applicable target. If average TSR is negative at the end of the performance cycle, the payout factor for the Relative TSR measure is capped at 100%. The award calculation is formulaic pursuant to the provisions defined in the award agreement, and no adjustment can be made to the final payout factor, which is determined based on the performance outcomes relative to our pre-set goals. For the 2020-2022 LTIP grants, any amount payable to a single participant in excess of $10 million will be forfeited.</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002E6D"/>
        </w:rPr>
        <w:t>Selection of LTI Performance Measures</w:t>
      </w:r>
    </w:p>
    <w:p>
      <w:pPr>
        <w:spacing w:after="0" w:line="118"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color w:val="auto"/>
        </w:rPr>
        <w:t>The LTI performance metrics approved by the Compensation Committee are measures that we believe most effectively support our long-term business and strategic goals and directly tie the long-term goals of our executive leadership team to the interests of our stockholders.</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measurements used for the financial component of our 2020 annual incentive plan (Sales, Segment Operating Profit and Cash from Operations) also serve as the foundation for achieving our long-term goals such that we must consistently achieve or exceed the Corporation’s annual goals in order to achieve our LTI goals.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The selected LTI performance metrics consist of Relative TSR (50% weight), ROIC (25% weight) and Performance Cash (25% weight). We chose these three metrics because we believe they represent the best measures of value creation for the Corporation over a long-term period. We also applied equal weighting to the market-based measure of value creation, TSR, to what we believe are the best internal measures of value creation, Performance Cash and ROIC.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51</w:t>
      </w:r>
    </w:p>
    <w:p>
      <w:pPr>
        <w:sectPr>
          <w:pgSz w:w="11900" w:h="16838" w:orient="portrait"/>
          <w:cols w:equalWidth="0" w:num="1">
            <w:col w:w="11240"/>
          </w:cols>
          <w:pgMar w:left="320" w:top="609"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We selected Relative TSR to measure our performance against our industry peers, including the S&amp;P Aerospace Index companies and other large publicly traded U.S. Government contractors. Because every industry faces different challenges and opportunities, we believe that comparing our TSR against peers facing a similar business environment is preferred to comparisons outside our industry.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Accordingly, the Relative TSR Comparators for the 2020-2022 performance cycle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475C90"/>
        </w:rPr>
        <w:t>2020-2022 Relative TSR Comparators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3740" w:type="dxa"/>
            <w:vAlign w:val="bottom"/>
            <w:shd w:val="clear" w:color="auto" w:fill="E5E7EF"/>
          </w:tcPr>
          <w:p>
            <w:pPr>
              <w:ind w:left="100"/>
              <w:spacing w:after="0"/>
              <w:rPr>
                <w:sz w:val="20"/>
                <w:szCs w:val="20"/>
                <w:color w:val="auto"/>
              </w:rPr>
            </w:pPr>
            <w:r>
              <w:rPr>
                <w:rFonts w:ascii="Arial" w:cs="Arial" w:eastAsia="Arial" w:hAnsi="Arial"/>
                <w:sz w:val="16"/>
                <w:szCs w:val="16"/>
                <w:color w:val="auto"/>
              </w:rPr>
              <w:t>Arconic Inc.</w:t>
            </w:r>
          </w:p>
        </w:tc>
        <w:tc>
          <w:tcPr>
            <w:tcW w:w="3740" w:type="dxa"/>
            <w:vAlign w:val="bottom"/>
            <w:shd w:val="clear" w:color="auto" w:fill="E5E7EF"/>
          </w:tcPr>
          <w:p>
            <w:pPr>
              <w:ind w:left="100"/>
              <w:spacing w:after="0"/>
              <w:rPr>
                <w:sz w:val="20"/>
                <w:szCs w:val="20"/>
                <w:color w:val="auto"/>
              </w:rPr>
            </w:pPr>
            <w:r>
              <w:rPr>
                <w:rFonts w:ascii="Arial" w:cs="Arial" w:eastAsia="Arial" w:hAnsi="Arial"/>
                <w:sz w:val="16"/>
                <w:szCs w:val="16"/>
                <w:color w:val="auto"/>
              </w:rPr>
              <w:t>Honeywell International Inc.</w:t>
            </w:r>
          </w:p>
        </w:tc>
        <w:tc>
          <w:tcPr>
            <w:tcW w:w="3760" w:type="dxa"/>
            <w:vAlign w:val="bottom"/>
            <w:shd w:val="clear" w:color="auto" w:fill="E5E7EF"/>
          </w:tcPr>
          <w:p>
            <w:pPr>
              <w:ind w:left="100"/>
              <w:spacing w:after="0"/>
              <w:rPr>
                <w:sz w:val="20"/>
                <w:szCs w:val="20"/>
                <w:color w:val="auto"/>
              </w:rPr>
            </w:pPr>
            <w:r>
              <w:rPr>
                <w:rFonts w:ascii="Arial" w:cs="Arial" w:eastAsia="Arial" w:hAnsi="Arial"/>
                <w:sz w:val="16"/>
                <w:szCs w:val="16"/>
                <w:color w:val="auto"/>
              </w:rPr>
              <w:t>Textron Inc.</w:t>
            </w:r>
          </w:p>
        </w:tc>
      </w:tr>
      <w:tr>
        <w:trPr>
          <w:trHeight w:val="473"/>
        </w:trPr>
        <w:tc>
          <w:tcPr>
            <w:tcW w:w="3740" w:type="dxa"/>
            <w:vAlign w:val="bottom"/>
            <w:shd w:val="clear" w:color="auto" w:fill="E5E7EF"/>
          </w:tcPr>
          <w:p>
            <w:pPr>
              <w:ind w:left="100"/>
              <w:spacing w:after="0"/>
              <w:rPr>
                <w:sz w:val="20"/>
                <w:szCs w:val="20"/>
                <w:color w:val="auto"/>
              </w:rPr>
            </w:pPr>
            <w:r>
              <w:rPr>
                <w:rFonts w:ascii="Arial" w:cs="Arial" w:eastAsia="Arial" w:hAnsi="Arial"/>
                <w:sz w:val="16"/>
                <w:szCs w:val="16"/>
                <w:color w:val="auto"/>
              </w:rPr>
              <w:t>Booz Allen Hamilton Holding Corporation</w:t>
            </w:r>
          </w:p>
        </w:tc>
        <w:tc>
          <w:tcPr>
            <w:tcW w:w="3740" w:type="dxa"/>
            <w:vAlign w:val="bottom"/>
            <w:shd w:val="clear" w:color="auto" w:fill="E5E7EF"/>
          </w:tcPr>
          <w:p>
            <w:pPr>
              <w:ind w:left="100"/>
              <w:spacing w:after="0"/>
              <w:rPr>
                <w:sz w:val="20"/>
                <w:szCs w:val="20"/>
                <w:color w:val="auto"/>
              </w:rPr>
            </w:pPr>
            <w:r>
              <w:rPr>
                <w:rFonts w:ascii="Arial" w:cs="Arial" w:eastAsia="Arial" w:hAnsi="Arial"/>
                <w:sz w:val="16"/>
                <w:szCs w:val="16"/>
                <w:color w:val="auto"/>
              </w:rPr>
              <w:t>Huntington Ingalls Industries, Inc.</w:t>
            </w:r>
          </w:p>
        </w:tc>
        <w:tc>
          <w:tcPr>
            <w:tcW w:w="3760" w:type="dxa"/>
            <w:vAlign w:val="bottom"/>
            <w:shd w:val="clear" w:color="auto" w:fill="E5E7EF"/>
          </w:tcPr>
          <w:p>
            <w:pPr>
              <w:ind w:left="100"/>
              <w:spacing w:after="0"/>
              <w:rPr>
                <w:sz w:val="20"/>
                <w:szCs w:val="20"/>
                <w:color w:val="auto"/>
              </w:rPr>
            </w:pPr>
            <w:r>
              <w:rPr>
                <w:rFonts w:ascii="Arial" w:cs="Arial" w:eastAsia="Arial" w:hAnsi="Arial"/>
                <w:sz w:val="16"/>
                <w:szCs w:val="16"/>
                <w:color w:val="auto"/>
              </w:rPr>
              <w:t>The Boeing Company</w:t>
            </w:r>
          </w:p>
        </w:tc>
      </w:tr>
      <w:tr>
        <w:trPr>
          <w:trHeight w:val="473"/>
        </w:trPr>
        <w:tc>
          <w:tcPr>
            <w:tcW w:w="3740" w:type="dxa"/>
            <w:vAlign w:val="bottom"/>
            <w:shd w:val="clear" w:color="auto" w:fill="E5E7EF"/>
          </w:tcPr>
          <w:p>
            <w:pPr>
              <w:ind w:left="100"/>
              <w:spacing w:after="0"/>
              <w:rPr>
                <w:sz w:val="20"/>
                <w:szCs w:val="20"/>
                <w:color w:val="auto"/>
              </w:rPr>
            </w:pPr>
            <w:r>
              <w:rPr>
                <w:rFonts w:ascii="Arial" w:cs="Arial" w:eastAsia="Arial" w:hAnsi="Arial"/>
                <w:sz w:val="16"/>
                <w:szCs w:val="16"/>
                <w:color w:val="auto"/>
              </w:rPr>
              <w:t>CACI International Inc.</w:t>
            </w:r>
          </w:p>
        </w:tc>
        <w:tc>
          <w:tcPr>
            <w:tcW w:w="3740" w:type="dxa"/>
            <w:vAlign w:val="bottom"/>
            <w:shd w:val="clear" w:color="auto" w:fill="E5E7EF"/>
          </w:tcPr>
          <w:p>
            <w:pPr>
              <w:ind w:left="100"/>
              <w:spacing w:after="0"/>
              <w:rPr>
                <w:sz w:val="20"/>
                <w:szCs w:val="20"/>
                <w:color w:val="auto"/>
              </w:rPr>
            </w:pPr>
            <w:r>
              <w:rPr>
                <w:rFonts w:ascii="Arial" w:cs="Arial" w:eastAsia="Arial" w:hAnsi="Arial"/>
                <w:sz w:val="16"/>
                <w:szCs w:val="16"/>
                <w:color w:val="auto"/>
              </w:rPr>
              <w:t>Leidos Holdings, Inc.</w:t>
            </w:r>
          </w:p>
        </w:tc>
        <w:tc>
          <w:tcPr>
            <w:tcW w:w="3760" w:type="dxa"/>
            <w:vAlign w:val="bottom"/>
            <w:shd w:val="clear" w:color="auto" w:fill="E5E7EF"/>
          </w:tcPr>
          <w:p>
            <w:pPr>
              <w:ind w:left="100"/>
              <w:spacing w:after="0"/>
              <w:rPr>
                <w:sz w:val="20"/>
                <w:szCs w:val="20"/>
                <w:color w:val="auto"/>
              </w:rPr>
            </w:pPr>
            <w:r>
              <w:rPr>
                <w:rFonts w:ascii="Arial" w:cs="Arial" w:eastAsia="Arial" w:hAnsi="Arial"/>
                <w:sz w:val="16"/>
                <w:szCs w:val="16"/>
                <w:color w:val="auto"/>
              </w:rPr>
              <w:t>TransDigm Group Incorporated</w:t>
            </w:r>
          </w:p>
        </w:tc>
      </w:tr>
      <w:tr>
        <w:trPr>
          <w:trHeight w:val="473"/>
        </w:trPr>
        <w:tc>
          <w:tcPr>
            <w:tcW w:w="3740" w:type="dxa"/>
            <w:vAlign w:val="bottom"/>
            <w:shd w:val="clear" w:color="auto" w:fill="E5E7EF"/>
          </w:tcPr>
          <w:p>
            <w:pPr>
              <w:ind w:left="100"/>
              <w:spacing w:after="0"/>
              <w:rPr>
                <w:sz w:val="20"/>
                <w:szCs w:val="20"/>
                <w:color w:val="auto"/>
              </w:rPr>
            </w:pPr>
            <w:r>
              <w:rPr>
                <w:rFonts w:ascii="Arial" w:cs="Arial" w:eastAsia="Arial" w:hAnsi="Arial"/>
                <w:sz w:val="16"/>
                <w:szCs w:val="16"/>
                <w:color w:val="auto"/>
              </w:rPr>
              <w:t>General Dynamics Corporation</w:t>
            </w:r>
          </w:p>
        </w:tc>
        <w:tc>
          <w:tcPr>
            <w:tcW w:w="3740" w:type="dxa"/>
            <w:vAlign w:val="bottom"/>
            <w:shd w:val="clear" w:color="auto" w:fill="E5E7EF"/>
          </w:tcPr>
          <w:p>
            <w:pPr>
              <w:ind w:left="100"/>
              <w:spacing w:after="0"/>
              <w:rPr>
                <w:sz w:val="20"/>
                <w:szCs w:val="20"/>
                <w:color w:val="auto"/>
              </w:rPr>
            </w:pPr>
            <w:r>
              <w:rPr>
                <w:rFonts w:ascii="Arial" w:cs="Arial" w:eastAsia="Arial" w:hAnsi="Arial"/>
                <w:sz w:val="16"/>
                <w:szCs w:val="16"/>
                <w:color w:val="auto"/>
              </w:rPr>
              <w:t>Northrop Grumman Corporation</w:t>
            </w:r>
          </w:p>
        </w:tc>
        <w:tc>
          <w:tcPr>
            <w:tcW w:w="3760" w:type="dxa"/>
            <w:vAlign w:val="bottom"/>
            <w:shd w:val="clear" w:color="auto" w:fill="E5E7EF"/>
          </w:tcPr>
          <w:p>
            <w:pPr>
              <w:ind w:left="100"/>
              <w:spacing w:after="0"/>
              <w:rPr>
                <w:sz w:val="20"/>
                <w:szCs w:val="20"/>
                <w:color w:val="auto"/>
              </w:rPr>
            </w:pPr>
            <w:r>
              <w:rPr>
                <w:rFonts w:ascii="Arial" w:cs="Arial" w:eastAsia="Arial" w:hAnsi="Arial"/>
                <w:sz w:val="16"/>
                <w:szCs w:val="16"/>
                <w:color w:val="auto"/>
              </w:rPr>
              <w:t>Raytheon Technologies Corporation*</w:t>
            </w:r>
          </w:p>
        </w:tc>
      </w:tr>
      <w:tr>
        <w:trPr>
          <w:trHeight w:val="473"/>
        </w:trPr>
        <w:tc>
          <w:tcPr>
            <w:tcW w:w="3740" w:type="dxa"/>
            <w:vAlign w:val="bottom"/>
            <w:shd w:val="clear" w:color="auto" w:fill="E5E7EF"/>
          </w:tcPr>
          <w:p>
            <w:pPr>
              <w:ind w:left="100"/>
              <w:spacing w:after="0"/>
              <w:rPr>
                <w:sz w:val="20"/>
                <w:szCs w:val="20"/>
                <w:color w:val="auto"/>
              </w:rPr>
            </w:pPr>
            <w:r>
              <w:rPr>
                <w:rFonts w:ascii="Arial" w:cs="Arial" w:eastAsia="Arial" w:hAnsi="Arial"/>
                <w:sz w:val="16"/>
                <w:szCs w:val="16"/>
                <w:color w:val="auto"/>
              </w:rPr>
              <w:t>L3Harris Technologies</w:t>
            </w:r>
          </w:p>
        </w:tc>
        <w:tc>
          <w:tcPr>
            <w:tcW w:w="3740" w:type="dxa"/>
            <w:vAlign w:val="bottom"/>
            <w:shd w:val="clear" w:color="auto" w:fill="E5E7EF"/>
          </w:tcPr>
          <w:p>
            <w:pPr>
              <w:ind w:left="100"/>
              <w:spacing w:after="0"/>
              <w:rPr>
                <w:sz w:val="20"/>
                <w:szCs w:val="20"/>
                <w:color w:val="auto"/>
              </w:rPr>
            </w:pPr>
            <w:r>
              <w:rPr>
                <w:rFonts w:ascii="Arial" w:cs="Arial" w:eastAsia="Arial" w:hAnsi="Arial"/>
                <w:sz w:val="16"/>
                <w:szCs w:val="16"/>
                <w:color w:val="auto"/>
              </w:rPr>
              <w:t>Science Applications International Corp.</w:t>
            </w:r>
          </w:p>
        </w:tc>
        <w:tc>
          <w:tcPr>
            <w:tcW w:w="3760" w:type="dxa"/>
            <w:vAlign w:val="bottom"/>
            <w:shd w:val="clear" w:color="auto" w:fill="E5E7EF"/>
          </w:tcPr>
          <w:p>
            <w:pPr>
              <w:spacing w:after="0"/>
              <w:rPr>
                <w:sz w:val="24"/>
                <w:szCs w:val="24"/>
                <w:color w:val="auto"/>
              </w:rPr>
            </w:pPr>
          </w:p>
        </w:tc>
      </w:tr>
      <w:tr>
        <w:trPr>
          <w:trHeight w:val="141"/>
        </w:trPr>
        <w:tc>
          <w:tcPr>
            <w:tcW w:w="3740" w:type="dxa"/>
            <w:vAlign w:val="bottom"/>
            <w:shd w:val="clear" w:color="auto" w:fill="E5E7EF"/>
          </w:tcPr>
          <w:p>
            <w:pPr>
              <w:spacing w:after="0"/>
              <w:rPr>
                <w:sz w:val="12"/>
                <w:szCs w:val="12"/>
                <w:color w:val="auto"/>
              </w:rPr>
            </w:pPr>
          </w:p>
        </w:tc>
        <w:tc>
          <w:tcPr>
            <w:tcW w:w="3740" w:type="dxa"/>
            <w:vAlign w:val="bottom"/>
            <w:shd w:val="clear" w:color="auto" w:fill="E5E7EF"/>
          </w:tcPr>
          <w:p>
            <w:pPr>
              <w:spacing w:after="0"/>
              <w:rPr>
                <w:sz w:val="12"/>
                <w:szCs w:val="12"/>
                <w:color w:val="auto"/>
              </w:rPr>
            </w:pPr>
          </w:p>
        </w:tc>
        <w:tc>
          <w:tcPr>
            <w:tcW w:w="3760" w:type="dxa"/>
            <w:vAlign w:val="bottom"/>
            <w:shd w:val="clear" w:color="auto" w:fill="E5E7EF"/>
          </w:tcPr>
          <w:p>
            <w:pPr>
              <w:spacing w:after="0"/>
              <w:rPr>
                <w:sz w:val="12"/>
                <w:szCs w:val="1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*In April 2020, Raytheon Company and United Technologies Corporation merged to form Raytheon Technologies Corporation.</w:t>
      </w:r>
    </w:p>
    <w:p>
      <w:pPr>
        <w:spacing w:after="0" w:line="9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Because the Relative TSR index is not perfectly aligned with the businesses in which Lockheed Martin operates and because any number of macro-economic factors that could affect market performance are beyond the control of the Corporation, we use ROIC and Performance Cash as internal measures that are directly affected by management’s decisions. ROIC measures how effectively we employ our capital over time, while Performance Cash provides the means for investment or value creation. By including a cash measure in both our annual and long-term incentive plans, the plans mitigate the risk of short-term cash strategies that do not create long-term value.</w:t>
      </w:r>
    </w:p>
    <w:p>
      <w:pPr>
        <w:spacing w:after="0" w:line="97"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In tandem, we believe that these metrics drive the behaviors of our management team in ways that are intended to create the most value for our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002E6D"/>
        </w:rPr>
        <w:t>Setting Performance Goals for PSUs and LTIP</w:t>
      </w:r>
    </w:p>
    <w:p>
      <w:pPr>
        <w:spacing w:after="0" w:line="11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long-range planning process is used to establish the target (100% level of payment) for the Performance Cash and ROIC metrics in the PSU and LTIP grants. In setting minimum and maximum levels of payment, we reviewed historical levels of performance against long-range plan commitments, and conducted sensitivity analyses on alternative outcomes focused on identifying likely minimum and maximum boundary performance levels. Levels between 100% and the minimum and maximum levels were derived using linear interpolation between the performance hurdles. The specific Performance Cash and ROIC target values for the 2020-2022 PSU and LTIP plans are not publicly disclosed at the time of grant due to the proprietary nature and competitive sensitivity of the information. However, the method used to calculate the awards will be based on actual performance compared to the Corporation’s 2020-2022 targets, which use straight-line interpolation between points.</w:t>
      </w:r>
    </w:p>
    <w:p>
      <w:pPr>
        <w:spacing w:after="0" w:line="98"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individual award agreements require pre-specified adjustments to ensure that the ultimate payouts are not impacted to the benefit or detriment of management by specified events that would result in a difference between planned and actual financial results, such as unplanned pension contributions, changes in accounting (GAAP) standards, the impact of an acquisition or divestiture valued at more than $1 billion, or changes in tax law or interpretations related to amortization for research and experimental expenditures.</w:t>
      </w:r>
    </w:p>
    <w:p>
      <w:pPr>
        <w:spacing w:after="0" w:line="9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September 2020, the Compensation Committee approved changes to current and future LTI award agreements to allow the Corporation to adjust for the impact, if any, from the CARES Act provisions on payroll tax deferrals and progress payment class deviation changes. The Compensation Committee approved these amendments to outstanding long term incentive award agreements to ensure that the ultimate payouts are not impacted to a participant’s benefit or detriment by government stimulus and assistance programs enacted in response to COVID-19. No adjustments were made to our 2018-2020 results given the Corporation used the accelerated progress payments from the U.S. Government and payroll tax benefit to accelerate payments to our suppliers during 2020. Our deferral of payroll taxes under the CARES Act from 2020 to future periods now will not have the unintended effect of increasing our cash performance during 2020 (and corresponding decrease in cash in future periods) and the acceleration of progress payments to us by the U.S. Government under the CARES Act will also not have the unintended effect of increasing our cash performance during 2020. The amendments adopted in September 2020 also allow the Corporation to adjust for non-cash settlement charges associated with pension risk transfer transactions. We have in recent years entered into pension risk transfer transactions to manage our pension liabilities through the purchase of group annuity contracts for portions of our outstanding defined benefit pension obligations and future transactions could result in a non-cash settlement charge to earnings that should not affect the payout to management.</w:t>
      </w:r>
    </w:p>
    <w:p>
      <w:pPr>
        <w:spacing w:after="0" w:line="100"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Compensation Committee does not have discretion to adjust the results of the PSU and LTIP awards beyond the adjustments specified in the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258445</wp:posOffset>
            </wp:positionV>
            <wp:extent cx="969010" cy="2228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52</w:t>
      </w:r>
    </w:p>
    <w:p>
      <w:pPr>
        <w:sectPr>
          <w:pgSz w:w="11900" w:h="16838" w:orient="portrait"/>
          <w:cols w:equalWidth="0" w:num="1">
            <w:col w:w="11240"/>
          </w:cols>
          <w:pgMar w:left="320" w:top="609"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002E6D"/>
        </w:rPr>
        <w:t>2020-2022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87630</wp:posOffset>
            </wp:positionV>
            <wp:extent cx="2297430" cy="265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297430" cy="265430"/>
                    </a:xfrm>
                    <a:prstGeom prst="rect">
                      <a:avLst/>
                    </a:prstGeom>
                    <a:noFill/>
                  </pic:spPr>
                </pic:pic>
              </a:graphicData>
            </a:graphic>
          </wp:anchor>
        </w:drawing>
      </w:r>
    </w:p>
    <w:p>
      <w:pPr>
        <w:spacing w:after="0" w:line="139"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Relative TSR (50%)*</w:t>
      </w:r>
    </w:p>
    <w:p>
      <w:pPr>
        <w:spacing w:after="0" w:line="67" w:lineRule="exact"/>
        <w:rPr>
          <w:sz w:val="20"/>
          <w:szCs w:val="20"/>
          <w:color w:val="auto"/>
        </w:rPr>
      </w:pPr>
    </w:p>
    <w:tbl>
      <w:tblPr>
        <w:tblLayout w:type="fixed"/>
        <w:tblInd w:w="100" w:type="dxa"/>
        <w:tblCellMar>
          <w:top w:w="0" w:type="dxa"/>
          <w:left w:w="0" w:type="dxa"/>
          <w:bottom w:w="0" w:type="dxa"/>
          <w:right w:w="0" w:type="dxa"/>
        </w:tblCellMar>
      </w:tblPr>
      <w:tr>
        <w:trPr>
          <w:trHeight w:val="152"/>
        </w:trPr>
        <w:tc>
          <w:tcPr>
            <w:tcW w:w="1860" w:type="dxa"/>
            <w:vAlign w:val="bottom"/>
          </w:tcPr>
          <w:p>
            <w:pPr>
              <w:ind w:left="520"/>
              <w:spacing w:after="0"/>
              <w:rPr>
                <w:sz w:val="20"/>
                <w:szCs w:val="20"/>
                <w:color w:val="auto"/>
              </w:rPr>
            </w:pPr>
            <w:r>
              <w:rPr>
                <w:rFonts w:ascii="Arial" w:cs="Arial" w:eastAsia="Arial" w:hAnsi="Arial"/>
                <w:sz w:val="13"/>
                <w:szCs w:val="13"/>
                <w:color w:val="auto"/>
              </w:rPr>
              <w:t>Percentile Rank</w:t>
            </w:r>
          </w:p>
        </w:tc>
        <w:tc>
          <w:tcPr>
            <w:tcW w:w="1760" w:type="dxa"/>
            <w:vAlign w:val="bottom"/>
          </w:tcPr>
          <w:p>
            <w:pPr>
              <w:jc w:val="center"/>
              <w:spacing w:after="0"/>
              <w:rPr>
                <w:sz w:val="20"/>
                <w:szCs w:val="20"/>
                <w:color w:val="auto"/>
              </w:rPr>
            </w:pPr>
            <w:r>
              <w:rPr>
                <w:rFonts w:ascii="Arial" w:cs="Arial" w:eastAsia="Arial" w:hAnsi="Arial"/>
                <w:sz w:val="13"/>
                <w:szCs w:val="13"/>
                <w:color w:val="auto"/>
                <w:w w:val="96"/>
              </w:rPr>
              <w:t>Payout Factor</w:t>
            </w:r>
          </w:p>
        </w:tc>
      </w:tr>
      <w:tr>
        <w:trPr>
          <w:trHeight w:val="29"/>
        </w:trPr>
        <w:tc>
          <w:tcPr>
            <w:tcW w:w="1860" w:type="dxa"/>
            <w:vAlign w:val="bottom"/>
            <w:tcBorders>
              <w:bottom w:val="single" w:sz="8" w:color="959595"/>
            </w:tcBorders>
          </w:tcPr>
          <w:p>
            <w:pPr>
              <w:spacing w:after="0"/>
              <w:rPr>
                <w:sz w:val="2"/>
                <w:szCs w:val="2"/>
                <w:color w:val="auto"/>
              </w:rPr>
            </w:pPr>
          </w:p>
        </w:tc>
        <w:tc>
          <w:tcPr>
            <w:tcW w:w="1760" w:type="dxa"/>
            <w:vAlign w:val="bottom"/>
            <w:tcBorders>
              <w:bottom w:val="single" w:sz="8" w:color="959595"/>
            </w:tcBorders>
          </w:tcPr>
          <w:p>
            <w:pPr>
              <w:spacing w:after="0"/>
              <w:rPr>
                <w:sz w:val="2"/>
                <w:szCs w:val="2"/>
                <w:color w:val="auto"/>
              </w:rPr>
            </w:pPr>
          </w:p>
        </w:tc>
      </w:tr>
      <w:tr>
        <w:trPr>
          <w:trHeight w:val="183"/>
        </w:trPr>
        <w:tc>
          <w:tcPr>
            <w:tcW w:w="18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75th – 100th</w:t>
            </w:r>
          </w:p>
        </w:tc>
        <w:tc>
          <w:tcPr>
            <w:tcW w:w="1760" w:type="dxa"/>
            <w:vAlign w:val="bottom"/>
            <w:tcBorders>
              <w:bottom w:val="single" w:sz="8" w:color="959595"/>
            </w:tcBorders>
          </w:tcPr>
          <w:p>
            <w:pPr>
              <w:jc w:val="center"/>
              <w:ind w:left="9"/>
              <w:spacing w:after="0"/>
              <w:rPr>
                <w:sz w:val="20"/>
                <w:szCs w:val="20"/>
                <w:color w:val="auto"/>
              </w:rPr>
            </w:pPr>
            <w:r>
              <w:rPr>
                <w:rFonts w:ascii="Arial" w:cs="Arial" w:eastAsia="Arial" w:hAnsi="Arial"/>
                <w:sz w:val="14"/>
                <w:szCs w:val="14"/>
                <w:color w:val="auto"/>
              </w:rPr>
              <w:t>200%</w:t>
            </w:r>
          </w:p>
        </w:tc>
      </w:tr>
      <w:tr>
        <w:trPr>
          <w:trHeight w:val="183"/>
        </w:trPr>
        <w:tc>
          <w:tcPr>
            <w:tcW w:w="18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60th</w:t>
            </w:r>
          </w:p>
        </w:tc>
        <w:tc>
          <w:tcPr>
            <w:tcW w:w="1760" w:type="dxa"/>
            <w:vAlign w:val="bottom"/>
            <w:tcBorders>
              <w:bottom w:val="single" w:sz="8" w:color="959595"/>
            </w:tcBorders>
          </w:tcPr>
          <w:p>
            <w:pPr>
              <w:jc w:val="center"/>
              <w:ind w:left="9"/>
              <w:spacing w:after="0"/>
              <w:rPr>
                <w:sz w:val="20"/>
                <w:szCs w:val="20"/>
                <w:color w:val="auto"/>
              </w:rPr>
            </w:pPr>
            <w:r>
              <w:rPr>
                <w:rFonts w:ascii="Arial" w:cs="Arial" w:eastAsia="Arial" w:hAnsi="Arial"/>
                <w:sz w:val="14"/>
                <w:szCs w:val="14"/>
                <w:color w:val="auto"/>
              </w:rPr>
              <w:t>150%</w:t>
            </w:r>
          </w:p>
        </w:tc>
      </w:tr>
      <w:tr>
        <w:trPr>
          <w:trHeight w:val="183"/>
        </w:trPr>
        <w:tc>
          <w:tcPr>
            <w:tcW w:w="18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50th</w:t>
            </w:r>
          </w:p>
        </w:tc>
        <w:tc>
          <w:tcPr>
            <w:tcW w:w="17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100% (Target)</w:t>
            </w:r>
          </w:p>
        </w:tc>
      </w:tr>
      <w:tr>
        <w:trPr>
          <w:trHeight w:val="183"/>
        </w:trPr>
        <w:tc>
          <w:tcPr>
            <w:tcW w:w="18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40th</w:t>
            </w:r>
          </w:p>
        </w:tc>
        <w:tc>
          <w:tcPr>
            <w:tcW w:w="1760" w:type="dxa"/>
            <w:vAlign w:val="bottom"/>
            <w:tcBorders>
              <w:bottom w:val="single" w:sz="8" w:color="959595"/>
            </w:tcBorders>
          </w:tcPr>
          <w:p>
            <w:pPr>
              <w:jc w:val="center"/>
              <w:ind w:left="9"/>
              <w:spacing w:after="0"/>
              <w:rPr>
                <w:sz w:val="20"/>
                <w:szCs w:val="20"/>
                <w:color w:val="auto"/>
              </w:rPr>
            </w:pPr>
            <w:r>
              <w:rPr>
                <w:rFonts w:ascii="Arial" w:cs="Arial" w:eastAsia="Arial" w:hAnsi="Arial"/>
                <w:sz w:val="14"/>
                <w:szCs w:val="14"/>
                <w:color w:val="auto"/>
                <w:w w:val="99"/>
              </w:rPr>
              <w:t>50%</w:t>
            </w:r>
          </w:p>
        </w:tc>
      </w:tr>
      <w:tr>
        <w:trPr>
          <w:trHeight w:val="183"/>
        </w:trPr>
        <w:tc>
          <w:tcPr>
            <w:tcW w:w="18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35th</w:t>
            </w:r>
          </w:p>
        </w:tc>
        <w:tc>
          <w:tcPr>
            <w:tcW w:w="1760" w:type="dxa"/>
            <w:vAlign w:val="bottom"/>
            <w:tcBorders>
              <w:bottom w:val="single" w:sz="8" w:color="959595"/>
            </w:tcBorders>
          </w:tcPr>
          <w:p>
            <w:pPr>
              <w:jc w:val="center"/>
              <w:ind w:left="9"/>
              <w:spacing w:after="0"/>
              <w:rPr>
                <w:sz w:val="20"/>
                <w:szCs w:val="20"/>
                <w:color w:val="auto"/>
              </w:rPr>
            </w:pPr>
            <w:r>
              <w:rPr>
                <w:rFonts w:ascii="Arial" w:cs="Arial" w:eastAsia="Arial" w:hAnsi="Arial"/>
                <w:sz w:val="14"/>
                <w:szCs w:val="14"/>
                <w:color w:val="auto"/>
                <w:w w:val="99"/>
              </w:rPr>
              <w:t>25%</w:t>
            </w:r>
          </w:p>
        </w:tc>
      </w:tr>
      <w:tr>
        <w:trPr>
          <w:trHeight w:val="183"/>
        </w:trPr>
        <w:tc>
          <w:tcPr>
            <w:tcW w:w="18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&lt; 35th</w:t>
            </w:r>
          </w:p>
        </w:tc>
        <w:tc>
          <w:tcPr>
            <w:tcW w:w="1760" w:type="dxa"/>
            <w:vAlign w:val="bottom"/>
            <w:tcBorders>
              <w:bottom w:val="single" w:sz="8" w:color="959595"/>
            </w:tcBorders>
          </w:tcPr>
          <w:p>
            <w:pPr>
              <w:jc w:val="center"/>
              <w:ind w:left="9"/>
              <w:spacing w:after="0"/>
              <w:rPr>
                <w:sz w:val="20"/>
                <w:szCs w:val="20"/>
                <w:color w:val="auto"/>
              </w:rPr>
            </w:pPr>
            <w:r>
              <w:rPr>
                <w:rFonts w:ascii="Arial" w:cs="Arial" w:eastAsia="Arial" w:hAnsi="Arial"/>
                <w:sz w:val="14"/>
                <w:szCs w:val="14"/>
                <w:color w:val="auto"/>
                <w:w w:val="98"/>
              </w:rPr>
              <w:t>0%</w:t>
            </w:r>
          </w:p>
        </w:tc>
      </w:tr>
    </w:tbl>
    <w:p>
      <w:pPr>
        <w:spacing w:after="0" w:line="78" w:lineRule="exact"/>
        <w:rPr>
          <w:sz w:val="20"/>
          <w:szCs w:val="20"/>
          <w:color w:val="auto"/>
        </w:rPr>
      </w:pPr>
    </w:p>
    <w:p>
      <w:pPr>
        <w:ind w:left="280" w:right="20" w:hanging="160"/>
        <w:spacing w:after="0" w:line="263" w:lineRule="auto"/>
        <w:tabs>
          <w:tab w:leader="none" w:pos="280" w:val="left"/>
        </w:tabs>
        <w:numPr>
          <w:ilvl w:val="0"/>
          <w:numId w:val="91"/>
        </w:numPr>
        <w:rPr>
          <w:rFonts w:ascii="Arial" w:cs="Arial" w:eastAsia="Arial" w:hAnsi="Arial"/>
          <w:sz w:val="10"/>
          <w:szCs w:val="10"/>
          <w:color w:val="auto"/>
        </w:rPr>
      </w:pPr>
      <w:r>
        <w:rPr>
          <w:rFonts w:ascii="Arial" w:cs="Arial" w:eastAsia="Arial" w:hAnsi="Arial"/>
          <w:sz w:val="10"/>
          <w:szCs w:val="10"/>
          <w:color w:val="auto"/>
        </w:rPr>
        <w:t>2020-2022 Relative TSR performance is measured against our industry peers in the S&amp;P 500 Aerospace &amp; Defense Index (S&amp;P Aerospace) and other publicly traded U.S. Government Contractors, totaling 14 industry peers (See Page 52 for Relative TSR Comparators).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60" w:type="dxa"/>
            <w:vAlign w:val="bottom"/>
            <w:tcBorders>
              <w:bottom w:val="single" w:sz="8" w:color="E5E7EF"/>
            </w:tcBorders>
            <w:gridSpan w:val="2"/>
            <w:shd w:val="clear" w:color="auto" w:fill="E5E7EF"/>
          </w:tcPr>
          <w:p>
            <w:pPr>
              <w:ind w:left="920"/>
              <w:spacing w:after="0"/>
              <w:rPr>
                <w:sz w:val="20"/>
                <w:szCs w:val="20"/>
                <w:color w:val="auto"/>
              </w:rPr>
            </w:pPr>
            <w:r>
              <w:rPr>
                <w:rFonts w:ascii="Arial" w:cs="Arial" w:eastAsia="Arial" w:hAnsi="Arial"/>
                <w:sz w:val="13"/>
                <w:szCs w:val="13"/>
                <w:color w:val="auto"/>
              </w:rPr>
              <w:t>Performance Cash (25%)</w:t>
            </w:r>
          </w:p>
        </w:tc>
        <w:tc>
          <w:tcPr>
            <w:tcW w:w="480" w:type="dxa"/>
            <w:vAlign w:val="bottom"/>
          </w:tcPr>
          <w:p>
            <w:pPr>
              <w:spacing w:after="0"/>
              <w:rPr>
                <w:sz w:val="17"/>
                <w:szCs w:val="17"/>
                <w:color w:val="auto"/>
              </w:rPr>
            </w:pPr>
          </w:p>
        </w:tc>
        <w:tc>
          <w:tcPr>
            <w:tcW w:w="2000" w:type="dxa"/>
            <w:vAlign w:val="bottom"/>
            <w:tcBorders>
              <w:bottom w:val="single" w:sz="8" w:color="E5E7EF"/>
            </w:tcBorders>
            <w:shd w:val="clear" w:color="auto" w:fill="E5E7EF"/>
          </w:tcPr>
          <w:p>
            <w:pPr>
              <w:ind w:left="1260"/>
              <w:spacing w:after="0"/>
              <w:rPr>
                <w:sz w:val="20"/>
                <w:szCs w:val="20"/>
                <w:color w:val="auto"/>
              </w:rPr>
            </w:pPr>
            <w:r>
              <w:rPr>
                <w:rFonts w:ascii="Arial" w:cs="Arial" w:eastAsia="Arial" w:hAnsi="Arial"/>
                <w:sz w:val="13"/>
                <w:szCs w:val="13"/>
                <w:color w:val="auto"/>
              </w:rPr>
              <w:t>ROIC (25%)</w:t>
            </w:r>
          </w:p>
        </w:tc>
        <w:tc>
          <w:tcPr>
            <w:tcW w:w="1200" w:type="dxa"/>
            <w:vAlign w:val="bottom"/>
            <w:tcBorders>
              <w:bottom w:val="single" w:sz="8" w:color="E5E7EF"/>
            </w:tcBorders>
            <w:shd w:val="clear" w:color="auto" w:fill="E5E7EF"/>
          </w:tcPr>
          <w:p>
            <w:pPr>
              <w:spacing w:after="0"/>
              <w:rPr>
                <w:sz w:val="17"/>
                <w:szCs w:val="17"/>
                <w:color w:val="auto"/>
              </w:rPr>
            </w:pPr>
          </w:p>
        </w:tc>
      </w:tr>
      <w:tr>
        <w:trPr>
          <w:trHeight w:val="201"/>
        </w:trPr>
        <w:tc>
          <w:tcPr>
            <w:tcW w:w="1840" w:type="dxa"/>
            <w:vAlign w:val="bottom"/>
            <w:tcBorders>
              <w:top w:val="single" w:sz="8" w:color="959595"/>
              <w:bottom w:val="single" w:sz="8" w:color="E5E7EF"/>
            </w:tcBorders>
            <w:shd w:val="clear" w:color="auto" w:fill="E5E7EF"/>
          </w:tcPr>
          <w:p>
            <w:pPr>
              <w:jc w:val="center"/>
              <w:spacing w:after="0"/>
              <w:rPr>
                <w:sz w:val="20"/>
                <w:szCs w:val="20"/>
                <w:color w:val="auto"/>
              </w:rPr>
            </w:pPr>
            <w:r>
              <w:rPr>
                <w:rFonts w:ascii="Arial" w:cs="Arial" w:eastAsia="Arial" w:hAnsi="Arial"/>
                <w:sz w:val="13"/>
                <w:szCs w:val="13"/>
                <w:color w:val="auto"/>
                <w:w w:val="94"/>
              </w:rPr>
              <w:t>Goals</w:t>
            </w:r>
          </w:p>
        </w:tc>
        <w:tc>
          <w:tcPr>
            <w:tcW w:w="1420" w:type="dxa"/>
            <w:vAlign w:val="bottom"/>
            <w:tcBorders>
              <w:top w:val="single" w:sz="8" w:color="959595"/>
              <w:bottom w:val="single" w:sz="8" w:color="E5E7EF"/>
            </w:tcBorders>
            <w:shd w:val="clear" w:color="auto" w:fill="E5E7EF"/>
          </w:tcPr>
          <w:p>
            <w:pPr>
              <w:ind w:left="300"/>
              <w:spacing w:after="0"/>
              <w:rPr>
                <w:sz w:val="20"/>
                <w:szCs w:val="20"/>
                <w:color w:val="auto"/>
              </w:rPr>
            </w:pPr>
            <w:r>
              <w:rPr>
                <w:rFonts w:ascii="Arial" w:cs="Arial" w:eastAsia="Arial" w:hAnsi="Arial"/>
                <w:sz w:val="13"/>
                <w:szCs w:val="13"/>
                <w:color w:val="auto"/>
              </w:rPr>
              <w:t>Payout Factor</w:t>
            </w:r>
          </w:p>
        </w:tc>
        <w:tc>
          <w:tcPr>
            <w:tcW w:w="480" w:type="dxa"/>
            <w:vAlign w:val="bottom"/>
          </w:tcPr>
          <w:p>
            <w:pPr>
              <w:spacing w:after="0"/>
              <w:rPr>
                <w:sz w:val="17"/>
                <w:szCs w:val="17"/>
                <w:color w:val="auto"/>
              </w:rPr>
            </w:pPr>
          </w:p>
        </w:tc>
        <w:tc>
          <w:tcPr>
            <w:tcW w:w="2000" w:type="dxa"/>
            <w:vAlign w:val="bottom"/>
            <w:tcBorders>
              <w:top w:val="single" w:sz="8" w:color="959595"/>
              <w:bottom w:val="single" w:sz="8" w:color="E5E7EF"/>
            </w:tcBorders>
            <w:shd w:val="clear" w:color="auto" w:fill="E5E7EF"/>
          </w:tcPr>
          <w:p>
            <w:pPr>
              <w:jc w:val="center"/>
              <w:ind w:right="210"/>
              <w:spacing w:after="0"/>
              <w:rPr>
                <w:sz w:val="20"/>
                <w:szCs w:val="20"/>
                <w:color w:val="auto"/>
              </w:rPr>
            </w:pPr>
            <w:r>
              <w:rPr>
                <w:rFonts w:ascii="Arial" w:cs="Arial" w:eastAsia="Arial" w:hAnsi="Arial"/>
                <w:sz w:val="13"/>
                <w:szCs w:val="13"/>
                <w:color w:val="auto"/>
                <w:w w:val="94"/>
              </w:rPr>
              <w:t>Goals</w:t>
            </w:r>
          </w:p>
        </w:tc>
        <w:tc>
          <w:tcPr>
            <w:tcW w:w="1200" w:type="dxa"/>
            <w:vAlign w:val="bottom"/>
            <w:tcBorders>
              <w:top w:val="single" w:sz="8" w:color="959595"/>
              <w:bottom w:val="single" w:sz="8" w:color="E5E7EF"/>
            </w:tcBorders>
            <w:shd w:val="clear" w:color="auto" w:fill="E5E7EF"/>
          </w:tcPr>
          <w:p>
            <w:pPr>
              <w:ind w:left="60"/>
              <w:spacing w:after="0"/>
              <w:rPr>
                <w:sz w:val="20"/>
                <w:szCs w:val="20"/>
                <w:color w:val="auto"/>
              </w:rPr>
            </w:pPr>
            <w:r>
              <w:rPr>
                <w:rFonts w:ascii="Arial" w:cs="Arial" w:eastAsia="Arial" w:hAnsi="Arial"/>
                <w:sz w:val="13"/>
                <w:szCs w:val="13"/>
                <w:color w:val="auto"/>
              </w:rPr>
              <w:t>Payout Factor</w:t>
            </w:r>
          </w:p>
        </w:tc>
      </w:tr>
      <w:tr>
        <w:trPr>
          <w:trHeight w:val="183"/>
        </w:trPr>
        <w:tc>
          <w:tcPr>
            <w:tcW w:w="1840" w:type="dxa"/>
            <w:vAlign w:val="bottom"/>
            <w:tcBorders>
              <w:top w:val="single" w:sz="8" w:color="959595"/>
              <w:bottom w:val="single" w:sz="8" w:color="959595"/>
            </w:tcBorders>
          </w:tcPr>
          <w:p>
            <w:pPr>
              <w:jc w:val="center"/>
              <w:spacing w:after="0"/>
              <w:rPr>
                <w:sz w:val="20"/>
                <w:szCs w:val="20"/>
                <w:color w:val="auto"/>
              </w:rPr>
            </w:pPr>
            <w:r>
              <w:rPr>
                <w:rFonts w:ascii="Arial" w:cs="Arial" w:eastAsia="Arial" w:hAnsi="Arial"/>
                <w:sz w:val="14"/>
                <w:szCs w:val="14"/>
                <w:color w:val="auto"/>
              </w:rPr>
              <w:t>Plan + ≥ $2.0B</w:t>
            </w:r>
          </w:p>
        </w:tc>
        <w:tc>
          <w:tcPr>
            <w:tcW w:w="1420" w:type="dxa"/>
            <w:vAlign w:val="bottom"/>
            <w:tcBorders>
              <w:top w:val="single" w:sz="8" w:color="959595"/>
              <w:bottom w:val="single" w:sz="8" w:color="959595"/>
            </w:tcBorders>
          </w:tcPr>
          <w:p>
            <w:pPr>
              <w:jc w:val="center"/>
              <w:spacing w:after="0"/>
              <w:rPr>
                <w:sz w:val="20"/>
                <w:szCs w:val="20"/>
                <w:color w:val="auto"/>
              </w:rPr>
            </w:pPr>
            <w:r>
              <w:rPr>
                <w:rFonts w:ascii="Arial" w:cs="Arial" w:eastAsia="Arial" w:hAnsi="Arial"/>
                <w:sz w:val="14"/>
                <w:szCs w:val="14"/>
                <w:color w:val="auto"/>
              </w:rPr>
              <w:t>200%</w:t>
            </w:r>
          </w:p>
        </w:tc>
        <w:tc>
          <w:tcPr>
            <w:tcW w:w="480" w:type="dxa"/>
            <w:vAlign w:val="bottom"/>
          </w:tcPr>
          <w:p>
            <w:pPr>
              <w:spacing w:after="0"/>
              <w:rPr>
                <w:sz w:val="15"/>
                <w:szCs w:val="15"/>
                <w:color w:val="auto"/>
              </w:rPr>
            </w:pPr>
          </w:p>
        </w:tc>
        <w:tc>
          <w:tcPr>
            <w:tcW w:w="2000" w:type="dxa"/>
            <w:vAlign w:val="bottom"/>
            <w:tcBorders>
              <w:top w:val="single" w:sz="8" w:color="959595"/>
              <w:bottom w:val="single" w:sz="8" w:color="959595"/>
            </w:tcBorders>
          </w:tcPr>
          <w:p>
            <w:pPr>
              <w:jc w:val="center"/>
              <w:ind w:right="210"/>
              <w:spacing w:after="0"/>
              <w:rPr>
                <w:sz w:val="20"/>
                <w:szCs w:val="20"/>
                <w:color w:val="auto"/>
              </w:rPr>
            </w:pPr>
            <w:r>
              <w:rPr>
                <w:rFonts w:ascii="Arial" w:cs="Arial" w:eastAsia="Arial" w:hAnsi="Arial"/>
                <w:sz w:val="14"/>
                <w:szCs w:val="14"/>
                <w:color w:val="auto"/>
              </w:rPr>
              <w:t>Plan + ≥ 160 bps</w:t>
            </w:r>
          </w:p>
        </w:tc>
        <w:tc>
          <w:tcPr>
            <w:tcW w:w="1200" w:type="dxa"/>
            <w:vAlign w:val="bottom"/>
            <w:tcBorders>
              <w:top w:val="single" w:sz="8" w:color="959595"/>
              <w:bottom w:val="single" w:sz="8" w:color="959595"/>
            </w:tcBorders>
          </w:tcPr>
          <w:p>
            <w:pPr>
              <w:jc w:val="center"/>
              <w:ind w:right="209"/>
              <w:spacing w:after="0"/>
              <w:rPr>
                <w:sz w:val="20"/>
                <w:szCs w:val="20"/>
                <w:color w:val="auto"/>
              </w:rPr>
            </w:pPr>
            <w:r>
              <w:rPr>
                <w:rFonts w:ascii="Arial" w:cs="Arial" w:eastAsia="Arial" w:hAnsi="Arial"/>
                <w:sz w:val="14"/>
                <w:szCs w:val="14"/>
                <w:color w:val="auto"/>
              </w:rPr>
              <w:t>200%</w:t>
            </w:r>
          </w:p>
        </w:tc>
      </w:tr>
      <w:tr>
        <w:trPr>
          <w:trHeight w:val="183"/>
        </w:trPr>
        <w:tc>
          <w:tcPr>
            <w:tcW w:w="184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Plan + $1.5B</w:t>
            </w:r>
          </w:p>
        </w:tc>
        <w:tc>
          <w:tcPr>
            <w:tcW w:w="14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175%</w:t>
            </w:r>
          </w:p>
        </w:tc>
        <w:tc>
          <w:tcPr>
            <w:tcW w:w="480" w:type="dxa"/>
            <w:vAlign w:val="bottom"/>
          </w:tcPr>
          <w:p>
            <w:pPr>
              <w:spacing w:after="0"/>
              <w:rPr>
                <w:sz w:val="15"/>
                <w:szCs w:val="15"/>
                <w:color w:val="auto"/>
              </w:rPr>
            </w:pPr>
          </w:p>
        </w:tc>
        <w:tc>
          <w:tcPr>
            <w:tcW w:w="2000" w:type="dxa"/>
            <w:vAlign w:val="bottom"/>
            <w:tcBorders>
              <w:bottom w:val="single" w:sz="8" w:color="959595"/>
            </w:tcBorders>
          </w:tcPr>
          <w:p>
            <w:pPr>
              <w:jc w:val="center"/>
              <w:ind w:right="210"/>
              <w:spacing w:after="0"/>
              <w:rPr>
                <w:sz w:val="20"/>
                <w:szCs w:val="20"/>
                <w:color w:val="auto"/>
              </w:rPr>
            </w:pPr>
            <w:r>
              <w:rPr>
                <w:rFonts w:ascii="Arial" w:cs="Arial" w:eastAsia="Arial" w:hAnsi="Arial"/>
                <w:sz w:val="14"/>
                <w:szCs w:val="14"/>
                <w:color w:val="auto"/>
              </w:rPr>
              <w:t>Plan + 120 bps</w:t>
            </w:r>
          </w:p>
        </w:tc>
        <w:tc>
          <w:tcPr>
            <w:tcW w:w="1200" w:type="dxa"/>
            <w:vAlign w:val="bottom"/>
            <w:tcBorders>
              <w:bottom w:val="single" w:sz="8" w:color="959595"/>
            </w:tcBorders>
          </w:tcPr>
          <w:p>
            <w:pPr>
              <w:jc w:val="center"/>
              <w:ind w:right="209"/>
              <w:spacing w:after="0"/>
              <w:rPr>
                <w:sz w:val="20"/>
                <w:szCs w:val="20"/>
                <w:color w:val="auto"/>
              </w:rPr>
            </w:pPr>
            <w:r>
              <w:rPr>
                <w:rFonts w:ascii="Arial" w:cs="Arial" w:eastAsia="Arial" w:hAnsi="Arial"/>
                <w:sz w:val="14"/>
                <w:szCs w:val="14"/>
                <w:color w:val="auto"/>
              </w:rPr>
              <w:t>175%</w:t>
            </w:r>
          </w:p>
        </w:tc>
      </w:tr>
      <w:tr>
        <w:trPr>
          <w:trHeight w:val="183"/>
        </w:trPr>
        <w:tc>
          <w:tcPr>
            <w:tcW w:w="184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Plan + $1.0B</w:t>
            </w:r>
          </w:p>
        </w:tc>
        <w:tc>
          <w:tcPr>
            <w:tcW w:w="14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150%</w:t>
            </w:r>
          </w:p>
        </w:tc>
        <w:tc>
          <w:tcPr>
            <w:tcW w:w="480" w:type="dxa"/>
            <w:vAlign w:val="bottom"/>
          </w:tcPr>
          <w:p>
            <w:pPr>
              <w:spacing w:after="0"/>
              <w:rPr>
                <w:sz w:val="15"/>
                <w:szCs w:val="15"/>
                <w:color w:val="auto"/>
              </w:rPr>
            </w:pPr>
          </w:p>
        </w:tc>
        <w:tc>
          <w:tcPr>
            <w:tcW w:w="2000" w:type="dxa"/>
            <w:vAlign w:val="bottom"/>
            <w:tcBorders>
              <w:bottom w:val="single" w:sz="8" w:color="959595"/>
            </w:tcBorders>
          </w:tcPr>
          <w:p>
            <w:pPr>
              <w:jc w:val="center"/>
              <w:ind w:right="210"/>
              <w:spacing w:after="0"/>
              <w:rPr>
                <w:sz w:val="20"/>
                <w:szCs w:val="20"/>
                <w:color w:val="auto"/>
              </w:rPr>
            </w:pPr>
            <w:r>
              <w:rPr>
                <w:rFonts w:ascii="Arial" w:cs="Arial" w:eastAsia="Arial" w:hAnsi="Arial"/>
                <w:sz w:val="14"/>
                <w:szCs w:val="14"/>
                <w:color w:val="auto"/>
              </w:rPr>
              <w:t>Plan + 80 bps</w:t>
            </w:r>
          </w:p>
        </w:tc>
        <w:tc>
          <w:tcPr>
            <w:tcW w:w="1200" w:type="dxa"/>
            <w:vAlign w:val="bottom"/>
            <w:tcBorders>
              <w:bottom w:val="single" w:sz="8" w:color="959595"/>
            </w:tcBorders>
          </w:tcPr>
          <w:p>
            <w:pPr>
              <w:jc w:val="center"/>
              <w:ind w:right="209"/>
              <w:spacing w:after="0"/>
              <w:rPr>
                <w:sz w:val="20"/>
                <w:szCs w:val="20"/>
                <w:color w:val="auto"/>
              </w:rPr>
            </w:pPr>
            <w:r>
              <w:rPr>
                <w:rFonts w:ascii="Arial" w:cs="Arial" w:eastAsia="Arial" w:hAnsi="Arial"/>
                <w:sz w:val="14"/>
                <w:szCs w:val="14"/>
                <w:color w:val="auto"/>
              </w:rPr>
              <w:t>150%</w:t>
            </w:r>
          </w:p>
        </w:tc>
      </w:tr>
      <w:tr>
        <w:trPr>
          <w:trHeight w:val="183"/>
        </w:trPr>
        <w:tc>
          <w:tcPr>
            <w:tcW w:w="184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Plan + $0.5B</w:t>
            </w:r>
          </w:p>
        </w:tc>
        <w:tc>
          <w:tcPr>
            <w:tcW w:w="14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125%</w:t>
            </w:r>
          </w:p>
        </w:tc>
        <w:tc>
          <w:tcPr>
            <w:tcW w:w="480" w:type="dxa"/>
            <w:vAlign w:val="bottom"/>
          </w:tcPr>
          <w:p>
            <w:pPr>
              <w:spacing w:after="0"/>
              <w:rPr>
                <w:sz w:val="15"/>
                <w:szCs w:val="15"/>
                <w:color w:val="auto"/>
              </w:rPr>
            </w:pPr>
          </w:p>
        </w:tc>
        <w:tc>
          <w:tcPr>
            <w:tcW w:w="2000" w:type="dxa"/>
            <w:vAlign w:val="bottom"/>
            <w:tcBorders>
              <w:bottom w:val="single" w:sz="8" w:color="959595"/>
            </w:tcBorders>
          </w:tcPr>
          <w:p>
            <w:pPr>
              <w:jc w:val="center"/>
              <w:ind w:right="210"/>
              <w:spacing w:after="0"/>
              <w:rPr>
                <w:sz w:val="20"/>
                <w:szCs w:val="20"/>
                <w:color w:val="auto"/>
              </w:rPr>
            </w:pPr>
            <w:r>
              <w:rPr>
                <w:rFonts w:ascii="Arial" w:cs="Arial" w:eastAsia="Arial" w:hAnsi="Arial"/>
                <w:sz w:val="14"/>
                <w:szCs w:val="14"/>
                <w:color w:val="auto"/>
              </w:rPr>
              <w:t>Plan + 40 bps</w:t>
            </w:r>
          </w:p>
        </w:tc>
        <w:tc>
          <w:tcPr>
            <w:tcW w:w="1200" w:type="dxa"/>
            <w:vAlign w:val="bottom"/>
            <w:tcBorders>
              <w:bottom w:val="single" w:sz="8" w:color="959595"/>
            </w:tcBorders>
          </w:tcPr>
          <w:p>
            <w:pPr>
              <w:jc w:val="center"/>
              <w:ind w:right="209"/>
              <w:spacing w:after="0"/>
              <w:rPr>
                <w:sz w:val="20"/>
                <w:szCs w:val="20"/>
                <w:color w:val="auto"/>
              </w:rPr>
            </w:pPr>
            <w:r>
              <w:rPr>
                <w:rFonts w:ascii="Arial" w:cs="Arial" w:eastAsia="Arial" w:hAnsi="Arial"/>
                <w:sz w:val="14"/>
                <w:szCs w:val="14"/>
                <w:color w:val="auto"/>
              </w:rPr>
              <w:t>125%</w:t>
            </w:r>
          </w:p>
        </w:tc>
      </w:tr>
      <w:tr>
        <w:trPr>
          <w:trHeight w:val="183"/>
        </w:trPr>
        <w:tc>
          <w:tcPr>
            <w:tcW w:w="184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Plan</w:t>
            </w:r>
          </w:p>
        </w:tc>
        <w:tc>
          <w:tcPr>
            <w:tcW w:w="14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100%</w:t>
            </w:r>
          </w:p>
        </w:tc>
        <w:tc>
          <w:tcPr>
            <w:tcW w:w="480" w:type="dxa"/>
            <w:vAlign w:val="bottom"/>
          </w:tcPr>
          <w:p>
            <w:pPr>
              <w:spacing w:after="0"/>
              <w:rPr>
                <w:sz w:val="15"/>
                <w:szCs w:val="15"/>
                <w:color w:val="auto"/>
              </w:rPr>
            </w:pPr>
          </w:p>
        </w:tc>
        <w:tc>
          <w:tcPr>
            <w:tcW w:w="2000" w:type="dxa"/>
            <w:vAlign w:val="bottom"/>
            <w:tcBorders>
              <w:bottom w:val="single" w:sz="8" w:color="959595"/>
            </w:tcBorders>
          </w:tcPr>
          <w:p>
            <w:pPr>
              <w:jc w:val="center"/>
              <w:ind w:right="210"/>
              <w:spacing w:after="0"/>
              <w:rPr>
                <w:sz w:val="20"/>
                <w:szCs w:val="20"/>
                <w:color w:val="auto"/>
              </w:rPr>
            </w:pPr>
            <w:r>
              <w:rPr>
                <w:rFonts w:ascii="Arial" w:cs="Arial" w:eastAsia="Arial" w:hAnsi="Arial"/>
                <w:sz w:val="14"/>
                <w:szCs w:val="14"/>
                <w:color w:val="auto"/>
                <w:w w:val="99"/>
              </w:rPr>
              <w:t>Plan</w:t>
            </w:r>
          </w:p>
        </w:tc>
        <w:tc>
          <w:tcPr>
            <w:tcW w:w="1200" w:type="dxa"/>
            <w:vAlign w:val="bottom"/>
            <w:tcBorders>
              <w:bottom w:val="single" w:sz="8" w:color="959595"/>
            </w:tcBorders>
          </w:tcPr>
          <w:p>
            <w:pPr>
              <w:jc w:val="center"/>
              <w:ind w:right="209"/>
              <w:spacing w:after="0"/>
              <w:rPr>
                <w:sz w:val="20"/>
                <w:szCs w:val="20"/>
                <w:color w:val="auto"/>
              </w:rPr>
            </w:pPr>
            <w:r>
              <w:rPr>
                <w:rFonts w:ascii="Arial" w:cs="Arial" w:eastAsia="Arial" w:hAnsi="Arial"/>
                <w:sz w:val="14"/>
                <w:szCs w:val="14"/>
                <w:color w:val="auto"/>
              </w:rPr>
              <w:t>100%</w:t>
            </w:r>
          </w:p>
        </w:tc>
      </w:tr>
      <w:tr>
        <w:trPr>
          <w:trHeight w:val="183"/>
        </w:trPr>
        <w:tc>
          <w:tcPr>
            <w:tcW w:w="184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Plan - $0.2B</w:t>
            </w:r>
          </w:p>
        </w:tc>
        <w:tc>
          <w:tcPr>
            <w:tcW w:w="14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75%</w:t>
            </w:r>
          </w:p>
        </w:tc>
        <w:tc>
          <w:tcPr>
            <w:tcW w:w="480" w:type="dxa"/>
            <w:vAlign w:val="bottom"/>
          </w:tcPr>
          <w:p>
            <w:pPr>
              <w:spacing w:after="0"/>
              <w:rPr>
                <w:sz w:val="15"/>
                <w:szCs w:val="15"/>
                <w:color w:val="auto"/>
              </w:rPr>
            </w:pPr>
          </w:p>
        </w:tc>
        <w:tc>
          <w:tcPr>
            <w:tcW w:w="2000" w:type="dxa"/>
            <w:vAlign w:val="bottom"/>
            <w:tcBorders>
              <w:bottom w:val="single" w:sz="8" w:color="959595"/>
            </w:tcBorders>
          </w:tcPr>
          <w:p>
            <w:pPr>
              <w:jc w:val="center"/>
              <w:ind w:right="210"/>
              <w:spacing w:after="0"/>
              <w:rPr>
                <w:sz w:val="20"/>
                <w:szCs w:val="20"/>
                <w:color w:val="auto"/>
              </w:rPr>
            </w:pPr>
            <w:r>
              <w:rPr>
                <w:rFonts w:ascii="Arial" w:cs="Arial" w:eastAsia="Arial" w:hAnsi="Arial"/>
                <w:sz w:val="14"/>
                <w:szCs w:val="14"/>
                <w:color w:val="auto"/>
              </w:rPr>
              <w:t>Plan - 10 bps</w:t>
            </w:r>
          </w:p>
        </w:tc>
        <w:tc>
          <w:tcPr>
            <w:tcW w:w="1200" w:type="dxa"/>
            <w:vAlign w:val="bottom"/>
            <w:tcBorders>
              <w:bottom w:val="single" w:sz="8" w:color="959595"/>
            </w:tcBorders>
          </w:tcPr>
          <w:p>
            <w:pPr>
              <w:jc w:val="center"/>
              <w:ind w:right="209"/>
              <w:spacing w:after="0"/>
              <w:rPr>
                <w:sz w:val="20"/>
                <w:szCs w:val="20"/>
                <w:color w:val="auto"/>
              </w:rPr>
            </w:pPr>
            <w:r>
              <w:rPr>
                <w:rFonts w:ascii="Arial" w:cs="Arial" w:eastAsia="Arial" w:hAnsi="Arial"/>
                <w:sz w:val="14"/>
                <w:szCs w:val="14"/>
                <w:color w:val="auto"/>
                <w:w w:val="99"/>
              </w:rPr>
              <w:t>75%</w:t>
            </w:r>
          </w:p>
        </w:tc>
      </w:tr>
      <w:tr>
        <w:trPr>
          <w:trHeight w:val="196"/>
        </w:trPr>
        <w:tc>
          <w:tcPr>
            <w:tcW w:w="184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Plan - $0.5B</w:t>
            </w:r>
          </w:p>
        </w:tc>
        <w:tc>
          <w:tcPr>
            <w:tcW w:w="14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50%</w:t>
            </w:r>
          </w:p>
        </w:tc>
        <w:tc>
          <w:tcPr>
            <w:tcW w:w="480" w:type="dxa"/>
            <w:vAlign w:val="bottom"/>
          </w:tcPr>
          <w:p>
            <w:pPr>
              <w:spacing w:after="0"/>
              <w:rPr>
                <w:sz w:val="17"/>
                <w:szCs w:val="17"/>
                <w:color w:val="auto"/>
              </w:rPr>
            </w:pPr>
          </w:p>
        </w:tc>
        <w:tc>
          <w:tcPr>
            <w:tcW w:w="2000" w:type="dxa"/>
            <w:vAlign w:val="bottom"/>
            <w:tcBorders>
              <w:bottom w:val="single" w:sz="8" w:color="959595"/>
            </w:tcBorders>
          </w:tcPr>
          <w:p>
            <w:pPr>
              <w:jc w:val="center"/>
              <w:ind w:right="210"/>
              <w:spacing w:after="0"/>
              <w:rPr>
                <w:sz w:val="20"/>
                <w:szCs w:val="20"/>
                <w:color w:val="auto"/>
              </w:rPr>
            </w:pPr>
            <w:r>
              <w:rPr>
                <w:rFonts w:ascii="Arial" w:cs="Arial" w:eastAsia="Arial" w:hAnsi="Arial"/>
                <w:sz w:val="14"/>
                <w:szCs w:val="14"/>
                <w:color w:val="auto"/>
              </w:rPr>
              <w:t>Plan - 20 bps</w:t>
            </w:r>
          </w:p>
        </w:tc>
        <w:tc>
          <w:tcPr>
            <w:tcW w:w="1200" w:type="dxa"/>
            <w:vAlign w:val="bottom"/>
            <w:tcBorders>
              <w:bottom w:val="single" w:sz="8" w:color="959595"/>
            </w:tcBorders>
          </w:tcPr>
          <w:p>
            <w:pPr>
              <w:jc w:val="center"/>
              <w:ind w:right="209"/>
              <w:spacing w:after="0"/>
              <w:rPr>
                <w:sz w:val="20"/>
                <w:szCs w:val="20"/>
                <w:color w:val="auto"/>
              </w:rPr>
            </w:pPr>
            <w:r>
              <w:rPr>
                <w:rFonts w:ascii="Arial" w:cs="Arial" w:eastAsia="Arial" w:hAnsi="Arial"/>
                <w:sz w:val="14"/>
                <w:szCs w:val="14"/>
                <w:color w:val="auto"/>
                <w:w w:val="99"/>
              </w:rPr>
              <w:t>50%</w:t>
            </w:r>
          </w:p>
        </w:tc>
      </w:tr>
      <w:tr>
        <w:trPr>
          <w:trHeight w:val="196"/>
        </w:trPr>
        <w:tc>
          <w:tcPr>
            <w:tcW w:w="184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Plan - $0.7B</w:t>
            </w:r>
          </w:p>
        </w:tc>
        <w:tc>
          <w:tcPr>
            <w:tcW w:w="14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25%</w:t>
            </w:r>
          </w:p>
        </w:tc>
        <w:tc>
          <w:tcPr>
            <w:tcW w:w="480" w:type="dxa"/>
            <w:vAlign w:val="bottom"/>
          </w:tcPr>
          <w:p>
            <w:pPr>
              <w:spacing w:after="0"/>
              <w:rPr>
                <w:sz w:val="17"/>
                <w:szCs w:val="17"/>
                <w:color w:val="auto"/>
              </w:rPr>
            </w:pPr>
          </w:p>
        </w:tc>
        <w:tc>
          <w:tcPr>
            <w:tcW w:w="2000" w:type="dxa"/>
            <w:vAlign w:val="bottom"/>
            <w:tcBorders>
              <w:bottom w:val="single" w:sz="8" w:color="959595"/>
            </w:tcBorders>
          </w:tcPr>
          <w:p>
            <w:pPr>
              <w:jc w:val="center"/>
              <w:ind w:right="210"/>
              <w:spacing w:after="0"/>
              <w:rPr>
                <w:sz w:val="20"/>
                <w:szCs w:val="20"/>
                <w:color w:val="auto"/>
              </w:rPr>
            </w:pPr>
            <w:r>
              <w:rPr>
                <w:rFonts w:ascii="Arial" w:cs="Arial" w:eastAsia="Arial" w:hAnsi="Arial"/>
                <w:sz w:val="14"/>
                <w:szCs w:val="14"/>
                <w:color w:val="auto"/>
              </w:rPr>
              <w:t>Plan - 30 bps</w:t>
            </w:r>
          </w:p>
        </w:tc>
        <w:tc>
          <w:tcPr>
            <w:tcW w:w="1200" w:type="dxa"/>
            <w:vAlign w:val="bottom"/>
            <w:tcBorders>
              <w:bottom w:val="single" w:sz="8" w:color="959595"/>
            </w:tcBorders>
          </w:tcPr>
          <w:p>
            <w:pPr>
              <w:jc w:val="center"/>
              <w:ind w:right="209"/>
              <w:spacing w:after="0"/>
              <w:rPr>
                <w:sz w:val="20"/>
                <w:szCs w:val="20"/>
                <w:color w:val="auto"/>
              </w:rPr>
            </w:pPr>
            <w:r>
              <w:rPr>
                <w:rFonts w:ascii="Arial" w:cs="Arial" w:eastAsia="Arial" w:hAnsi="Arial"/>
                <w:sz w:val="14"/>
                <w:szCs w:val="14"/>
                <w:color w:val="auto"/>
                <w:w w:val="99"/>
              </w:rPr>
              <w:t>25%</w:t>
            </w:r>
          </w:p>
        </w:tc>
      </w:tr>
      <w:tr>
        <w:trPr>
          <w:trHeight w:val="209"/>
        </w:trPr>
        <w:tc>
          <w:tcPr>
            <w:tcW w:w="184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Below Plan - $0.7B</w:t>
            </w:r>
          </w:p>
        </w:tc>
        <w:tc>
          <w:tcPr>
            <w:tcW w:w="14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0%</w:t>
            </w:r>
          </w:p>
        </w:tc>
        <w:tc>
          <w:tcPr>
            <w:tcW w:w="480" w:type="dxa"/>
            <w:vAlign w:val="bottom"/>
          </w:tcPr>
          <w:p>
            <w:pPr>
              <w:spacing w:after="0"/>
              <w:rPr>
                <w:sz w:val="18"/>
                <w:szCs w:val="18"/>
                <w:color w:val="auto"/>
              </w:rPr>
            </w:pPr>
          </w:p>
        </w:tc>
        <w:tc>
          <w:tcPr>
            <w:tcW w:w="2000" w:type="dxa"/>
            <w:vAlign w:val="bottom"/>
            <w:tcBorders>
              <w:bottom w:val="single" w:sz="8" w:color="959595"/>
            </w:tcBorders>
          </w:tcPr>
          <w:p>
            <w:pPr>
              <w:jc w:val="center"/>
              <w:ind w:right="210"/>
              <w:spacing w:after="0"/>
              <w:rPr>
                <w:sz w:val="20"/>
                <w:szCs w:val="20"/>
                <w:color w:val="auto"/>
              </w:rPr>
            </w:pPr>
            <w:r>
              <w:rPr>
                <w:rFonts w:ascii="Arial" w:cs="Arial" w:eastAsia="Arial" w:hAnsi="Arial"/>
                <w:sz w:val="14"/>
                <w:szCs w:val="14"/>
                <w:color w:val="auto"/>
              </w:rPr>
              <w:t>Below Plan - 30 bps</w:t>
            </w:r>
          </w:p>
        </w:tc>
        <w:tc>
          <w:tcPr>
            <w:tcW w:w="1200" w:type="dxa"/>
            <w:vAlign w:val="bottom"/>
            <w:tcBorders>
              <w:bottom w:val="single" w:sz="8" w:color="959595"/>
            </w:tcBorders>
          </w:tcPr>
          <w:p>
            <w:pPr>
              <w:jc w:val="center"/>
              <w:ind w:right="209"/>
              <w:spacing w:after="0"/>
              <w:rPr>
                <w:sz w:val="20"/>
                <w:szCs w:val="20"/>
                <w:color w:val="auto"/>
              </w:rPr>
            </w:pPr>
            <w:r>
              <w:rPr>
                <w:rFonts w:ascii="Arial" w:cs="Arial" w:eastAsia="Arial" w:hAnsi="Arial"/>
                <w:sz w:val="14"/>
                <w:szCs w:val="14"/>
                <w:color w:val="auto"/>
                <w:w w:val="98"/>
              </w:rPr>
              <w:t>0%</w:t>
            </w:r>
          </w:p>
        </w:tc>
      </w:tr>
    </w:tbl>
    <w:p>
      <w:pPr>
        <w:spacing w:after="0" w:line="115" w:lineRule="exact"/>
        <w:rPr>
          <w:sz w:val="20"/>
          <w:szCs w:val="20"/>
          <w:color w:val="auto"/>
        </w:rPr>
      </w:pPr>
    </w:p>
    <w:p>
      <w:pPr>
        <w:sectPr>
          <w:pgSz w:w="11900" w:h="16838" w:orient="portrait"/>
          <w:cols w:equalWidth="0" w:num="2">
            <w:col w:w="3720" w:space="480"/>
            <w:col w:w="7040"/>
          </w:cols>
          <w:pgMar w:left="320" w:top="609" w:right="339" w:bottom="1440" w:gutter="0" w:footer="0" w:header="0"/>
        </w:sectPr>
      </w:pPr>
    </w:p>
    <w:p>
      <w:pPr>
        <w:spacing w:after="0"/>
        <w:rPr>
          <w:sz w:val="20"/>
          <w:szCs w:val="20"/>
          <w:color w:val="auto"/>
        </w:rPr>
      </w:pPr>
      <w:r>
        <w:rPr>
          <w:rFonts w:ascii="Arial" w:cs="Arial" w:eastAsia="Arial" w:hAnsi="Arial"/>
          <w:sz w:val="22"/>
          <w:szCs w:val="22"/>
          <w:color w:val="475C90"/>
        </w:rPr>
        <w:t>2018-2020 LTIP and PSU Awards</w:t>
      </w:r>
    </w:p>
    <w:p>
      <w:pPr>
        <w:spacing w:after="0" w:line="9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cash-based LTIP and share-based PSU payouts for the three-year performance period ended December 31, 2020 shown below were calculated by comparing actual corporate performance for each metric for the period January 1, 2018 through December 31, 2020, against a table of payment levels from 0% to 200% (with the 100% payout level being considered target) established at the beginning of the performance period in February 2018. Except as discussed above in relation to government stimulus and assistance programs enacted in response to COVID-19 and pension risk transfer transactions, we have not made any modifications to our compensation programs or to our targets or goals, in response to COVID-19 or the CARES Act.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6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Measure</w:t>
            </w:r>
          </w:p>
        </w:tc>
        <w:tc>
          <w:tcPr>
            <w:tcW w:w="3520" w:type="dxa"/>
            <w:vAlign w:val="bottom"/>
            <w:tcBorders>
              <w:bottom w:val="single" w:sz="8" w:color="E5E7EF"/>
            </w:tcBorders>
            <w:shd w:val="clear" w:color="auto" w:fill="E5E7EF"/>
          </w:tcPr>
          <w:p>
            <w:pPr>
              <w:jc w:val="center"/>
              <w:ind w:left="1890"/>
              <w:spacing w:after="0"/>
              <w:rPr>
                <w:sz w:val="20"/>
                <w:szCs w:val="20"/>
                <w:color w:val="auto"/>
              </w:rPr>
            </w:pPr>
            <w:r>
              <w:rPr>
                <w:rFonts w:ascii="Arial" w:cs="Arial" w:eastAsia="Arial" w:hAnsi="Arial"/>
                <w:sz w:val="13"/>
                <w:szCs w:val="13"/>
                <w:color w:val="auto"/>
                <w:w w:val="96"/>
              </w:rPr>
              <w:t>Performance Target</w:t>
            </w:r>
          </w:p>
        </w:tc>
        <w:tc>
          <w:tcPr>
            <w:tcW w:w="1640" w:type="dxa"/>
            <w:vAlign w:val="bottom"/>
            <w:tcBorders>
              <w:bottom w:val="single" w:sz="8" w:color="E5E7EF"/>
            </w:tcBorders>
            <w:shd w:val="clear" w:color="auto" w:fill="E5E7EF"/>
          </w:tcPr>
          <w:p>
            <w:pPr>
              <w:jc w:val="center"/>
              <w:ind w:right="10"/>
              <w:spacing w:after="0"/>
              <w:rPr>
                <w:sz w:val="20"/>
                <w:szCs w:val="20"/>
                <w:color w:val="auto"/>
              </w:rPr>
            </w:pPr>
            <w:r>
              <w:rPr>
                <w:rFonts w:ascii="Arial" w:cs="Arial" w:eastAsia="Arial" w:hAnsi="Arial"/>
                <w:sz w:val="13"/>
                <w:szCs w:val="13"/>
                <w:color w:val="auto"/>
                <w:w w:val="97"/>
              </w:rPr>
              <w:t>Performance Result</w:t>
            </w:r>
          </w:p>
        </w:tc>
        <w:tc>
          <w:tcPr>
            <w:tcW w:w="1220" w:type="dxa"/>
            <w:vAlign w:val="bottom"/>
            <w:tcBorders>
              <w:bottom w:val="single" w:sz="8" w:color="E5E7EF"/>
            </w:tcBorders>
            <w:shd w:val="clear" w:color="auto" w:fill="E5E7EF"/>
          </w:tcPr>
          <w:p>
            <w:pPr>
              <w:jc w:val="center"/>
              <w:spacing w:after="0"/>
              <w:rPr>
                <w:sz w:val="20"/>
                <w:szCs w:val="20"/>
                <w:color w:val="auto"/>
              </w:rPr>
            </w:pPr>
            <w:r>
              <w:rPr>
                <w:rFonts w:ascii="Arial" w:cs="Arial" w:eastAsia="Arial" w:hAnsi="Arial"/>
                <w:sz w:val="13"/>
                <w:szCs w:val="13"/>
                <w:color w:val="auto"/>
                <w:w w:val="96"/>
              </w:rPr>
              <w:t>Weighting</w:t>
            </w:r>
          </w:p>
        </w:tc>
        <w:tc>
          <w:tcPr>
            <w:tcW w:w="1400" w:type="dxa"/>
            <w:vAlign w:val="bottom"/>
            <w:tcBorders>
              <w:bottom w:val="single" w:sz="8" w:color="E5E7EF"/>
            </w:tcBorders>
            <w:shd w:val="clear" w:color="auto" w:fill="E5E7EF"/>
          </w:tcPr>
          <w:p>
            <w:pPr>
              <w:jc w:val="center"/>
              <w:spacing w:after="0"/>
              <w:rPr>
                <w:sz w:val="20"/>
                <w:szCs w:val="20"/>
                <w:color w:val="auto"/>
              </w:rPr>
            </w:pPr>
            <w:r>
              <w:rPr>
                <w:rFonts w:ascii="Arial" w:cs="Arial" w:eastAsia="Arial" w:hAnsi="Arial"/>
                <w:sz w:val="13"/>
                <w:szCs w:val="13"/>
                <w:color w:val="auto"/>
                <w:w w:val="96"/>
              </w:rPr>
              <w:t>Payout Factor</w:t>
            </w:r>
          </w:p>
        </w:tc>
      </w:tr>
      <w:tr>
        <w:trPr>
          <w:trHeight w:val="209"/>
        </w:trPr>
        <w:tc>
          <w:tcPr>
            <w:tcW w:w="3460" w:type="dxa"/>
            <w:vAlign w:val="bottom"/>
            <w:tcBorders>
              <w:top w:val="single" w:sz="8" w:color="959595"/>
              <w:bottom w:val="single" w:sz="8" w:color="959595"/>
            </w:tcBorders>
          </w:tcPr>
          <w:p>
            <w:pPr>
              <w:ind w:left="20"/>
              <w:spacing w:after="0"/>
              <w:rPr>
                <w:sz w:val="20"/>
                <w:szCs w:val="20"/>
                <w:color w:val="auto"/>
              </w:rPr>
            </w:pPr>
            <w:r>
              <w:rPr>
                <w:rFonts w:ascii="Arial" w:cs="Arial" w:eastAsia="Arial" w:hAnsi="Arial"/>
                <w:sz w:val="14"/>
                <w:szCs w:val="14"/>
                <w:color w:val="auto"/>
              </w:rPr>
              <w:t>Relative TSR</w:t>
            </w:r>
          </w:p>
        </w:tc>
        <w:tc>
          <w:tcPr>
            <w:tcW w:w="3520" w:type="dxa"/>
            <w:vAlign w:val="bottom"/>
            <w:tcBorders>
              <w:top w:val="single" w:sz="8" w:color="959595"/>
              <w:bottom w:val="single" w:sz="8" w:color="959595"/>
            </w:tcBorders>
          </w:tcPr>
          <w:p>
            <w:pPr>
              <w:jc w:val="center"/>
              <w:ind w:left="1870"/>
              <w:spacing w:after="0"/>
              <w:rPr>
                <w:sz w:val="20"/>
                <w:szCs w:val="20"/>
                <w:color w:val="auto"/>
              </w:rPr>
            </w:pPr>
            <w:r>
              <w:rPr>
                <w:rFonts w:ascii="Arial" w:cs="Arial" w:eastAsia="Arial" w:hAnsi="Arial"/>
                <w:sz w:val="14"/>
                <w:szCs w:val="14"/>
                <w:color w:val="auto"/>
                <w:w w:val="98"/>
              </w:rPr>
              <w:t>50</w:t>
            </w:r>
            <w:r>
              <w:rPr>
                <w:rFonts w:ascii="Arial" w:cs="Arial" w:eastAsia="Arial" w:hAnsi="Arial"/>
                <w:sz w:val="18"/>
                <w:szCs w:val="18"/>
                <w:color w:val="auto"/>
                <w:w w:val="98"/>
                <w:vertAlign w:val="superscript"/>
              </w:rPr>
              <w:t>th</w:t>
            </w:r>
            <w:r>
              <w:rPr>
                <w:rFonts w:ascii="Arial" w:cs="Arial" w:eastAsia="Arial" w:hAnsi="Arial"/>
                <w:sz w:val="14"/>
                <w:szCs w:val="14"/>
                <w:color w:val="auto"/>
                <w:w w:val="98"/>
              </w:rPr>
              <w:t xml:space="preserve"> Percentile</w:t>
            </w:r>
          </w:p>
        </w:tc>
        <w:tc>
          <w:tcPr>
            <w:tcW w:w="1640" w:type="dxa"/>
            <w:vAlign w:val="bottom"/>
            <w:tcBorders>
              <w:top w:val="single" w:sz="8" w:color="959595"/>
              <w:bottom w:val="single" w:sz="8" w:color="959595"/>
            </w:tcBorders>
          </w:tcPr>
          <w:p>
            <w:pPr>
              <w:jc w:val="center"/>
              <w:ind w:right="10"/>
              <w:spacing w:after="0"/>
              <w:rPr>
                <w:sz w:val="20"/>
                <w:szCs w:val="20"/>
                <w:color w:val="auto"/>
              </w:rPr>
            </w:pPr>
            <w:r>
              <w:rPr>
                <w:rFonts w:ascii="Arial" w:cs="Arial" w:eastAsia="Arial" w:hAnsi="Arial"/>
                <w:sz w:val="14"/>
                <w:szCs w:val="14"/>
                <w:color w:val="auto"/>
              </w:rPr>
              <w:t>78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1220" w:type="dxa"/>
            <w:vAlign w:val="bottom"/>
            <w:tcBorders>
              <w:top w:val="single" w:sz="8" w:color="959595"/>
              <w:bottom w:val="single" w:sz="8" w:color="959595"/>
            </w:tcBorders>
          </w:tcPr>
          <w:p>
            <w:pPr>
              <w:jc w:val="center"/>
              <w:spacing w:after="0"/>
              <w:rPr>
                <w:sz w:val="20"/>
                <w:szCs w:val="20"/>
                <w:color w:val="auto"/>
              </w:rPr>
            </w:pPr>
            <w:r>
              <w:rPr>
                <w:rFonts w:ascii="Arial" w:cs="Arial" w:eastAsia="Arial" w:hAnsi="Arial"/>
                <w:sz w:val="14"/>
                <w:szCs w:val="14"/>
                <w:color w:val="auto"/>
                <w:w w:val="99"/>
              </w:rPr>
              <w:t>50%</w:t>
            </w:r>
          </w:p>
        </w:tc>
        <w:tc>
          <w:tcPr>
            <w:tcW w:w="1400" w:type="dxa"/>
            <w:vAlign w:val="bottom"/>
            <w:tcBorders>
              <w:top w:val="single" w:sz="8" w:color="959595"/>
              <w:bottom w:val="single" w:sz="8" w:color="959595"/>
            </w:tcBorders>
          </w:tcPr>
          <w:p>
            <w:pPr>
              <w:jc w:val="center"/>
              <w:spacing w:after="0"/>
              <w:rPr>
                <w:sz w:val="20"/>
                <w:szCs w:val="20"/>
                <w:color w:val="auto"/>
              </w:rPr>
            </w:pPr>
            <w:r>
              <w:rPr>
                <w:rFonts w:ascii="Arial" w:cs="Arial" w:eastAsia="Arial" w:hAnsi="Arial"/>
                <w:sz w:val="14"/>
                <w:szCs w:val="14"/>
                <w:color w:val="auto"/>
              </w:rPr>
              <w:t>200%</w:t>
            </w:r>
          </w:p>
        </w:tc>
      </w:tr>
      <w:tr>
        <w:trPr>
          <w:trHeight w:val="204"/>
        </w:trPr>
        <w:tc>
          <w:tcPr>
            <w:tcW w:w="346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Performance Cash*</w:t>
            </w:r>
          </w:p>
        </w:tc>
        <w:tc>
          <w:tcPr>
            <w:tcW w:w="3520" w:type="dxa"/>
            <w:vAlign w:val="bottom"/>
            <w:tcBorders>
              <w:bottom w:val="single" w:sz="8" w:color="959595"/>
            </w:tcBorders>
          </w:tcPr>
          <w:p>
            <w:pPr>
              <w:jc w:val="center"/>
              <w:ind w:left="1870"/>
              <w:spacing w:after="0"/>
              <w:rPr>
                <w:sz w:val="20"/>
                <w:szCs w:val="20"/>
                <w:color w:val="auto"/>
              </w:rPr>
            </w:pPr>
            <w:r>
              <w:rPr>
                <w:rFonts w:ascii="Arial" w:cs="Arial" w:eastAsia="Arial" w:hAnsi="Arial"/>
                <w:sz w:val="14"/>
                <w:szCs w:val="14"/>
                <w:color w:val="auto"/>
              </w:rPr>
              <w:t>$17.0B</w:t>
            </w:r>
          </w:p>
        </w:tc>
        <w:tc>
          <w:tcPr>
            <w:tcW w:w="1640" w:type="dxa"/>
            <w:vAlign w:val="bottom"/>
            <w:tcBorders>
              <w:bottom w:val="single" w:sz="8" w:color="959595"/>
            </w:tcBorders>
          </w:tcPr>
          <w:p>
            <w:pPr>
              <w:jc w:val="center"/>
              <w:ind w:right="30"/>
              <w:spacing w:after="0"/>
              <w:rPr>
                <w:sz w:val="20"/>
                <w:szCs w:val="20"/>
                <w:color w:val="auto"/>
              </w:rPr>
            </w:pPr>
            <w:r>
              <w:rPr>
                <w:rFonts w:ascii="Arial" w:cs="Arial" w:eastAsia="Arial" w:hAnsi="Arial"/>
                <w:sz w:val="14"/>
                <w:szCs w:val="14"/>
                <w:color w:val="auto"/>
              </w:rPr>
              <w:t>$20.9B</w:t>
            </w:r>
          </w:p>
        </w:tc>
        <w:tc>
          <w:tcPr>
            <w:tcW w:w="12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25%</w:t>
            </w:r>
          </w:p>
        </w:tc>
        <w:tc>
          <w:tcPr>
            <w:tcW w:w="140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200%</w:t>
            </w:r>
          </w:p>
        </w:tc>
      </w:tr>
      <w:tr>
        <w:trPr>
          <w:trHeight w:val="209"/>
        </w:trPr>
        <w:tc>
          <w:tcPr>
            <w:tcW w:w="346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ROIC*</w:t>
            </w:r>
          </w:p>
        </w:tc>
        <w:tc>
          <w:tcPr>
            <w:tcW w:w="3520" w:type="dxa"/>
            <w:vAlign w:val="bottom"/>
            <w:tcBorders>
              <w:bottom w:val="single" w:sz="8" w:color="959595"/>
            </w:tcBorders>
          </w:tcPr>
          <w:p>
            <w:pPr>
              <w:jc w:val="right"/>
              <w:ind w:right="510"/>
              <w:spacing w:after="0"/>
              <w:rPr>
                <w:sz w:val="20"/>
                <w:szCs w:val="20"/>
                <w:color w:val="auto"/>
              </w:rPr>
            </w:pPr>
            <w:r>
              <w:rPr>
                <w:rFonts w:ascii="Arial" w:cs="Arial" w:eastAsia="Arial" w:hAnsi="Arial"/>
                <w:sz w:val="14"/>
                <w:szCs w:val="14"/>
                <w:color w:val="auto"/>
              </w:rPr>
              <w:t>20.7%</w:t>
            </w:r>
          </w:p>
        </w:tc>
        <w:tc>
          <w:tcPr>
            <w:tcW w:w="1640" w:type="dxa"/>
            <w:vAlign w:val="bottom"/>
            <w:tcBorders>
              <w:bottom w:val="single" w:sz="8" w:color="959595"/>
            </w:tcBorders>
          </w:tcPr>
          <w:p>
            <w:pPr>
              <w:jc w:val="right"/>
              <w:ind w:right="590"/>
              <w:spacing w:after="0"/>
              <w:rPr>
                <w:sz w:val="20"/>
                <w:szCs w:val="20"/>
                <w:color w:val="auto"/>
              </w:rPr>
            </w:pPr>
            <w:r>
              <w:rPr>
                <w:rFonts w:ascii="Arial" w:cs="Arial" w:eastAsia="Arial" w:hAnsi="Arial"/>
                <w:sz w:val="14"/>
                <w:szCs w:val="14"/>
                <w:color w:val="auto"/>
              </w:rPr>
              <w:t>23.1%</w:t>
            </w:r>
          </w:p>
        </w:tc>
        <w:tc>
          <w:tcPr>
            <w:tcW w:w="12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25%</w:t>
            </w:r>
          </w:p>
        </w:tc>
        <w:tc>
          <w:tcPr>
            <w:tcW w:w="140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200%</w:t>
            </w:r>
          </w:p>
        </w:tc>
      </w:tr>
    </w:tbl>
    <w:p>
      <w:pPr>
        <w:spacing w:after="0" w:line="59" w:lineRule="exact"/>
        <w:rPr>
          <w:sz w:val="20"/>
          <w:szCs w:val="20"/>
          <w:color w:val="auto"/>
        </w:rPr>
      </w:pPr>
    </w:p>
    <w:p>
      <w:pPr>
        <w:ind w:left="220" w:hanging="212"/>
        <w:spacing w:after="0"/>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See Appendix A for definition of Non-GAAP terms.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475C90"/>
        </w:rPr>
        <w:t>2018-2020 LTIP Payouts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Based on a weighted payout factor of 200%, the following table shows the payouts under the 2018-2020 LTIP made in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6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NEO*</w:t>
            </w:r>
          </w:p>
        </w:tc>
        <w:tc>
          <w:tcPr>
            <w:tcW w:w="4940" w:type="dxa"/>
            <w:vAlign w:val="bottom"/>
            <w:tcBorders>
              <w:bottom w:val="single" w:sz="8" w:color="E5E7EF"/>
            </w:tcBorders>
            <w:shd w:val="clear" w:color="auto" w:fill="E5E7EF"/>
          </w:tcPr>
          <w:p>
            <w:pPr>
              <w:jc w:val="right"/>
              <w:ind w:right="130"/>
              <w:spacing w:after="0"/>
              <w:rPr>
                <w:sz w:val="20"/>
                <w:szCs w:val="20"/>
                <w:color w:val="auto"/>
              </w:rPr>
            </w:pPr>
            <w:r>
              <w:rPr>
                <w:rFonts w:ascii="Arial" w:cs="Arial" w:eastAsia="Arial" w:hAnsi="Arial"/>
                <w:sz w:val="13"/>
                <w:szCs w:val="13"/>
                <w:color w:val="auto"/>
              </w:rPr>
              <w:t>Target ($)</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Payout ($)</w:t>
            </w:r>
          </w:p>
        </w:tc>
      </w:tr>
      <w:tr>
        <w:trPr>
          <w:trHeight w:val="183"/>
        </w:trPr>
        <w:tc>
          <w:tcPr>
            <w:tcW w:w="5360" w:type="dxa"/>
            <w:vAlign w:val="bottom"/>
            <w:tcBorders>
              <w:top w:val="single" w:sz="8" w:color="959595"/>
              <w:bottom w:val="single" w:sz="8" w:color="929292"/>
            </w:tcBorders>
          </w:tcPr>
          <w:p>
            <w:pPr>
              <w:ind w:left="20"/>
              <w:spacing w:after="0"/>
              <w:rPr>
                <w:sz w:val="20"/>
                <w:szCs w:val="20"/>
                <w:color w:val="auto"/>
              </w:rPr>
            </w:pPr>
            <w:r>
              <w:rPr>
                <w:rFonts w:ascii="Arial" w:cs="Arial" w:eastAsia="Arial" w:hAnsi="Arial"/>
                <w:sz w:val="14"/>
                <w:szCs w:val="14"/>
                <w:b w:val="1"/>
                <w:bCs w:val="1"/>
                <w:color w:val="003478"/>
              </w:rPr>
              <w:t>Ms. Hewson</w:t>
            </w:r>
          </w:p>
        </w:tc>
        <w:tc>
          <w:tcPr>
            <w:tcW w:w="4940" w:type="dxa"/>
            <w:vAlign w:val="bottom"/>
            <w:tcBorders>
              <w:top w:val="single" w:sz="8" w:color="959595"/>
              <w:bottom w:val="single" w:sz="8" w:color="929292"/>
            </w:tcBorders>
          </w:tcPr>
          <w:p>
            <w:pPr>
              <w:jc w:val="right"/>
              <w:ind w:right="130"/>
              <w:spacing w:after="0"/>
              <w:rPr>
                <w:sz w:val="20"/>
                <w:szCs w:val="20"/>
                <w:color w:val="auto"/>
              </w:rPr>
            </w:pPr>
            <w:r>
              <w:rPr>
                <w:rFonts w:ascii="Arial" w:cs="Arial" w:eastAsia="Arial" w:hAnsi="Arial"/>
                <w:sz w:val="14"/>
                <w:szCs w:val="14"/>
                <w:color w:val="auto"/>
              </w:rPr>
              <w:t>2,447,000</w:t>
            </w:r>
          </w:p>
        </w:tc>
        <w:tc>
          <w:tcPr>
            <w:tcW w:w="880" w:type="dxa"/>
            <w:vAlign w:val="bottom"/>
            <w:tcBorders>
              <w:top w:val="single" w:sz="8" w:color="959595"/>
              <w:bottom w:val="single" w:sz="8" w:color="929292"/>
            </w:tcBorders>
          </w:tcPr>
          <w:p>
            <w:pPr>
              <w:jc w:val="right"/>
              <w:spacing w:after="0"/>
              <w:rPr>
                <w:sz w:val="20"/>
                <w:szCs w:val="20"/>
                <w:color w:val="auto"/>
              </w:rPr>
            </w:pPr>
            <w:r>
              <w:rPr>
                <w:rFonts w:ascii="Arial" w:cs="Arial" w:eastAsia="Arial" w:hAnsi="Arial"/>
                <w:sz w:val="14"/>
                <w:szCs w:val="14"/>
                <w:color w:val="auto"/>
              </w:rPr>
              <w:t>4,894,000</w:t>
            </w:r>
          </w:p>
        </w:tc>
      </w:tr>
      <w:tr>
        <w:trPr>
          <w:trHeight w:val="183"/>
        </w:trPr>
        <w:tc>
          <w:tcPr>
            <w:tcW w:w="536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3478"/>
              </w:rPr>
              <w:t>Mr. Possenriede**</w:t>
            </w:r>
          </w:p>
        </w:tc>
        <w:tc>
          <w:tcPr>
            <w:tcW w:w="4940" w:type="dxa"/>
            <w:vAlign w:val="bottom"/>
            <w:tcBorders>
              <w:bottom w:val="single" w:sz="8" w:color="929292"/>
            </w:tcBorders>
          </w:tcPr>
          <w:p>
            <w:pPr>
              <w:jc w:val="right"/>
              <w:ind w:right="130"/>
              <w:spacing w:after="0"/>
              <w:rPr>
                <w:sz w:val="20"/>
                <w:szCs w:val="20"/>
                <w:color w:val="auto"/>
              </w:rPr>
            </w:pPr>
            <w:r>
              <w:rPr>
                <w:rFonts w:ascii="Arial" w:cs="Arial" w:eastAsia="Arial" w:hAnsi="Arial"/>
                <w:sz w:val="14"/>
                <w:szCs w:val="14"/>
                <w:color w:val="auto"/>
              </w:rPr>
              <w:t>300,000</w:t>
            </w:r>
          </w:p>
        </w:tc>
        <w:tc>
          <w:tcPr>
            <w:tcW w:w="8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600,000</w:t>
            </w:r>
          </w:p>
        </w:tc>
      </w:tr>
      <w:tr>
        <w:trPr>
          <w:trHeight w:val="183"/>
        </w:trPr>
        <w:tc>
          <w:tcPr>
            <w:tcW w:w="53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3478"/>
              </w:rPr>
              <w:t>Mr. St. John</w:t>
            </w:r>
          </w:p>
        </w:tc>
        <w:tc>
          <w:tcPr>
            <w:tcW w:w="4940" w:type="dxa"/>
            <w:vAlign w:val="bottom"/>
            <w:tcBorders>
              <w:bottom w:val="single" w:sz="8" w:color="959595"/>
            </w:tcBorders>
          </w:tcPr>
          <w:p>
            <w:pPr>
              <w:jc w:val="right"/>
              <w:ind w:right="130"/>
              <w:spacing w:after="0"/>
              <w:rPr>
                <w:sz w:val="20"/>
                <w:szCs w:val="20"/>
                <w:color w:val="auto"/>
              </w:rPr>
            </w:pPr>
            <w:r>
              <w:rPr>
                <w:rFonts w:ascii="Arial" w:cs="Arial" w:eastAsia="Arial" w:hAnsi="Arial"/>
                <w:sz w:val="14"/>
                <w:szCs w:val="14"/>
                <w:color w:val="auto"/>
              </w:rPr>
              <w:t>720,000</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1,440,000</w:t>
            </w:r>
          </w:p>
        </w:tc>
      </w:tr>
      <w:tr>
        <w:trPr>
          <w:trHeight w:val="183"/>
        </w:trPr>
        <w:tc>
          <w:tcPr>
            <w:tcW w:w="536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3478"/>
              </w:rPr>
              <w:t>Mr. Ambrose</w:t>
            </w:r>
          </w:p>
        </w:tc>
        <w:tc>
          <w:tcPr>
            <w:tcW w:w="4940" w:type="dxa"/>
            <w:vAlign w:val="bottom"/>
            <w:tcBorders>
              <w:bottom w:val="single" w:sz="8" w:color="929292"/>
            </w:tcBorders>
          </w:tcPr>
          <w:p>
            <w:pPr>
              <w:jc w:val="right"/>
              <w:ind w:right="130"/>
              <w:spacing w:after="0"/>
              <w:rPr>
                <w:sz w:val="20"/>
                <w:szCs w:val="20"/>
                <w:color w:val="auto"/>
              </w:rPr>
            </w:pPr>
            <w:r>
              <w:rPr>
                <w:rFonts w:ascii="Arial" w:cs="Arial" w:eastAsia="Arial" w:hAnsi="Arial"/>
                <w:sz w:val="14"/>
                <w:szCs w:val="14"/>
                <w:color w:val="auto"/>
              </w:rPr>
              <w:t>720,000</w:t>
            </w:r>
          </w:p>
        </w:tc>
        <w:tc>
          <w:tcPr>
            <w:tcW w:w="8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1,440,000</w:t>
            </w:r>
          </w:p>
        </w:tc>
      </w:tr>
      <w:tr>
        <w:trPr>
          <w:trHeight w:val="183"/>
        </w:trPr>
        <w:tc>
          <w:tcPr>
            <w:tcW w:w="53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3478"/>
              </w:rPr>
              <w:t>Ms. Evans**</w:t>
            </w:r>
          </w:p>
        </w:tc>
        <w:tc>
          <w:tcPr>
            <w:tcW w:w="4940" w:type="dxa"/>
            <w:vAlign w:val="bottom"/>
            <w:tcBorders>
              <w:bottom w:val="single" w:sz="8" w:color="959595"/>
            </w:tcBorders>
          </w:tcPr>
          <w:p>
            <w:pPr>
              <w:jc w:val="right"/>
              <w:ind w:right="130"/>
              <w:spacing w:after="0"/>
              <w:rPr>
                <w:sz w:val="20"/>
                <w:szCs w:val="20"/>
                <w:color w:val="auto"/>
              </w:rPr>
            </w:pPr>
            <w:r>
              <w:rPr>
                <w:rFonts w:ascii="Arial" w:cs="Arial" w:eastAsia="Arial" w:hAnsi="Arial"/>
                <w:sz w:val="14"/>
                <w:szCs w:val="14"/>
                <w:color w:val="auto"/>
              </w:rPr>
              <w:t>380,000</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760,000</w:t>
            </w:r>
          </w:p>
        </w:tc>
      </w:tr>
    </w:tbl>
    <w:p>
      <w:pPr>
        <w:spacing w:after="0" w:line="59"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Excludes Mr. Taiclet who did not receive a 2018 - 2020 LTIP award.</w:t>
      </w:r>
    </w:p>
    <w:p>
      <w:pPr>
        <w:spacing w:after="0" w:line="15"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Reflects targets and payouts associated with the 2018-2020 awards received in prior Vice President roles.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475C90"/>
        </w:rPr>
        <w:t>2018-2020 PSU Awards</w:t>
      </w:r>
    </w:p>
    <w:p>
      <w:pPr>
        <w:spacing w:after="0" w:line="85"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The 2018-2020 target PSU award value was allocated to each performance measure based on the pre-defined weightings, namely 50% to Relative TSR, 25% to ROIC, and 25% to Performance Cash. PSU awards earned are calculated by multiplying the payout factor for each performance metric by the target number of units for each performance metric. The actual value realized by the NEOs at vesting also depends on our stock price, which may be higher or lower than the grant date fair market value.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20" w:type="dxa"/>
            <w:vAlign w:val="bottom"/>
            <w:tcBorders>
              <w:bottom w:val="single" w:sz="8" w:color="E5E7EF"/>
            </w:tcBorders>
            <w:shd w:val="clear" w:color="auto" w:fill="E5E7EF"/>
          </w:tcPr>
          <w:p>
            <w:pPr>
              <w:spacing w:after="0"/>
              <w:rPr>
                <w:sz w:val="17"/>
                <w:szCs w:val="17"/>
                <w:color w:val="auto"/>
              </w:rPr>
            </w:pPr>
          </w:p>
        </w:tc>
        <w:tc>
          <w:tcPr>
            <w:tcW w:w="2860" w:type="dxa"/>
            <w:vAlign w:val="bottom"/>
            <w:tcBorders>
              <w:bottom w:val="single" w:sz="8" w:color="E5E7EF"/>
            </w:tcBorders>
            <w:gridSpan w:val="2"/>
            <w:shd w:val="clear" w:color="auto" w:fill="E5E7EF"/>
          </w:tcPr>
          <w:p>
            <w:pPr>
              <w:jc w:val="right"/>
              <w:ind w:right="230"/>
              <w:spacing w:after="0"/>
              <w:rPr>
                <w:sz w:val="20"/>
                <w:szCs w:val="20"/>
                <w:color w:val="auto"/>
              </w:rPr>
            </w:pPr>
            <w:r>
              <w:rPr>
                <w:rFonts w:ascii="Arial" w:cs="Arial" w:eastAsia="Arial" w:hAnsi="Arial"/>
                <w:sz w:val="13"/>
                <w:szCs w:val="13"/>
                <w:color w:val="auto"/>
              </w:rPr>
              <w:t>2018-2020 Target PSUs (#)</w:t>
            </w:r>
          </w:p>
        </w:tc>
        <w:tc>
          <w:tcPr>
            <w:tcW w:w="720" w:type="dxa"/>
            <w:vAlign w:val="bottom"/>
            <w:tcBorders>
              <w:bottom w:val="single" w:sz="8" w:color="E5E7EF"/>
            </w:tcBorders>
            <w:shd w:val="clear" w:color="auto" w:fill="E5E7EF"/>
          </w:tcPr>
          <w:p>
            <w:pPr>
              <w:spacing w:after="0"/>
              <w:rPr>
                <w:sz w:val="17"/>
                <w:szCs w:val="17"/>
                <w:color w:val="auto"/>
              </w:rPr>
            </w:pPr>
          </w:p>
        </w:tc>
        <w:tc>
          <w:tcPr>
            <w:tcW w:w="200" w:type="dxa"/>
            <w:vAlign w:val="bottom"/>
            <w:tcBorders>
              <w:bottom w:val="single" w:sz="8" w:color="E5E7EF"/>
            </w:tcBorders>
            <w:shd w:val="clear" w:color="auto" w:fill="E5E7EF"/>
          </w:tcPr>
          <w:p>
            <w:pPr>
              <w:spacing w:after="0"/>
              <w:rPr>
                <w:sz w:val="17"/>
                <w:szCs w:val="17"/>
                <w:color w:val="auto"/>
              </w:rPr>
            </w:pPr>
          </w:p>
        </w:tc>
        <w:tc>
          <w:tcPr>
            <w:tcW w:w="14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Total Shares</w:t>
            </w:r>
          </w:p>
        </w:tc>
      </w:tr>
      <w:tr>
        <w:trPr>
          <w:trHeight w:val="201"/>
        </w:trPr>
        <w:tc>
          <w:tcPr>
            <w:tcW w:w="6020" w:type="dxa"/>
            <w:vAlign w:val="bottom"/>
            <w:tcBorders>
              <w:top w:val="single" w:sz="8" w:color="E5E7EF"/>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NEO**</w:t>
            </w:r>
          </w:p>
        </w:tc>
        <w:tc>
          <w:tcPr>
            <w:tcW w:w="1320" w:type="dxa"/>
            <w:vAlign w:val="bottom"/>
            <w:tcBorders>
              <w:top w:val="single" w:sz="8" w:color="959595"/>
              <w:bottom w:val="single" w:sz="8" w:color="E5E7EF"/>
            </w:tcBorders>
            <w:shd w:val="clear" w:color="auto" w:fill="E5E7EF"/>
          </w:tcPr>
          <w:p>
            <w:pPr>
              <w:jc w:val="right"/>
              <w:ind w:right="271"/>
              <w:spacing w:after="0"/>
              <w:rPr>
                <w:sz w:val="20"/>
                <w:szCs w:val="20"/>
                <w:color w:val="auto"/>
              </w:rPr>
            </w:pPr>
            <w:r>
              <w:rPr>
                <w:rFonts w:ascii="Arial" w:cs="Arial" w:eastAsia="Arial" w:hAnsi="Arial"/>
                <w:sz w:val="13"/>
                <w:szCs w:val="13"/>
                <w:color w:val="auto"/>
              </w:rPr>
              <w:t>Relative TSR</w:t>
            </w:r>
          </w:p>
        </w:tc>
        <w:tc>
          <w:tcPr>
            <w:tcW w:w="1540" w:type="dxa"/>
            <w:vAlign w:val="bottom"/>
            <w:tcBorders>
              <w:top w:val="single" w:sz="8" w:color="959595"/>
              <w:bottom w:val="single" w:sz="8" w:color="E5E7EF"/>
            </w:tcBorders>
            <w:shd w:val="clear" w:color="auto" w:fill="E5E7EF"/>
          </w:tcPr>
          <w:p>
            <w:pPr>
              <w:jc w:val="right"/>
              <w:ind w:right="250"/>
              <w:spacing w:after="0"/>
              <w:rPr>
                <w:sz w:val="20"/>
                <w:szCs w:val="20"/>
                <w:color w:val="auto"/>
              </w:rPr>
            </w:pPr>
            <w:r>
              <w:rPr>
                <w:rFonts w:ascii="Arial" w:cs="Arial" w:eastAsia="Arial" w:hAnsi="Arial"/>
                <w:sz w:val="13"/>
                <w:szCs w:val="13"/>
                <w:color w:val="auto"/>
              </w:rPr>
              <w:t>Performance Cash*</w:t>
            </w:r>
          </w:p>
        </w:tc>
        <w:tc>
          <w:tcPr>
            <w:tcW w:w="720" w:type="dxa"/>
            <w:vAlign w:val="bottom"/>
            <w:tcBorders>
              <w:top w:val="single" w:sz="8" w:color="959595"/>
              <w:bottom w:val="single" w:sz="8" w:color="E5E7EF"/>
            </w:tcBorders>
            <w:shd w:val="clear" w:color="auto" w:fill="E5E7EF"/>
          </w:tcPr>
          <w:p>
            <w:pPr>
              <w:jc w:val="right"/>
              <w:ind w:right="150"/>
              <w:spacing w:after="0"/>
              <w:rPr>
                <w:sz w:val="20"/>
                <w:szCs w:val="20"/>
                <w:color w:val="auto"/>
              </w:rPr>
            </w:pPr>
            <w:r>
              <w:rPr>
                <w:rFonts w:ascii="Arial" w:cs="Arial" w:eastAsia="Arial" w:hAnsi="Arial"/>
                <w:sz w:val="13"/>
                <w:szCs w:val="13"/>
                <w:color w:val="auto"/>
              </w:rPr>
              <w:t>ROIC*</w:t>
            </w:r>
          </w:p>
        </w:tc>
        <w:tc>
          <w:tcPr>
            <w:tcW w:w="200" w:type="dxa"/>
            <w:vAlign w:val="bottom"/>
            <w:tcBorders>
              <w:top w:val="single" w:sz="8" w:color="E5E7EF"/>
              <w:bottom w:val="single" w:sz="8" w:color="E5E7EF"/>
            </w:tcBorders>
            <w:shd w:val="clear" w:color="auto" w:fill="E5E7EF"/>
          </w:tcPr>
          <w:p>
            <w:pPr>
              <w:spacing w:after="0"/>
              <w:rPr>
                <w:sz w:val="17"/>
                <w:szCs w:val="17"/>
                <w:color w:val="auto"/>
              </w:rPr>
            </w:pPr>
          </w:p>
        </w:tc>
        <w:tc>
          <w:tcPr>
            <w:tcW w:w="1440" w:type="dxa"/>
            <w:vAlign w:val="bottom"/>
            <w:tcBorders>
              <w:top w:val="single" w:sz="8" w:color="E5E7EF"/>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Distributed/Earned</w:t>
            </w:r>
          </w:p>
        </w:tc>
      </w:tr>
      <w:tr>
        <w:trPr>
          <w:trHeight w:val="210"/>
        </w:trPr>
        <w:tc>
          <w:tcPr>
            <w:tcW w:w="6020" w:type="dxa"/>
            <w:vAlign w:val="bottom"/>
            <w:tcBorders>
              <w:top w:val="single" w:sz="8" w:color="959595"/>
              <w:bottom w:val="single" w:sz="8" w:color="929292"/>
            </w:tcBorders>
          </w:tcPr>
          <w:p>
            <w:pPr>
              <w:ind w:left="20"/>
              <w:spacing w:after="0"/>
              <w:rPr>
                <w:sz w:val="20"/>
                <w:szCs w:val="20"/>
                <w:color w:val="auto"/>
              </w:rPr>
            </w:pPr>
            <w:r>
              <w:rPr>
                <w:rFonts w:ascii="Arial" w:cs="Arial" w:eastAsia="Arial" w:hAnsi="Arial"/>
                <w:sz w:val="14"/>
                <w:szCs w:val="14"/>
                <w:b w:val="1"/>
                <w:bCs w:val="1"/>
                <w:color w:val="002F6C"/>
              </w:rPr>
              <w:t>Ms. Hewson</w:t>
            </w:r>
          </w:p>
        </w:tc>
        <w:tc>
          <w:tcPr>
            <w:tcW w:w="1320" w:type="dxa"/>
            <w:vAlign w:val="bottom"/>
            <w:tcBorders>
              <w:top w:val="single" w:sz="8" w:color="959595"/>
              <w:bottom w:val="single" w:sz="8" w:color="929292"/>
            </w:tcBorders>
          </w:tcPr>
          <w:p>
            <w:pPr>
              <w:jc w:val="right"/>
              <w:ind w:right="51"/>
              <w:spacing w:after="0"/>
              <w:rPr>
                <w:sz w:val="20"/>
                <w:szCs w:val="20"/>
                <w:color w:val="auto"/>
              </w:rPr>
            </w:pPr>
            <w:r>
              <w:rPr>
                <w:rFonts w:ascii="Arial" w:cs="Arial" w:eastAsia="Arial" w:hAnsi="Arial"/>
                <w:sz w:val="14"/>
                <w:szCs w:val="14"/>
                <w:color w:val="auto"/>
              </w:rPr>
              <w:t>7,270</w:t>
            </w:r>
          </w:p>
        </w:tc>
        <w:tc>
          <w:tcPr>
            <w:tcW w:w="1540" w:type="dxa"/>
            <w:vAlign w:val="bottom"/>
            <w:tcBorders>
              <w:top w:val="single" w:sz="8" w:color="959595"/>
              <w:bottom w:val="single" w:sz="8" w:color="929292"/>
            </w:tcBorders>
          </w:tcPr>
          <w:p>
            <w:pPr>
              <w:jc w:val="right"/>
              <w:ind w:right="50"/>
              <w:spacing w:after="0"/>
              <w:rPr>
                <w:sz w:val="20"/>
                <w:szCs w:val="20"/>
                <w:color w:val="auto"/>
              </w:rPr>
            </w:pPr>
            <w:r>
              <w:rPr>
                <w:rFonts w:ascii="Arial" w:cs="Arial" w:eastAsia="Arial" w:hAnsi="Arial"/>
                <w:sz w:val="14"/>
                <w:szCs w:val="14"/>
                <w:color w:val="auto"/>
              </w:rPr>
              <w:t>4,313</w:t>
            </w:r>
          </w:p>
        </w:tc>
        <w:tc>
          <w:tcPr>
            <w:tcW w:w="720" w:type="dxa"/>
            <w:vAlign w:val="bottom"/>
            <w:tcBorders>
              <w:top w:val="single" w:sz="8" w:color="959595"/>
              <w:bottom w:val="single" w:sz="8" w:color="929292"/>
            </w:tcBorders>
          </w:tcPr>
          <w:p>
            <w:pPr>
              <w:jc w:val="right"/>
              <w:spacing w:after="0"/>
              <w:rPr>
                <w:sz w:val="20"/>
                <w:szCs w:val="20"/>
                <w:color w:val="auto"/>
              </w:rPr>
            </w:pPr>
            <w:r>
              <w:rPr>
                <w:rFonts w:ascii="Arial" w:cs="Arial" w:eastAsia="Arial" w:hAnsi="Arial"/>
                <w:sz w:val="14"/>
                <w:szCs w:val="14"/>
                <w:color w:val="auto"/>
              </w:rPr>
              <w:t>4,313</w:t>
            </w:r>
          </w:p>
        </w:tc>
        <w:tc>
          <w:tcPr>
            <w:tcW w:w="200" w:type="dxa"/>
            <w:vAlign w:val="bottom"/>
            <w:tcBorders>
              <w:top w:val="single" w:sz="8" w:color="959595"/>
              <w:bottom w:val="single" w:sz="8" w:color="929292"/>
            </w:tcBorders>
          </w:tcPr>
          <w:p>
            <w:pPr>
              <w:spacing w:after="0"/>
              <w:rPr>
                <w:sz w:val="18"/>
                <w:szCs w:val="18"/>
                <w:color w:val="auto"/>
              </w:rPr>
            </w:pPr>
          </w:p>
        </w:tc>
        <w:tc>
          <w:tcPr>
            <w:tcW w:w="1440" w:type="dxa"/>
            <w:vAlign w:val="bottom"/>
            <w:tcBorders>
              <w:top w:val="single" w:sz="8" w:color="959595"/>
              <w:bottom w:val="single" w:sz="8" w:color="929292"/>
            </w:tcBorders>
          </w:tcPr>
          <w:p>
            <w:pPr>
              <w:jc w:val="right"/>
              <w:spacing w:after="0"/>
              <w:rPr>
                <w:sz w:val="20"/>
                <w:szCs w:val="20"/>
                <w:color w:val="auto"/>
              </w:rPr>
            </w:pPr>
            <w:r>
              <w:rPr>
                <w:rFonts w:ascii="Arial" w:cs="Arial" w:eastAsia="Arial" w:hAnsi="Arial"/>
                <w:sz w:val="14"/>
                <w:szCs w:val="14"/>
                <w:color w:val="auto"/>
              </w:rPr>
              <w:t>31,792</w:t>
            </w:r>
          </w:p>
        </w:tc>
      </w:tr>
      <w:tr>
        <w:trPr>
          <w:trHeight w:val="210"/>
        </w:trPr>
        <w:tc>
          <w:tcPr>
            <w:tcW w:w="602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2F6C"/>
              </w:rPr>
              <w:t>Mr. Possenriede***</w:t>
            </w:r>
          </w:p>
        </w:tc>
        <w:tc>
          <w:tcPr>
            <w:tcW w:w="1320" w:type="dxa"/>
            <w:vAlign w:val="bottom"/>
            <w:tcBorders>
              <w:bottom w:val="single" w:sz="8" w:color="929292"/>
            </w:tcBorders>
          </w:tcPr>
          <w:p>
            <w:pPr>
              <w:jc w:val="right"/>
              <w:ind w:right="51"/>
              <w:spacing w:after="0"/>
              <w:rPr>
                <w:sz w:val="20"/>
                <w:szCs w:val="20"/>
                <w:color w:val="auto"/>
              </w:rPr>
            </w:pPr>
            <w:r>
              <w:rPr>
                <w:rFonts w:ascii="Arial" w:cs="Arial" w:eastAsia="Arial" w:hAnsi="Arial"/>
                <w:sz w:val="14"/>
                <w:szCs w:val="14"/>
                <w:color w:val="auto"/>
              </w:rPr>
              <w:t>90</w:t>
            </w:r>
          </w:p>
        </w:tc>
        <w:tc>
          <w:tcPr>
            <w:tcW w:w="1540" w:type="dxa"/>
            <w:vAlign w:val="bottom"/>
            <w:tcBorders>
              <w:bottom w:val="single" w:sz="8" w:color="929292"/>
            </w:tcBorders>
          </w:tcPr>
          <w:p>
            <w:pPr>
              <w:jc w:val="right"/>
              <w:ind w:right="50"/>
              <w:spacing w:after="0"/>
              <w:rPr>
                <w:sz w:val="20"/>
                <w:szCs w:val="20"/>
                <w:color w:val="auto"/>
              </w:rPr>
            </w:pPr>
            <w:r>
              <w:rPr>
                <w:rFonts w:ascii="Arial" w:cs="Arial" w:eastAsia="Arial" w:hAnsi="Arial"/>
                <w:sz w:val="14"/>
                <w:szCs w:val="14"/>
                <w:color w:val="auto"/>
              </w:rPr>
              <w:t>53</w:t>
            </w: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53</w:t>
            </w:r>
          </w:p>
        </w:tc>
        <w:tc>
          <w:tcPr>
            <w:tcW w:w="200" w:type="dxa"/>
            <w:vAlign w:val="bottom"/>
            <w:tcBorders>
              <w:bottom w:val="single" w:sz="8" w:color="929292"/>
            </w:tcBorders>
          </w:tcPr>
          <w:p>
            <w:pPr>
              <w:spacing w:after="0"/>
              <w:rPr>
                <w:sz w:val="18"/>
                <w:szCs w:val="18"/>
                <w:color w:val="auto"/>
              </w:rPr>
            </w:pPr>
          </w:p>
        </w:tc>
        <w:tc>
          <w:tcPr>
            <w:tcW w:w="14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392</w:t>
            </w:r>
          </w:p>
        </w:tc>
      </w:tr>
      <w:tr>
        <w:trPr>
          <w:trHeight w:val="209"/>
        </w:trPr>
        <w:tc>
          <w:tcPr>
            <w:tcW w:w="602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2F6C"/>
              </w:rPr>
              <w:t>Mr. St. John</w:t>
            </w:r>
          </w:p>
        </w:tc>
        <w:tc>
          <w:tcPr>
            <w:tcW w:w="1320" w:type="dxa"/>
            <w:vAlign w:val="bottom"/>
            <w:tcBorders>
              <w:bottom w:val="single" w:sz="8" w:color="929292"/>
            </w:tcBorders>
          </w:tcPr>
          <w:p>
            <w:pPr>
              <w:jc w:val="right"/>
              <w:ind w:right="51"/>
              <w:spacing w:after="0"/>
              <w:rPr>
                <w:sz w:val="20"/>
                <w:szCs w:val="20"/>
                <w:color w:val="auto"/>
              </w:rPr>
            </w:pPr>
            <w:r>
              <w:rPr>
                <w:rFonts w:ascii="Arial" w:cs="Arial" w:eastAsia="Arial" w:hAnsi="Arial"/>
                <w:sz w:val="14"/>
                <w:szCs w:val="14"/>
                <w:color w:val="auto"/>
              </w:rPr>
              <w:t>2,140</w:t>
            </w:r>
          </w:p>
        </w:tc>
        <w:tc>
          <w:tcPr>
            <w:tcW w:w="1540" w:type="dxa"/>
            <w:vAlign w:val="bottom"/>
            <w:tcBorders>
              <w:bottom w:val="single" w:sz="8" w:color="929292"/>
            </w:tcBorders>
          </w:tcPr>
          <w:p>
            <w:pPr>
              <w:jc w:val="right"/>
              <w:ind w:right="50"/>
              <w:spacing w:after="0"/>
              <w:rPr>
                <w:sz w:val="20"/>
                <w:szCs w:val="20"/>
                <w:color w:val="auto"/>
              </w:rPr>
            </w:pPr>
            <w:r>
              <w:rPr>
                <w:rFonts w:ascii="Arial" w:cs="Arial" w:eastAsia="Arial" w:hAnsi="Arial"/>
                <w:sz w:val="14"/>
                <w:szCs w:val="14"/>
                <w:color w:val="auto"/>
              </w:rPr>
              <w:t>1,269</w:t>
            </w: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1,269</w:t>
            </w:r>
          </w:p>
        </w:tc>
        <w:tc>
          <w:tcPr>
            <w:tcW w:w="200" w:type="dxa"/>
            <w:vAlign w:val="bottom"/>
            <w:tcBorders>
              <w:bottom w:val="single" w:sz="8" w:color="929292"/>
            </w:tcBorders>
          </w:tcPr>
          <w:p>
            <w:pPr>
              <w:spacing w:after="0"/>
              <w:rPr>
                <w:sz w:val="18"/>
                <w:szCs w:val="18"/>
                <w:color w:val="auto"/>
              </w:rPr>
            </w:pPr>
          </w:p>
        </w:tc>
        <w:tc>
          <w:tcPr>
            <w:tcW w:w="14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9,356</w:t>
            </w:r>
          </w:p>
        </w:tc>
      </w:tr>
      <w:tr>
        <w:trPr>
          <w:trHeight w:val="210"/>
        </w:trPr>
        <w:tc>
          <w:tcPr>
            <w:tcW w:w="602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2F6C"/>
              </w:rPr>
              <w:t>Mr. Ambrose</w:t>
            </w:r>
          </w:p>
        </w:tc>
        <w:tc>
          <w:tcPr>
            <w:tcW w:w="1320" w:type="dxa"/>
            <w:vAlign w:val="bottom"/>
            <w:tcBorders>
              <w:bottom w:val="single" w:sz="8" w:color="929292"/>
            </w:tcBorders>
          </w:tcPr>
          <w:p>
            <w:pPr>
              <w:jc w:val="right"/>
              <w:ind w:right="51"/>
              <w:spacing w:after="0"/>
              <w:rPr>
                <w:sz w:val="20"/>
                <w:szCs w:val="20"/>
                <w:color w:val="auto"/>
              </w:rPr>
            </w:pPr>
            <w:r>
              <w:rPr>
                <w:rFonts w:ascii="Arial" w:cs="Arial" w:eastAsia="Arial" w:hAnsi="Arial"/>
                <w:sz w:val="14"/>
                <w:szCs w:val="14"/>
                <w:color w:val="auto"/>
              </w:rPr>
              <w:t>2,140</w:t>
            </w:r>
          </w:p>
        </w:tc>
        <w:tc>
          <w:tcPr>
            <w:tcW w:w="1540" w:type="dxa"/>
            <w:vAlign w:val="bottom"/>
            <w:tcBorders>
              <w:bottom w:val="single" w:sz="8" w:color="929292"/>
            </w:tcBorders>
          </w:tcPr>
          <w:p>
            <w:pPr>
              <w:jc w:val="right"/>
              <w:ind w:right="50"/>
              <w:spacing w:after="0"/>
              <w:rPr>
                <w:sz w:val="20"/>
                <w:szCs w:val="20"/>
                <w:color w:val="auto"/>
              </w:rPr>
            </w:pPr>
            <w:r>
              <w:rPr>
                <w:rFonts w:ascii="Arial" w:cs="Arial" w:eastAsia="Arial" w:hAnsi="Arial"/>
                <w:sz w:val="14"/>
                <w:szCs w:val="14"/>
                <w:color w:val="auto"/>
              </w:rPr>
              <w:t>1,269</w:t>
            </w: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1,269</w:t>
            </w:r>
          </w:p>
        </w:tc>
        <w:tc>
          <w:tcPr>
            <w:tcW w:w="200" w:type="dxa"/>
            <w:vAlign w:val="bottom"/>
            <w:tcBorders>
              <w:bottom w:val="single" w:sz="8" w:color="929292"/>
            </w:tcBorders>
          </w:tcPr>
          <w:p>
            <w:pPr>
              <w:spacing w:after="0"/>
              <w:rPr>
                <w:sz w:val="18"/>
                <w:szCs w:val="18"/>
                <w:color w:val="auto"/>
              </w:rPr>
            </w:pPr>
          </w:p>
        </w:tc>
        <w:tc>
          <w:tcPr>
            <w:tcW w:w="14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9,356</w:t>
            </w:r>
          </w:p>
        </w:tc>
      </w:tr>
      <w:tr>
        <w:trPr>
          <w:trHeight w:val="209"/>
        </w:trPr>
        <w:tc>
          <w:tcPr>
            <w:tcW w:w="602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2F6C"/>
              </w:rPr>
              <w:t>Ms. Evans***</w:t>
            </w:r>
          </w:p>
        </w:tc>
        <w:tc>
          <w:tcPr>
            <w:tcW w:w="1320" w:type="dxa"/>
            <w:vAlign w:val="bottom"/>
            <w:tcBorders>
              <w:bottom w:val="single" w:sz="8" w:color="959595"/>
            </w:tcBorders>
          </w:tcPr>
          <w:p>
            <w:pPr>
              <w:jc w:val="right"/>
              <w:ind w:right="51"/>
              <w:spacing w:after="0"/>
              <w:rPr>
                <w:sz w:val="20"/>
                <w:szCs w:val="20"/>
                <w:color w:val="auto"/>
              </w:rPr>
            </w:pPr>
            <w:r>
              <w:rPr>
                <w:rFonts w:ascii="Arial" w:cs="Arial" w:eastAsia="Arial" w:hAnsi="Arial"/>
                <w:sz w:val="14"/>
                <w:szCs w:val="14"/>
                <w:color w:val="auto"/>
              </w:rPr>
              <w:t>114</w:t>
            </w:r>
          </w:p>
        </w:tc>
        <w:tc>
          <w:tcPr>
            <w:tcW w:w="1540" w:type="dxa"/>
            <w:vAlign w:val="bottom"/>
            <w:tcBorders>
              <w:bottom w:val="single" w:sz="8" w:color="959595"/>
            </w:tcBorders>
          </w:tcPr>
          <w:p>
            <w:pPr>
              <w:jc w:val="right"/>
              <w:ind w:right="50"/>
              <w:spacing w:after="0"/>
              <w:rPr>
                <w:sz w:val="20"/>
                <w:szCs w:val="20"/>
                <w:color w:val="auto"/>
              </w:rPr>
            </w:pPr>
            <w:r>
              <w:rPr>
                <w:rFonts w:ascii="Arial" w:cs="Arial" w:eastAsia="Arial" w:hAnsi="Arial"/>
                <w:sz w:val="14"/>
                <w:szCs w:val="14"/>
                <w:color w:val="auto"/>
              </w:rPr>
              <w:t>67</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67</w:t>
            </w:r>
          </w:p>
        </w:tc>
        <w:tc>
          <w:tcPr>
            <w:tcW w:w="200" w:type="dxa"/>
            <w:vAlign w:val="bottom"/>
            <w:tcBorders>
              <w:bottom w:val="single" w:sz="8" w:color="959595"/>
            </w:tcBorders>
          </w:tcPr>
          <w:p>
            <w:pPr>
              <w:spacing w:after="0"/>
              <w:rPr>
                <w:sz w:val="18"/>
                <w:szCs w:val="18"/>
                <w:color w:val="auto"/>
              </w:rPr>
            </w:pP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472</w:t>
            </w:r>
          </w:p>
        </w:tc>
      </w:tr>
    </w:tbl>
    <w:p>
      <w:pPr>
        <w:spacing w:after="0" w:line="59" w:lineRule="exact"/>
        <w:rPr>
          <w:sz w:val="20"/>
          <w:szCs w:val="20"/>
          <w:color w:val="auto"/>
        </w:rPr>
      </w:pPr>
    </w:p>
    <w:p>
      <w:pPr>
        <w:ind w:left="220" w:hanging="212"/>
        <w:spacing w:after="0"/>
        <w:tabs>
          <w:tab w:leader="none" w:pos="2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See Appendix A for definition of Non-GAAP terms.</w:t>
      </w:r>
    </w:p>
    <w:p>
      <w:pPr>
        <w:spacing w:after="0" w:line="15" w:lineRule="exact"/>
        <w:rPr>
          <w:sz w:val="20"/>
          <w:szCs w:val="20"/>
          <w:color w:val="auto"/>
        </w:rPr>
      </w:pPr>
    </w:p>
    <w:p>
      <w:pPr>
        <w:ind w:left="280" w:hanging="272"/>
        <w:spacing w:after="0"/>
        <w:tabs>
          <w:tab w:leader="none" w:pos="2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Excludes Mr. Taiclet who did not receive a 2018 - 2020 PSU award.</w:t>
      </w:r>
    </w:p>
    <w:p>
      <w:pPr>
        <w:spacing w:after="0" w:line="14" w:lineRule="exact"/>
        <w:rPr>
          <w:rFonts w:ascii="Arial" w:cs="Arial" w:eastAsia="Arial" w:hAnsi="Arial"/>
          <w:sz w:val="14"/>
          <w:szCs w:val="14"/>
          <w:color w:val="auto"/>
        </w:rPr>
      </w:pPr>
    </w:p>
    <w:p>
      <w:pPr>
        <w:ind w:left="340" w:right="360" w:hanging="332"/>
        <w:spacing w:after="0" w:line="278" w:lineRule="auto"/>
        <w:tabs>
          <w:tab w:leader="none" w:pos="344"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Reflects targets and payouts associated with the 2018-2020 awards received in prior Vice President roles. For Ms. Evans, shares earned were prorated to reflect time served as an active employee during the three-year vesting period.</w:t>
      </w:r>
    </w:p>
    <w:p>
      <w:pPr>
        <w:sectPr>
          <w:pgSz w:w="11900" w:h="16838" w:orient="portrait"/>
          <w:cols w:equalWidth="0" w:num="1">
            <w:col w:w="11240"/>
          </w:cols>
          <w:pgMar w:left="320" w:top="609"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53</w:t>
      </w:r>
    </w:p>
    <w:p>
      <w:pPr>
        <w:sectPr>
          <w:pgSz w:w="11900" w:h="16838" w:orient="portrait"/>
          <w:cols w:equalWidth="0" w:num="1">
            <w:col w:w="11240"/>
          </w:cols>
          <w:pgMar w:left="320" w:top="609"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2021 Incentives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475C90"/>
        </w:rPr>
        <w:t>2021 Annual Incentive Goals</w:t>
      </w:r>
    </w:p>
    <w:p>
      <w:pPr>
        <w:spacing w:after="0" w:line="98"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There were no changes to our annual incentive plan design for the 2021 performance year, although the Board of Directors, acting upon the recommendation of the Compensation Committee, in February 2021 approved the Lockheed Martin Corporation 2021 Management Incentive Compensation Plan to replace the existing MICP. The 2021 MICP eliminates provisions in the prior MICP that were intended to qualify MICP payments as performance-based compensation subject to an exemption to the deductibility limit of Section 162(m) of the Internal Revenue Code, which was repealed in 2017. The 2021 MICP also aligns the pro-ration provisions to our broad-based incentive plan, which provides for daily pro-ration of payouts.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approved the key corporate commitments set forth below for purposes of assessing 2021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002E6D"/>
        </w:rPr>
        <w:t>2021 Financial Goals (Weight 70%)</w:t>
      </w:r>
    </w:p>
    <w:p>
      <w:pPr>
        <w:spacing w:after="0" w:line="118"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color w:val="auto"/>
        </w:rPr>
        <w:t>The financial commitments are consistent with our long-range plan commitments, and are the same ranges we provided as public guidance in January 2021 in our year-end earnings release. These commitments for 2021 are set forth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2021 Commitments</w:t>
            </w:r>
          </w:p>
        </w:tc>
        <w:tc>
          <w:tcPr>
            <w:tcW w:w="4440" w:type="dxa"/>
            <w:vAlign w:val="bottom"/>
            <w:tcBorders>
              <w:bottom w:val="single" w:sz="8" w:color="E5E7EF"/>
            </w:tcBorders>
            <w:shd w:val="clear" w:color="auto" w:fill="E5E7EF"/>
          </w:tcPr>
          <w:p>
            <w:pPr>
              <w:jc w:val="center"/>
              <w:ind w:left="3330"/>
              <w:spacing w:after="0"/>
              <w:rPr>
                <w:sz w:val="20"/>
                <w:szCs w:val="20"/>
                <w:color w:val="auto"/>
              </w:rPr>
            </w:pPr>
            <w:r>
              <w:rPr>
                <w:rFonts w:ascii="Arial" w:cs="Arial" w:eastAsia="Arial" w:hAnsi="Arial"/>
                <w:sz w:val="13"/>
                <w:szCs w:val="13"/>
                <w:color w:val="auto"/>
                <w:w w:val="96"/>
              </w:rPr>
              <w:t>Weighting</w:t>
            </w:r>
          </w:p>
        </w:tc>
        <w:tc>
          <w:tcPr>
            <w:tcW w:w="1380" w:type="dxa"/>
            <w:vAlign w:val="bottom"/>
            <w:tcBorders>
              <w:bottom w:val="single" w:sz="8" w:color="E5E7EF"/>
            </w:tcBorders>
            <w:shd w:val="clear" w:color="auto" w:fill="E5E7EF"/>
          </w:tcPr>
          <w:p>
            <w:pPr>
              <w:jc w:val="right"/>
              <w:ind w:right="250"/>
              <w:spacing w:after="0"/>
              <w:rPr>
                <w:sz w:val="20"/>
                <w:szCs w:val="20"/>
                <w:color w:val="auto"/>
              </w:rPr>
            </w:pPr>
            <w:r>
              <w:rPr>
                <w:rFonts w:ascii="Arial" w:cs="Arial" w:eastAsia="Arial" w:hAnsi="Arial"/>
                <w:sz w:val="13"/>
                <w:szCs w:val="13"/>
                <w:color w:val="auto"/>
              </w:rPr>
              <w:t>2021 Goals ($)</w:t>
            </w:r>
          </w:p>
        </w:tc>
      </w:tr>
      <w:tr>
        <w:trPr>
          <w:trHeight w:val="183"/>
        </w:trPr>
        <w:tc>
          <w:tcPr>
            <w:tcW w:w="5420" w:type="dxa"/>
            <w:vAlign w:val="bottom"/>
            <w:tcBorders>
              <w:top w:val="single" w:sz="8" w:color="959595"/>
              <w:bottom w:val="single" w:sz="8" w:color="959595"/>
            </w:tcBorders>
          </w:tcPr>
          <w:p>
            <w:pPr>
              <w:ind w:left="20"/>
              <w:spacing w:after="0"/>
              <w:rPr>
                <w:sz w:val="20"/>
                <w:szCs w:val="20"/>
                <w:color w:val="auto"/>
              </w:rPr>
            </w:pPr>
            <w:r>
              <w:rPr>
                <w:rFonts w:ascii="Arial" w:cs="Arial" w:eastAsia="Arial" w:hAnsi="Arial"/>
                <w:sz w:val="14"/>
                <w:szCs w:val="14"/>
                <w:b w:val="1"/>
                <w:bCs w:val="1"/>
                <w:color w:val="auto"/>
              </w:rPr>
              <w:t>Sales</w:t>
            </w:r>
          </w:p>
        </w:tc>
        <w:tc>
          <w:tcPr>
            <w:tcW w:w="4440" w:type="dxa"/>
            <w:vAlign w:val="bottom"/>
            <w:tcBorders>
              <w:top w:val="single" w:sz="8" w:color="959595"/>
              <w:bottom w:val="single" w:sz="8" w:color="959595"/>
            </w:tcBorders>
          </w:tcPr>
          <w:p>
            <w:pPr>
              <w:jc w:val="center"/>
              <w:ind w:left="3330"/>
              <w:spacing w:after="0"/>
              <w:rPr>
                <w:sz w:val="20"/>
                <w:szCs w:val="20"/>
                <w:color w:val="auto"/>
              </w:rPr>
            </w:pPr>
            <w:r>
              <w:rPr>
                <w:rFonts w:ascii="Arial" w:cs="Arial" w:eastAsia="Arial" w:hAnsi="Arial"/>
                <w:sz w:val="14"/>
                <w:szCs w:val="14"/>
                <w:color w:val="auto"/>
                <w:w w:val="99"/>
              </w:rPr>
              <w:t>20%</w:t>
            </w:r>
          </w:p>
        </w:tc>
        <w:tc>
          <w:tcPr>
            <w:tcW w:w="138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67,100 - 68,500M</w:t>
            </w:r>
          </w:p>
        </w:tc>
      </w:tr>
      <w:tr>
        <w:trPr>
          <w:trHeight w:val="183"/>
        </w:trPr>
        <w:tc>
          <w:tcPr>
            <w:tcW w:w="542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Segment Operating Profit</w:t>
            </w:r>
          </w:p>
        </w:tc>
        <w:tc>
          <w:tcPr>
            <w:tcW w:w="4440" w:type="dxa"/>
            <w:vAlign w:val="bottom"/>
            <w:tcBorders>
              <w:bottom w:val="single" w:sz="8" w:color="959595"/>
            </w:tcBorders>
          </w:tcPr>
          <w:p>
            <w:pPr>
              <w:jc w:val="center"/>
              <w:ind w:left="3330"/>
              <w:spacing w:after="0"/>
              <w:rPr>
                <w:sz w:val="20"/>
                <w:szCs w:val="20"/>
                <w:color w:val="auto"/>
              </w:rPr>
            </w:pPr>
            <w:r>
              <w:rPr>
                <w:rFonts w:ascii="Arial" w:cs="Arial" w:eastAsia="Arial" w:hAnsi="Arial"/>
                <w:sz w:val="14"/>
                <w:szCs w:val="14"/>
                <w:color w:val="auto"/>
                <w:w w:val="99"/>
              </w:rPr>
              <w:t>40%</w:t>
            </w:r>
          </w:p>
        </w:tc>
        <w:tc>
          <w:tcPr>
            <w:tcW w:w="13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7,355 - 7,495M</w:t>
            </w:r>
          </w:p>
        </w:tc>
      </w:tr>
      <w:tr>
        <w:trPr>
          <w:trHeight w:val="183"/>
        </w:trPr>
        <w:tc>
          <w:tcPr>
            <w:tcW w:w="542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Cash from Operations</w:t>
            </w:r>
          </w:p>
        </w:tc>
        <w:tc>
          <w:tcPr>
            <w:tcW w:w="4440" w:type="dxa"/>
            <w:vAlign w:val="bottom"/>
            <w:tcBorders>
              <w:bottom w:val="single" w:sz="8" w:color="959595"/>
            </w:tcBorders>
          </w:tcPr>
          <w:p>
            <w:pPr>
              <w:jc w:val="center"/>
              <w:ind w:left="3330"/>
              <w:spacing w:after="0"/>
              <w:rPr>
                <w:sz w:val="20"/>
                <w:szCs w:val="20"/>
                <w:color w:val="auto"/>
              </w:rPr>
            </w:pPr>
            <w:r>
              <w:rPr>
                <w:rFonts w:ascii="Arial" w:cs="Arial" w:eastAsia="Arial" w:hAnsi="Arial"/>
                <w:sz w:val="14"/>
                <w:szCs w:val="14"/>
                <w:color w:val="auto"/>
                <w:w w:val="99"/>
              </w:rPr>
              <w:t>40%</w:t>
            </w:r>
          </w:p>
        </w:tc>
        <w:tc>
          <w:tcPr>
            <w:tcW w:w="13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 8,300M</w:t>
            </w:r>
          </w:p>
        </w:tc>
      </w:tr>
    </w:tbl>
    <w:p>
      <w:pPr>
        <w:spacing w:after="0" w:line="16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For the purposes of assessing performance under our annual incentive program, Cash from Operations results are adjusted for unplanned pension contributions so that the impact on incentive compensation is not a factor in the decision to make additional pension contributions.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002E6D"/>
        </w:rPr>
        <w:t>2021 Strategic and Operational Goals (Weight 30%)</w:t>
      </w:r>
    </w:p>
    <w:p>
      <w:pPr>
        <w:spacing w:after="0" w:line="98" w:lineRule="exact"/>
        <w:rPr>
          <w:sz w:val="20"/>
          <w:szCs w:val="20"/>
          <w:color w:val="auto"/>
        </w:rPr>
      </w:pPr>
    </w:p>
    <w:p>
      <w:pPr>
        <w:ind w:left="220" w:hanging="131"/>
        <w:spacing w:after="0"/>
        <w:tabs>
          <w:tab w:leader="none" w:pos="220" w:val="left"/>
        </w:tabs>
        <w:numPr>
          <w:ilvl w:val="0"/>
          <w:numId w:val="98"/>
        </w:numPr>
        <w:rPr>
          <w:rFonts w:ascii="Arial" w:cs="Arial" w:eastAsia="Arial" w:hAnsi="Arial"/>
          <w:sz w:val="17"/>
          <w:szCs w:val="17"/>
          <w:color w:val="002F6C"/>
        </w:rPr>
      </w:pPr>
      <w:r>
        <w:rPr>
          <w:rFonts w:ascii="Arial" w:cs="Arial" w:eastAsia="Arial" w:hAnsi="Arial"/>
          <w:sz w:val="17"/>
          <w:szCs w:val="17"/>
          <w:b w:val="1"/>
          <w:bCs w:val="1"/>
          <w:color w:val="002F6C"/>
        </w:rPr>
        <w:t xml:space="preserve">Focus Programs: </w:t>
      </w:r>
      <w:r>
        <w:rPr>
          <w:rFonts w:ascii="Arial" w:cs="Arial" w:eastAsia="Arial" w:hAnsi="Arial"/>
          <w:sz w:val="17"/>
          <w:szCs w:val="17"/>
          <w:color w:val="000000"/>
        </w:rPr>
        <w:t>Shape and secure Key Focus Program wins and achieve Keep Sold Program milestones</w:t>
      </w:r>
    </w:p>
    <w:p>
      <w:pPr>
        <w:spacing w:after="0" w:line="128" w:lineRule="exact"/>
        <w:rPr>
          <w:rFonts w:ascii="Arial" w:cs="Arial" w:eastAsia="Arial" w:hAnsi="Arial"/>
          <w:sz w:val="17"/>
          <w:szCs w:val="17"/>
          <w:color w:val="002F6C"/>
        </w:rPr>
      </w:pPr>
    </w:p>
    <w:p>
      <w:pPr>
        <w:ind w:left="220" w:hanging="131"/>
        <w:spacing w:after="0"/>
        <w:tabs>
          <w:tab w:leader="none" w:pos="220" w:val="left"/>
        </w:tabs>
        <w:numPr>
          <w:ilvl w:val="0"/>
          <w:numId w:val="98"/>
        </w:numPr>
        <w:rPr>
          <w:rFonts w:ascii="Arial" w:cs="Arial" w:eastAsia="Arial" w:hAnsi="Arial"/>
          <w:sz w:val="17"/>
          <w:szCs w:val="17"/>
          <w:color w:val="002F6C"/>
        </w:rPr>
      </w:pPr>
      <w:r>
        <w:rPr>
          <w:rFonts w:ascii="Arial" w:cs="Arial" w:eastAsia="Arial" w:hAnsi="Arial"/>
          <w:sz w:val="17"/>
          <w:szCs w:val="17"/>
          <w:b w:val="1"/>
          <w:bCs w:val="1"/>
          <w:color w:val="002F6C"/>
        </w:rPr>
        <w:t xml:space="preserve">International: </w:t>
      </w:r>
      <w:r>
        <w:rPr>
          <w:rFonts w:ascii="Arial" w:cs="Arial" w:eastAsia="Arial" w:hAnsi="Arial"/>
          <w:sz w:val="17"/>
          <w:szCs w:val="17"/>
          <w:color w:val="000000"/>
        </w:rPr>
        <w:t>Continue international expansion through increased orders and sales</w:t>
      </w:r>
    </w:p>
    <w:p>
      <w:pPr>
        <w:spacing w:after="0" w:line="128" w:lineRule="exact"/>
        <w:rPr>
          <w:rFonts w:ascii="Arial" w:cs="Arial" w:eastAsia="Arial" w:hAnsi="Arial"/>
          <w:sz w:val="17"/>
          <w:szCs w:val="17"/>
          <w:color w:val="002F6C"/>
        </w:rPr>
      </w:pPr>
    </w:p>
    <w:p>
      <w:pPr>
        <w:ind w:left="220" w:hanging="131"/>
        <w:spacing w:after="0"/>
        <w:tabs>
          <w:tab w:leader="none" w:pos="220" w:val="left"/>
        </w:tabs>
        <w:numPr>
          <w:ilvl w:val="0"/>
          <w:numId w:val="98"/>
        </w:numPr>
        <w:rPr>
          <w:rFonts w:ascii="Arial" w:cs="Arial" w:eastAsia="Arial" w:hAnsi="Arial"/>
          <w:sz w:val="17"/>
          <w:szCs w:val="17"/>
          <w:color w:val="002F6C"/>
        </w:rPr>
      </w:pPr>
      <w:r>
        <w:rPr>
          <w:rFonts w:ascii="Arial" w:cs="Arial" w:eastAsia="Arial" w:hAnsi="Arial"/>
          <w:sz w:val="17"/>
          <w:szCs w:val="17"/>
          <w:b w:val="1"/>
          <w:bCs w:val="1"/>
          <w:color w:val="002F6C"/>
        </w:rPr>
        <w:t xml:space="preserve">Mission Success: </w:t>
      </w:r>
      <w:r>
        <w:rPr>
          <w:rFonts w:ascii="Arial" w:cs="Arial" w:eastAsia="Arial" w:hAnsi="Arial"/>
          <w:sz w:val="17"/>
          <w:szCs w:val="17"/>
          <w:color w:val="000000"/>
        </w:rPr>
        <w:t>Achieve Mission Success milestones</w:t>
      </w:r>
    </w:p>
    <w:p>
      <w:pPr>
        <w:spacing w:after="0" w:line="128" w:lineRule="exact"/>
        <w:rPr>
          <w:rFonts w:ascii="Arial" w:cs="Arial" w:eastAsia="Arial" w:hAnsi="Arial"/>
          <w:sz w:val="17"/>
          <w:szCs w:val="17"/>
          <w:color w:val="002F6C"/>
        </w:rPr>
      </w:pPr>
    </w:p>
    <w:p>
      <w:pPr>
        <w:ind w:left="260" w:right="360" w:hanging="171"/>
        <w:spacing w:after="0" w:line="301" w:lineRule="auto"/>
        <w:tabs>
          <w:tab w:leader="none" w:pos="225" w:val="left"/>
        </w:tabs>
        <w:numPr>
          <w:ilvl w:val="0"/>
          <w:numId w:val="98"/>
        </w:numPr>
        <w:rPr>
          <w:rFonts w:ascii="Arial" w:cs="Arial" w:eastAsia="Arial" w:hAnsi="Arial"/>
          <w:sz w:val="17"/>
          <w:szCs w:val="17"/>
          <w:color w:val="002F6C"/>
        </w:rPr>
      </w:pPr>
      <w:r>
        <w:rPr>
          <w:rFonts w:ascii="Arial" w:cs="Arial" w:eastAsia="Arial" w:hAnsi="Arial"/>
          <w:sz w:val="17"/>
          <w:szCs w:val="17"/>
          <w:b w:val="1"/>
          <w:bCs w:val="1"/>
          <w:color w:val="002F6C"/>
        </w:rPr>
        <w:t xml:space="preserve">Enterprise Performance: </w:t>
      </w:r>
      <w:r>
        <w:rPr>
          <w:rFonts w:ascii="Arial" w:cs="Arial" w:eastAsia="Arial" w:hAnsi="Arial"/>
          <w:sz w:val="17"/>
          <w:szCs w:val="17"/>
          <w:color w:val="000000"/>
        </w:rPr>
        <w:t>Achieve customer commitments and increase stockholder value through program performance, product deliveries,</w:t>
      </w:r>
      <w:r>
        <w:rPr>
          <w:rFonts w:ascii="Arial" w:cs="Arial" w:eastAsia="Arial" w:hAnsi="Arial"/>
          <w:sz w:val="17"/>
          <w:szCs w:val="17"/>
          <w:b w:val="1"/>
          <w:bCs w:val="1"/>
          <w:color w:val="002F6C"/>
        </w:rPr>
        <w:t xml:space="preserve"> </w:t>
      </w:r>
      <w:r>
        <w:rPr>
          <w:rFonts w:ascii="Arial" w:cs="Arial" w:eastAsia="Arial" w:hAnsi="Arial"/>
          <w:sz w:val="17"/>
          <w:szCs w:val="17"/>
          <w:color w:val="000000"/>
        </w:rPr>
        <w:t>supply chain performance, affordability and sustainability</w:t>
      </w:r>
    </w:p>
    <w:p>
      <w:pPr>
        <w:spacing w:after="0" w:line="49" w:lineRule="exact"/>
        <w:rPr>
          <w:rFonts w:ascii="Arial" w:cs="Arial" w:eastAsia="Arial" w:hAnsi="Arial"/>
          <w:sz w:val="17"/>
          <w:szCs w:val="17"/>
          <w:color w:val="002F6C"/>
        </w:rPr>
      </w:pPr>
    </w:p>
    <w:p>
      <w:pPr>
        <w:ind w:left="260" w:right="140" w:hanging="171"/>
        <w:spacing w:after="0" w:line="301" w:lineRule="auto"/>
        <w:tabs>
          <w:tab w:leader="none" w:pos="225" w:val="left"/>
        </w:tabs>
        <w:numPr>
          <w:ilvl w:val="0"/>
          <w:numId w:val="98"/>
        </w:numPr>
        <w:rPr>
          <w:rFonts w:ascii="Arial" w:cs="Arial" w:eastAsia="Arial" w:hAnsi="Arial"/>
          <w:sz w:val="17"/>
          <w:szCs w:val="17"/>
          <w:color w:val="002F6C"/>
        </w:rPr>
      </w:pPr>
      <w:r>
        <w:rPr>
          <w:rFonts w:ascii="Arial" w:cs="Arial" w:eastAsia="Arial" w:hAnsi="Arial"/>
          <w:sz w:val="17"/>
          <w:szCs w:val="17"/>
          <w:b w:val="1"/>
          <w:bCs w:val="1"/>
          <w:color w:val="002F6C"/>
        </w:rPr>
        <w:t xml:space="preserve">Portfolio Shaping / Enterprise Initiatives: </w:t>
      </w:r>
      <w:r>
        <w:rPr>
          <w:rFonts w:ascii="Arial" w:cs="Arial" w:eastAsia="Arial" w:hAnsi="Arial"/>
          <w:sz w:val="17"/>
          <w:szCs w:val="17"/>
          <w:color w:val="000000"/>
        </w:rPr>
        <w:t>Assess the Corporation portfolio on an ongoing basis to maximize stockholder value, including M&amp;A</w:t>
      </w:r>
      <w:r>
        <w:rPr>
          <w:rFonts w:ascii="Arial" w:cs="Arial" w:eastAsia="Arial" w:hAnsi="Arial"/>
          <w:sz w:val="17"/>
          <w:szCs w:val="17"/>
          <w:b w:val="1"/>
          <w:bCs w:val="1"/>
          <w:color w:val="002F6C"/>
        </w:rPr>
        <w:t xml:space="preserve"> </w:t>
      </w:r>
      <w:r>
        <w:rPr>
          <w:rFonts w:ascii="Arial" w:cs="Arial" w:eastAsia="Arial" w:hAnsi="Arial"/>
          <w:sz w:val="17"/>
          <w:szCs w:val="17"/>
          <w:color w:val="000000"/>
        </w:rPr>
        <w:t>activity, cost competitiveness and other Enterprise-wide initiatives</w:t>
      </w:r>
    </w:p>
    <w:p>
      <w:pPr>
        <w:spacing w:after="0" w:line="49" w:lineRule="exact"/>
        <w:rPr>
          <w:rFonts w:ascii="Arial" w:cs="Arial" w:eastAsia="Arial" w:hAnsi="Arial"/>
          <w:sz w:val="17"/>
          <w:szCs w:val="17"/>
          <w:color w:val="002F6C"/>
        </w:rPr>
      </w:pPr>
    </w:p>
    <w:p>
      <w:pPr>
        <w:ind w:left="260" w:right="400" w:hanging="171"/>
        <w:spacing w:after="0" w:line="301" w:lineRule="auto"/>
        <w:tabs>
          <w:tab w:leader="none" w:pos="225" w:val="left"/>
        </w:tabs>
        <w:numPr>
          <w:ilvl w:val="0"/>
          <w:numId w:val="98"/>
        </w:numPr>
        <w:rPr>
          <w:rFonts w:ascii="Arial" w:cs="Arial" w:eastAsia="Arial" w:hAnsi="Arial"/>
          <w:sz w:val="17"/>
          <w:szCs w:val="17"/>
          <w:color w:val="002F6C"/>
        </w:rPr>
      </w:pPr>
      <w:r>
        <w:rPr>
          <w:rFonts w:ascii="Arial" w:cs="Arial" w:eastAsia="Arial" w:hAnsi="Arial"/>
          <w:sz w:val="17"/>
          <w:szCs w:val="17"/>
          <w:b w:val="1"/>
          <w:bCs w:val="1"/>
          <w:color w:val="002F6C"/>
        </w:rPr>
        <w:t xml:space="preserve">Innovation: </w:t>
      </w:r>
      <w:r>
        <w:rPr>
          <w:rFonts w:ascii="Arial" w:cs="Arial" w:eastAsia="Arial" w:hAnsi="Arial"/>
          <w:sz w:val="17"/>
          <w:szCs w:val="17"/>
          <w:color w:val="000000"/>
        </w:rPr>
        <w:t>Execute 21st Century Warfare strategy to include technology development, demonstrations, and commercial partnerships. Drive</w:t>
      </w:r>
      <w:r>
        <w:rPr>
          <w:rFonts w:ascii="Arial" w:cs="Arial" w:eastAsia="Arial" w:hAnsi="Arial"/>
          <w:sz w:val="17"/>
          <w:szCs w:val="17"/>
          <w:b w:val="1"/>
          <w:bCs w:val="1"/>
          <w:color w:val="002F6C"/>
        </w:rPr>
        <w:t xml:space="preserve"> </w:t>
      </w:r>
      <w:r>
        <w:rPr>
          <w:rFonts w:ascii="Arial" w:cs="Arial" w:eastAsia="Arial" w:hAnsi="Arial"/>
          <w:sz w:val="17"/>
          <w:szCs w:val="17"/>
          <w:color w:val="000000"/>
        </w:rPr>
        <w:t>infrastructure modernization, technology development and functional capability adoption to digitally transform the enterprise</w:t>
      </w:r>
    </w:p>
    <w:p>
      <w:pPr>
        <w:spacing w:after="0" w:line="49" w:lineRule="exact"/>
        <w:rPr>
          <w:rFonts w:ascii="Arial" w:cs="Arial" w:eastAsia="Arial" w:hAnsi="Arial"/>
          <w:sz w:val="17"/>
          <w:szCs w:val="17"/>
          <w:color w:val="002F6C"/>
        </w:rPr>
      </w:pPr>
    </w:p>
    <w:p>
      <w:pPr>
        <w:ind w:left="220" w:hanging="131"/>
        <w:spacing w:after="0"/>
        <w:tabs>
          <w:tab w:leader="none" w:pos="220" w:val="left"/>
        </w:tabs>
        <w:numPr>
          <w:ilvl w:val="0"/>
          <w:numId w:val="98"/>
        </w:numPr>
        <w:rPr>
          <w:rFonts w:ascii="Arial" w:cs="Arial" w:eastAsia="Arial" w:hAnsi="Arial"/>
          <w:sz w:val="17"/>
          <w:szCs w:val="17"/>
          <w:color w:val="002F6C"/>
        </w:rPr>
      </w:pPr>
      <w:r>
        <w:rPr>
          <w:rFonts w:ascii="Arial" w:cs="Arial" w:eastAsia="Arial" w:hAnsi="Arial"/>
          <w:sz w:val="17"/>
          <w:szCs w:val="17"/>
          <w:b w:val="1"/>
          <w:bCs w:val="1"/>
          <w:color w:val="002F6C"/>
        </w:rPr>
        <w:t xml:space="preserve">Talent Management: </w:t>
      </w:r>
      <w:r>
        <w:rPr>
          <w:rFonts w:ascii="Arial" w:cs="Arial" w:eastAsia="Arial" w:hAnsi="Arial"/>
          <w:sz w:val="17"/>
          <w:szCs w:val="17"/>
          <w:color w:val="000000"/>
        </w:rPr>
        <w:t>Attract, develop and retain the workforce needed to deliver commitments to customers, employees and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475C90"/>
        </w:rPr>
        <w:t>2021 Long-Term Incentive Award Opportunities</w:t>
      </w:r>
    </w:p>
    <w:p>
      <w:pPr>
        <w:spacing w:after="0" w:line="112"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For 2021, the LTI award mix is the same as last year and for the CEO and other NEOs is allocated 50% toward PSUs, 20% toward LTIP and 30% toward RSUs.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terms and performance measures of the 2021-2023 PSUs and LTIP awards are similar to the 2020-2022 awards (see pages 51-53). The 2021-2023 PSU and LTIP award agreements require specified adjustments to ensure that the ultimate payouts are not impacted to the benefit or detriment of management by specified events that would result in a difference between planned and actual financial results, including the impact of CARES Act provisions on payroll tax deferrals and progress payment changes, pension risk transfer transactions, or changes in tax law or interpretations related to amortization for research and experimental expenditures.</w:t>
      </w:r>
    </w:p>
    <w:p>
      <w:pPr>
        <w:spacing w:after="0" w:line="9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February 2021, the Compensation Committee approved a new Relative TSR Comparators peer group beginning with the 2021-2023 performance cycle. While the S&amp;P Aerospace &amp; Defense peers and other large government contractors has been, in our judgment, the preferred peer group against which to compare our Relative TSR, it has been impacted by multiple business transactions and exhibited significant volatility in the number of its constituents over the past several years. To moderate the potential effect of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264160</wp:posOffset>
            </wp:positionV>
            <wp:extent cx="969010" cy="2228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54</w:t>
      </w:r>
    </w:p>
    <w:p>
      <w:pPr>
        <w:sectPr>
          <w:pgSz w:w="11900" w:h="16838" w:orient="portrait"/>
          <w:cols w:equalWidth="0" w:num="1">
            <w:col w:w="11240"/>
          </w:cols>
          <w:pgMar w:left="320" w:top="609"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4" w:lineRule="exact"/>
        <w:rPr>
          <w:sz w:val="20"/>
          <w:szCs w:val="20"/>
          <w:color w:val="auto"/>
        </w:rPr>
      </w:pPr>
    </w:p>
    <w:p>
      <w:pPr>
        <w:ind w:right="840"/>
        <w:spacing w:after="0" w:line="276" w:lineRule="auto"/>
        <w:rPr>
          <w:sz w:val="20"/>
          <w:szCs w:val="20"/>
          <w:color w:val="auto"/>
        </w:rPr>
      </w:pPr>
      <w:r>
        <w:rPr>
          <w:rFonts w:ascii="Arial" w:cs="Arial" w:eastAsia="Arial" w:hAnsi="Arial"/>
          <w:sz w:val="17"/>
          <w:szCs w:val="17"/>
          <w:color w:val="auto"/>
        </w:rPr>
        <w:t>transactions on the peer group, the Compensation Committee approved an expanded peer group of 27 companies that meet the following parameters as of January 1, 2021:</w:t>
      </w:r>
    </w:p>
    <w:p>
      <w:pPr>
        <w:spacing w:after="0" w:line="90" w:lineRule="exact"/>
        <w:rPr>
          <w:sz w:val="20"/>
          <w:szCs w:val="20"/>
          <w:color w:val="auto"/>
        </w:rPr>
      </w:pPr>
    </w:p>
    <w:p>
      <w:pPr>
        <w:ind w:left="220" w:hanging="131"/>
        <w:spacing w:after="0"/>
        <w:tabs>
          <w:tab w:leader="none" w:pos="220" w:val="left"/>
        </w:tabs>
        <w:numPr>
          <w:ilvl w:val="0"/>
          <w:numId w:val="99"/>
        </w:numPr>
        <w:rPr>
          <w:rFonts w:ascii="Arial" w:cs="Arial" w:eastAsia="Arial" w:hAnsi="Arial"/>
          <w:sz w:val="17"/>
          <w:szCs w:val="17"/>
          <w:color w:val="002E6D"/>
        </w:rPr>
      </w:pPr>
      <w:r>
        <w:rPr>
          <w:rFonts w:ascii="Arial" w:cs="Arial" w:eastAsia="Arial" w:hAnsi="Arial"/>
          <w:sz w:val="17"/>
          <w:szCs w:val="17"/>
          <w:color w:val="auto"/>
        </w:rPr>
        <w:t>Global Industry Classification Standard - GICS 2010 - Capital Goods</w:t>
      </w:r>
    </w:p>
    <w:p>
      <w:pPr>
        <w:spacing w:after="0" w:line="20" w:lineRule="exact"/>
        <w:rPr>
          <w:rFonts w:ascii="Arial" w:cs="Arial" w:eastAsia="Arial" w:hAnsi="Arial"/>
          <w:sz w:val="17"/>
          <w:szCs w:val="17"/>
          <w:color w:val="002E6D"/>
        </w:rPr>
      </w:pPr>
    </w:p>
    <w:p>
      <w:pPr>
        <w:ind w:left="220" w:hanging="131"/>
        <w:spacing w:after="0"/>
        <w:tabs>
          <w:tab w:leader="none" w:pos="220" w:val="left"/>
        </w:tabs>
        <w:numPr>
          <w:ilvl w:val="0"/>
          <w:numId w:val="99"/>
        </w:numPr>
        <w:rPr>
          <w:rFonts w:ascii="Arial" w:cs="Arial" w:eastAsia="Arial" w:hAnsi="Arial"/>
          <w:sz w:val="17"/>
          <w:szCs w:val="17"/>
          <w:color w:val="002E6D"/>
        </w:rPr>
      </w:pPr>
      <w:r>
        <w:rPr>
          <w:rFonts w:ascii="Arial" w:cs="Arial" w:eastAsia="Arial" w:hAnsi="Arial"/>
          <w:sz w:val="17"/>
          <w:szCs w:val="17"/>
          <w:color w:val="auto"/>
        </w:rPr>
        <w:t>Listed on a major US index</w:t>
      </w:r>
    </w:p>
    <w:p>
      <w:pPr>
        <w:spacing w:after="0" w:line="20" w:lineRule="exact"/>
        <w:rPr>
          <w:rFonts w:ascii="Arial" w:cs="Arial" w:eastAsia="Arial" w:hAnsi="Arial"/>
          <w:sz w:val="17"/>
          <w:szCs w:val="17"/>
          <w:color w:val="002E6D"/>
        </w:rPr>
      </w:pPr>
    </w:p>
    <w:p>
      <w:pPr>
        <w:ind w:left="220" w:hanging="131"/>
        <w:spacing w:after="0"/>
        <w:tabs>
          <w:tab w:leader="none" w:pos="220" w:val="left"/>
        </w:tabs>
        <w:numPr>
          <w:ilvl w:val="0"/>
          <w:numId w:val="99"/>
        </w:numPr>
        <w:rPr>
          <w:rFonts w:ascii="Arial" w:cs="Arial" w:eastAsia="Arial" w:hAnsi="Arial"/>
          <w:sz w:val="17"/>
          <w:szCs w:val="17"/>
          <w:color w:val="002E6D"/>
        </w:rPr>
      </w:pPr>
      <w:r>
        <w:rPr>
          <w:rFonts w:ascii="Arial" w:cs="Arial" w:eastAsia="Arial" w:hAnsi="Arial"/>
          <w:sz w:val="17"/>
          <w:szCs w:val="17"/>
          <w:color w:val="auto"/>
        </w:rPr>
        <w:t>Revenue &gt;$10B and Market cap &gt;$5B</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475C90"/>
        </w:rPr>
        <w:t>Other Compensation Matters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475C90"/>
        </w:rPr>
        <w:t>Our Use of Independent Compensation Consultants</w:t>
      </w:r>
    </w:p>
    <w:p>
      <w:pPr>
        <w:spacing w:after="0" w:line="11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independent compensation consultant provides important information about market practices, the types and amounts of compensation offered to executives generally and the role of corporate governance considerations in making compensation decisions. The Compensation Committee’s charter authorizes it to retain outside advisors that it believes are appropriate to assist in evaluating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For 2020, the Compensation Committee continued to retain Meridian as an independent compensation consultant. In connection with its retention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Meridian, the Compensation Committee considered the following factors in assessing Meridian’s independence:</w:t>
      </w:r>
    </w:p>
    <w:p>
      <w:pPr>
        <w:spacing w:after="0" w:line="129" w:lineRule="exact"/>
        <w:rPr>
          <w:sz w:val="20"/>
          <w:szCs w:val="20"/>
          <w:color w:val="auto"/>
        </w:rPr>
      </w:pPr>
    </w:p>
    <w:p>
      <w:pPr>
        <w:ind w:left="220" w:hanging="131"/>
        <w:spacing w:after="0"/>
        <w:tabs>
          <w:tab w:leader="none" w:pos="220" w:val="left"/>
        </w:tabs>
        <w:numPr>
          <w:ilvl w:val="0"/>
          <w:numId w:val="100"/>
        </w:numPr>
        <w:rPr>
          <w:rFonts w:ascii="Arial" w:cs="Arial" w:eastAsia="Arial" w:hAnsi="Arial"/>
          <w:sz w:val="17"/>
          <w:szCs w:val="17"/>
          <w:color w:val="002E6D"/>
        </w:rPr>
      </w:pPr>
      <w:r>
        <w:rPr>
          <w:rFonts w:ascii="Arial" w:cs="Arial" w:eastAsia="Arial" w:hAnsi="Arial"/>
          <w:sz w:val="17"/>
          <w:szCs w:val="17"/>
          <w:color w:val="auto"/>
        </w:rPr>
        <w:t>Meridian’s services for the Corporation are limited to executive and director compensation.</w:t>
      </w:r>
    </w:p>
    <w:p>
      <w:pPr>
        <w:spacing w:after="0" w:line="128" w:lineRule="exact"/>
        <w:rPr>
          <w:rFonts w:ascii="Arial" w:cs="Arial" w:eastAsia="Arial" w:hAnsi="Arial"/>
          <w:sz w:val="17"/>
          <w:szCs w:val="17"/>
          <w:color w:val="002E6D"/>
        </w:rPr>
      </w:pPr>
    </w:p>
    <w:p>
      <w:pPr>
        <w:ind w:left="220" w:hanging="131"/>
        <w:spacing w:after="0"/>
        <w:tabs>
          <w:tab w:leader="none" w:pos="220" w:val="left"/>
        </w:tabs>
        <w:numPr>
          <w:ilvl w:val="0"/>
          <w:numId w:val="100"/>
        </w:numPr>
        <w:rPr>
          <w:rFonts w:ascii="Arial" w:cs="Arial" w:eastAsia="Arial" w:hAnsi="Arial"/>
          <w:sz w:val="17"/>
          <w:szCs w:val="17"/>
          <w:color w:val="002E6D"/>
        </w:rPr>
      </w:pPr>
      <w:r>
        <w:rPr>
          <w:rFonts w:ascii="Arial" w:cs="Arial" w:eastAsia="Arial" w:hAnsi="Arial"/>
          <w:sz w:val="17"/>
          <w:szCs w:val="17"/>
          <w:color w:val="auto"/>
        </w:rPr>
        <w:t>The compensation paid to Meridian is less than 1% of Meridian’s revenues.</w:t>
      </w:r>
    </w:p>
    <w:p>
      <w:pPr>
        <w:spacing w:after="0" w:line="128" w:lineRule="exact"/>
        <w:rPr>
          <w:rFonts w:ascii="Arial" w:cs="Arial" w:eastAsia="Arial" w:hAnsi="Arial"/>
          <w:sz w:val="17"/>
          <w:szCs w:val="17"/>
          <w:color w:val="002E6D"/>
        </w:rPr>
      </w:pPr>
    </w:p>
    <w:p>
      <w:pPr>
        <w:ind w:left="220" w:hanging="131"/>
        <w:spacing w:after="0"/>
        <w:tabs>
          <w:tab w:leader="none" w:pos="220" w:val="left"/>
        </w:tabs>
        <w:numPr>
          <w:ilvl w:val="0"/>
          <w:numId w:val="100"/>
        </w:numPr>
        <w:rPr>
          <w:rFonts w:ascii="Arial" w:cs="Arial" w:eastAsia="Arial" w:hAnsi="Arial"/>
          <w:sz w:val="17"/>
          <w:szCs w:val="17"/>
          <w:color w:val="002E6D"/>
        </w:rPr>
      </w:pPr>
      <w:r>
        <w:rPr>
          <w:rFonts w:ascii="Arial" w:cs="Arial" w:eastAsia="Arial" w:hAnsi="Arial"/>
          <w:sz w:val="17"/>
          <w:szCs w:val="17"/>
          <w:color w:val="auto"/>
        </w:rPr>
        <w:t>Meridian has business ethics and insider trading and stock ownership policies, which are designed to avoid conflicts of interest.</w:t>
      </w:r>
    </w:p>
    <w:p>
      <w:pPr>
        <w:spacing w:after="0" w:line="128" w:lineRule="exact"/>
        <w:rPr>
          <w:rFonts w:ascii="Arial" w:cs="Arial" w:eastAsia="Arial" w:hAnsi="Arial"/>
          <w:sz w:val="17"/>
          <w:szCs w:val="17"/>
          <w:color w:val="002E6D"/>
        </w:rPr>
      </w:pPr>
    </w:p>
    <w:p>
      <w:pPr>
        <w:ind w:left="220" w:hanging="131"/>
        <w:spacing w:after="0"/>
        <w:tabs>
          <w:tab w:leader="none" w:pos="220" w:val="left"/>
        </w:tabs>
        <w:numPr>
          <w:ilvl w:val="0"/>
          <w:numId w:val="100"/>
        </w:numPr>
        <w:rPr>
          <w:rFonts w:ascii="Arial" w:cs="Arial" w:eastAsia="Arial" w:hAnsi="Arial"/>
          <w:sz w:val="17"/>
          <w:szCs w:val="17"/>
          <w:color w:val="002E6D"/>
        </w:rPr>
      </w:pPr>
      <w:r>
        <w:rPr>
          <w:rFonts w:ascii="Arial" w:cs="Arial" w:eastAsia="Arial" w:hAnsi="Arial"/>
          <w:sz w:val="17"/>
          <w:szCs w:val="17"/>
          <w:color w:val="auto"/>
        </w:rPr>
        <w:t>Meridian employees supporting the engagement and their immediate family members do not own Lockheed Martin securities.</w:t>
      </w:r>
    </w:p>
    <w:p>
      <w:pPr>
        <w:spacing w:after="0" w:line="128" w:lineRule="exact"/>
        <w:rPr>
          <w:rFonts w:ascii="Arial" w:cs="Arial" w:eastAsia="Arial" w:hAnsi="Arial"/>
          <w:sz w:val="17"/>
          <w:szCs w:val="17"/>
          <w:color w:val="002E6D"/>
        </w:rPr>
      </w:pPr>
    </w:p>
    <w:p>
      <w:pPr>
        <w:ind w:left="260" w:right="280" w:hanging="171"/>
        <w:spacing w:after="0" w:line="276" w:lineRule="auto"/>
        <w:tabs>
          <w:tab w:leader="none" w:pos="225" w:val="left"/>
        </w:tabs>
        <w:numPr>
          <w:ilvl w:val="0"/>
          <w:numId w:val="100"/>
        </w:numPr>
        <w:rPr>
          <w:rFonts w:ascii="Arial" w:cs="Arial" w:eastAsia="Arial" w:hAnsi="Arial"/>
          <w:sz w:val="17"/>
          <w:szCs w:val="17"/>
          <w:color w:val="002E6D"/>
        </w:rPr>
      </w:pPr>
      <w:r>
        <w:rPr>
          <w:rFonts w:ascii="Arial" w:cs="Arial" w:eastAsia="Arial" w:hAnsi="Arial"/>
          <w:sz w:val="17"/>
          <w:szCs w:val="17"/>
          <w:color w:val="auto"/>
        </w:rPr>
        <w:t>Meridian employees supporting the engagement have no business or personal relationships with members of the Compensation Committee or with any Lockheed Martin executive officer.</w:t>
      </w:r>
    </w:p>
    <w:p>
      <w:pPr>
        <w:spacing w:after="0" w:line="9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At its February 2021 meeting, the Compensation Committee renewed the engagement of Meridian. At that time, Meridian confirmed the continuing accuracy of each of the factors described above.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nature and scope of Meridian’s engagement was determined by the Compensation Committee and not limited in any way by management.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475C90"/>
        </w:rPr>
        <w:t>Policy Regarding Timing of Equity Grants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We have a corporate policy statement concerning the grant of equity awards. Under that policy:</w:t>
      </w:r>
    </w:p>
    <w:p>
      <w:pPr>
        <w:spacing w:after="0" w:line="129" w:lineRule="exact"/>
        <w:rPr>
          <w:sz w:val="20"/>
          <w:szCs w:val="20"/>
          <w:color w:val="auto"/>
        </w:rPr>
      </w:pPr>
    </w:p>
    <w:p>
      <w:pPr>
        <w:ind w:left="220" w:hanging="131"/>
        <w:spacing w:after="0"/>
        <w:tabs>
          <w:tab w:leader="none" w:pos="220" w:val="left"/>
        </w:tabs>
        <w:numPr>
          <w:ilvl w:val="0"/>
          <w:numId w:val="101"/>
        </w:numPr>
        <w:rPr>
          <w:rFonts w:ascii="Arial" w:cs="Arial" w:eastAsia="Arial" w:hAnsi="Arial"/>
          <w:sz w:val="17"/>
          <w:szCs w:val="17"/>
          <w:color w:val="002E6D"/>
        </w:rPr>
      </w:pPr>
      <w:r>
        <w:rPr>
          <w:rFonts w:ascii="Arial" w:cs="Arial" w:eastAsia="Arial" w:hAnsi="Arial"/>
          <w:sz w:val="17"/>
          <w:szCs w:val="17"/>
          <w:color w:val="auto"/>
        </w:rPr>
        <w:t>The Compensation Committee is responsible for determining the grant date of all equity awards to executive officers.</w:t>
      </w:r>
    </w:p>
    <w:p>
      <w:pPr>
        <w:spacing w:after="0" w:line="128" w:lineRule="exact"/>
        <w:rPr>
          <w:rFonts w:ascii="Arial" w:cs="Arial" w:eastAsia="Arial" w:hAnsi="Arial"/>
          <w:sz w:val="17"/>
          <w:szCs w:val="17"/>
          <w:color w:val="002E6D"/>
        </w:rPr>
      </w:pPr>
    </w:p>
    <w:p>
      <w:pPr>
        <w:ind w:left="260" w:right="700" w:hanging="171"/>
        <w:spacing w:after="0" w:line="276" w:lineRule="auto"/>
        <w:tabs>
          <w:tab w:leader="none" w:pos="225" w:val="left"/>
        </w:tabs>
        <w:numPr>
          <w:ilvl w:val="0"/>
          <w:numId w:val="101"/>
        </w:numPr>
        <w:rPr>
          <w:rFonts w:ascii="Arial" w:cs="Arial" w:eastAsia="Arial" w:hAnsi="Arial"/>
          <w:sz w:val="17"/>
          <w:szCs w:val="17"/>
          <w:color w:val="002E6D"/>
        </w:rPr>
      </w:pPr>
      <w:r>
        <w:rPr>
          <w:rFonts w:ascii="Arial" w:cs="Arial" w:eastAsia="Arial" w:hAnsi="Arial"/>
          <w:sz w:val="17"/>
          <w:szCs w:val="17"/>
          <w:color w:val="auto"/>
        </w:rPr>
        <w:t>No equity award may be backdated. A future date may be used if, among other reasons, the Compensation Committee’s action occurs in proximity to the release of earnings or during a trading blackout period.</w:t>
      </w:r>
    </w:p>
    <w:p>
      <w:pPr>
        <w:spacing w:after="0" w:line="90" w:lineRule="exact"/>
        <w:rPr>
          <w:rFonts w:ascii="Arial" w:cs="Arial" w:eastAsia="Arial" w:hAnsi="Arial"/>
          <w:sz w:val="17"/>
          <w:szCs w:val="17"/>
          <w:color w:val="002E6D"/>
        </w:rPr>
      </w:pPr>
    </w:p>
    <w:p>
      <w:pPr>
        <w:ind w:left="260" w:right="80" w:hanging="171"/>
        <w:spacing w:after="0" w:line="276" w:lineRule="auto"/>
        <w:tabs>
          <w:tab w:leader="none" w:pos="225" w:val="left"/>
        </w:tabs>
        <w:numPr>
          <w:ilvl w:val="0"/>
          <w:numId w:val="101"/>
        </w:numPr>
        <w:rPr>
          <w:rFonts w:ascii="Arial" w:cs="Arial" w:eastAsia="Arial" w:hAnsi="Arial"/>
          <w:sz w:val="17"/>
          <w:szCs w:val="17"/>
          <w:color w:val="002E6D"/>
        </w:rPr>
      </w:pPr>
      <w:r>
        <w:rPr>
          <w:rFonts w:ascii="Arial" w:cs="Arial" w:eastAsia="Arial" w:hAnsi="Arial"/>
          <w:sz w:val="17"/>
          <w:szCs w:val="17"/>
          <w:color w:val="auto"/>
        </w:rPr>
        <w:t>Proposed equity awards are presented to the Compensation Committee in February of each year. Off-cycle awards may be considered in special circumstances, which may include hiring, retention or acquisition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equity plans explicitly prohibit repricing of stock options or paying cash for underwater stock options.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475C90"/>
        </w:rPr>
        <w:t>Clawback and Other Protective Provisions</w:t>
      </w:r>
    </w:p>
    <w:p>
      <w:pPr>
        <w:spacing w:after="0" w:line="11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Governance Guidelines include a clawback policy, which provides that if the Board of Directors determines that an officer’s intentional misconduct, gross negligence or failure to report such acts by another person was a contributing factor in requiring us to restate any of our financial statements or constituted fraud, bribery or another illegal act (or contributed to another person’s fraud, bribery or other illegal act) which adversely impacted our financial position or reputation, then the Board shall take such action as it deems in the best interest of the Corporation and necessary to remedy the misconduct and prevent its recurrence. Among other actions, the Board may seek to recover or require reimbursement of any amount awarded to the officer after January 1, 2008, in the form of an annual incentive bonus or LTI award.</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In February 2019, the Compensation Committee enhanced the clawback policy to ensure that it has the most appropriate level of discretionary authority and powers to protect the Corporation and its stockholders' interests. These enhancements were the result of the Compensation Committee's consideration of a number of highly publicized events involving high-level executives of other companies. Following the Compensation Committee’s proactive analysis of the Corporation's policies in light of these events,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55</w:t>
      </w:r>
    </w:p>
    <w:p>
      <w:pPr>
        <w:sectPr>
          <w:pgSz w:w="11900" w:h="16838" w:orient="portrait"/>
          <w:cols w:equalWidth="0" w:num="1">
            <w:col w:w="11240"/>
          </w:cols>
          <w:pgMar w:left="320" w:top="609" w:right="339" w:bottom="1440" w:gutter="0" w:footer="0" w:header="0"/>
        </w:sectPr>
      </w:pPr>
    </w:p>
    <w:bookmarkStart w:id="59" w:name="page60"/>
    <w:bookmarkEnd w:id="59"/>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Compensation Committee amended the clawback policy to add two additional situations in which incentive compensation paid to an officer could be clawed back: (1) an officer’s intentional misconduct or gross negligence that causes severe reputational or financial harm to the Corporation and (2) an officer’s misappropriation of Lockheed Martin Proprietary Information that causes, or is intended to cause, severe reputational or financial harm to the Corporation. These additional situations apply to incentive compensation awarded in 2019 and thereafter.</w:t>
      </w:r>
    </w:p>
    <w:p>
      <w:pPr>
        <w:spacing w:after="0" w:line="9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clawback policy is incorporated into our annual incentive plan and in the award agreements for the long-term incentive awards, covering all variable incentive compensation. There were no events requiring Board consideration of a clawback action during 2020. In the event the Board recoups incentive compensation under the policy, management intends to disclose the aggregate amount of incentive compensation recovered, so long as the underlying event has already been publicly disclosed in our filings with the SEC. This disclosure would appear in the proxy statement following any such Board action and would provide the aggregate amount of recovery for each event if there is more than one applicable event. The award agreements for the NEOs also contain post-employment restrictive covenants. The post-employment restrictions were incorporated into all executive-level award agreements beginning in 2011, and compensation awarded under those agreements may be subject to clawback in the event an executive breaches any of the post-employment restrictive covenants.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475C90"/>
        </w:rPr>
        <w:t>Anti-Hedging and Pledging Policy</w:t>
      </w:r>
    </w:p>
    <w:p>
      <w:pPr>
        <w:spacing w:after="0" w:line="11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policies prohibit hedging and pledging of Lockheed Martin stock by all directors, officers and employees. Under our policies, Lockheed Martin directors, officers and employees may not purchase or sell derivative securities based on Lockheed Martin common stock or other Lockheed Martin securities. This policy also prohibits hedging or monetization transactions such as forward-sale contracts, equity swaps, collars and exchange funds, that are designed to hedge or offset any decrease in the market value of equity securities, lock in then-current market gains without the sale of the underlying security, or transactions in which the director or employee may divest aspects of the risks and rewards of ownership. This policy applies both to shares of Lockheed Martin common stock (1) that are granted to directors, officers or employees by Lockheed Martin as part of their compensation and (2) held, directly or indirectly, by directors, officers or employees.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475C90"/>
        </w:rPr>
        <w:t>Stock Ownership Requirements for Key Employees</w:t>
      </w:r>
    </w:p>
    <w:p>
      <w:pPr>
        <w:spacing w:after="0" w:line="112"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To better align their interests with the long-term interests of our stockholders, we expect our officers (including the NEOs) and other members of management to maintain an ownership interest in the Corporation based on the following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054850" cy="7632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054850" cy="763270"/>
                    </a:xfrm>
                    <a:prstGeom prst="rect">
                      <a:avLst/>
                    </a:prstGeom>
                    <a:noFill/>
                  </pic:spPr>
                </pic:pic>
              </a:graphicData>
            </a:graphic>
          </wp:anchor>
        </w:drawing>
      </w:r>
    </w:p>
    <w:p>
      <w:pPr>
        <w:sectPr>
          <w:pgSz w:w="11900" w:h="16838" w:orient="portrait"/>
          <w:cols w:equalWidth="0" w:num="1">
            <w:col w:w="11200"/>
          </w:cols>
          <w:pgMar w:left="320" w:top="609" w:right="379" w:bottom="1440" w:gutter="0" w:footer="0" w:header="0"/>
        </w:sectPr>
      </w:pPr>
    </w:p>
    <w:p>
      <w:pPr>
        <w:spacing w:after="0" w:line="36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002E6D"/>
        </w:rPr>
        <w:t>6x</w:t>
      </w:r>
    </w:p>
    <w:p>
      <w:pPr>
        <w:spacing w:after="0" w:line="75" w:lineRule="exact"/>
        <w:rPr>
          <w:sz w:val="20"/>
          <w:szCs w:val="20"/>
          <w:color w:val="auto"/>
        </w:rPr>
      </w:pPr>
    </w:p>
    <w:p>
      <w:pPr>
        <w:ind w:left="100" w:right="200"/>
        <w:spacing w:after="0" w:line="259" w:lineRule="auto"/>
        <w:rPr>
          <w:sz w:val="20"/>
          <w:szCs w:val="20"/>
          <w:color w:val="auto"/>
        </w:rPr>
      </w:pPr>
      <w:r>
        <w:rPr>
          <w:rFonts w:ascii="Arial" w:cs="Arial" w:eastAsia="Arial" w:hAnsi="Arial"/>
          <w:sz w:val="17"/>
          <w:szCs w:val="17"/>
          <w:color w:val="auto"/>
          <w:shd w:val="clear" w:color="auto" w:fill="E5E7EF"/>
        </w:rPr>
        <w:t>base salary for CEO and Chairman</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002E6D"/>
        </w:rPr>
        <w:t>4x</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base salary for Chief Financial Officer and Chief Operating Officer</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002E6D"/>
        </w:rPr>
        <w:t>3x</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base salary for Executive Vice Presidents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002E6D"/>
        </w:rPr>
        <w:t>2x</w:t>
      </w:r>
    </w:p>
    <w:p>
      <w:pPr>
        <w:spacing w:after="0" w:line="75" w:lineRule="exact"/>
        <w:rPr>
          <w:sz w:val="20"/>
          <w:szCs w:val="20"/>
          <w:color w:val="auto"/>
        </w:rPr>
      </w:pPr>
    </w:p>
    <w:p>
      <w:pPr>
        <w:ind w:right="540"/>
        <w:spacing w:after="0" w:line="254" w:lineRule="auto"/>
        <w:rPr>
          <w:sz w:val="20"/>
          <w:szCs w:val="20"/>
          <w:color w:val="auto"/>
        </w:rPr>
      </w:pPr>
      <w:r>
        <w:rPr>
          <w:rFonts w:ascii="Arial" w:cs="Arial" w:eastAsia="Arial" w:hAnsi="Arial"/>
          <w:sz w:val="17"/>
          <w:szCs w:val="17"/>
          <w:color w:val="auto"/>
        </w:rPr>
        <w:t>base salary for Senior Vice Presidents and Elected Vice Presidents</w:t>
      </w:r>
    </w:p>
    <w:p>
      <w:pPr>
        <w:spacing w:after="0" w:line="189" w:lineRule="exact"/>
        <w:rPr>
          <w:sz w:val="20"/>
          <w:szCs w:val="20"/>
          <w:color w:val="auto"/>
        </w:rPr>
      </w:pPr>
    </w:p>
    <w:p>
      <w:pPr>
        <w:sectPr>
          <w:pgSz w:w="11900" w:h="16838" w:orient="portrait"/>
          <w:cols w:equalWidth="0" w:num="4">
            <w:col w:w="2180" w:space="720"/>
            <w:col w:w="2300" w:space="500"/>
            <w:col w:w="2300" w:space="540"/>
            <w:col w:w="2660"/>
          </w:cols>
          <w:pgMar w:left="320" w:top="609" w:right="379" w:bottom="1440" w:gutter="0" w:footer="0" w:header="0"/>
          <w:type w:val="continuous"/>
        </w:sectPr>
      </w:pPr>
    </w:p>
    <w:p>
      <w:pPr>
        <w:spacing w:after="0" w:line="268" w:lineRule="auto"/>
        <w:rPr>
          <w:sz w:val="20"/>
          <w:szCs w:val="20"/>
          <w:color w:val="auto"/>
        </w:rPr>
      </w:pPr>
      <w:r>
        <w:rPr>
          <w:rFonts w:ascii="Arial" w:cs="Arial" w:eastAsia="Arial" w:hAnsi="Arial"/>
          <w:sz w:val="17"/>
          <w:szCs w:val="17"/>
          <w:color w:val="auto"/>
        </w:rPr>
        <w:t>NEOs are required to achieve ownership levels within five years of assuming their role and must hold net shares from vested RSUs and PSUs and net shares from options exercised until the value of the shares equals the specified multiple of base salary. The securities counted toward their respective target threshold include common stock, unvested RSUs, and stock units under our 401(k) plans and other deferral plans. Unvested PSUs at target are not counted towards ownership levels. As of December 31, 2020, each of our NEOs had exceeded their respective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56515</wp:posOffset>
            </wp:positionV>
            <wp:extent cx="5837555" cy="17399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37555" cy="173990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2131060</wp:posOffset>
            </wp:positionV>
            <wp:extent cx="969010" cy="2228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56</w:t>
      </w:r>
    </w:p>
    <w:p>
      <w:pPr>
        <w:sectPr>
          <w:pgSz w:w="11900" w:h="16838" w:orient="portrait"/>
          <w:cols w:equalWidth="0" w:num="1">
            <w:col w:w="11200"/>
          </w:cols>
          <w:pgMar w:left="320" w:top="609" w:right="37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475C90"/>
        </w:rPr>
        <w:t>Benefit, Retirement and Perquisite Programs</w:t>
      </w:r>
    </w:p>
    <w:p>
      <w:pPr>
        <w:spacing w:after="0" w:line="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offer other compensatory arrangements to our NEOs. The purpose for these benefits is to ensure security of executives, provide assistance with business-related expenses, and be competitive with the other companies in our industry. Below is a summary of programs available to our NEOs. Further details are described in footnotes to the Summary Compensation Table on page 58.</w:t>
      </w:r>
    </w:p>
    <w:p>
      <w:pPr>
        <w:spacing w:after="0" w:line="4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002F6C"/>
        </w:rPr>
        <w:t xml:space="preserve">Health, Welfare and Retirement Benefits. </w:t>
      </w:r>
      <w:r>
        <w:rPr>
          <w:rFonts w:ascii="Arial" w:cs="Arial" w:eastAsia="Arial" w:hAnsi="Arial"/>
          <w:sz w:val="17"/>
          <w:szCs w:val="17"/>
          <w:color w:val="000000"/>
        </w:rPr>
        <w:t>Our NEOs are eligible for savings, pension, medical, disability, and life insurance benefits under the</w:t>
      </w:r>
      <w:r>
        <w:rPr>
          <w:rFonts w:ascii="Arial" w:cs="Arial" w:eastAsia="Arial" w:hAnsi="Arial"/>
          <w:sz w:val="17"/>
          <w:szCs w:val="17"/>
          <w:b w:val="1"/>
          <w:bCs w:val="1"/>
          <w:color w:val="002F6C"/>
        </w:rPr>
        <w:t xml:space="preserve"> </w:t>
      </w:r>
      <w:r>
        <w:rPr>
          <w:rFonts w:ascii="Arial" w:cs="Arial" w:eastAsia="Arial" w:hAnsi="Arial"/>
          <w:sz w:val="17"/>
          <w:szCs w:val="17"/>
          <w:color w:val="000000"/>
        </w:rPr>
        <w:t>plans available to salaried, non-union employees. We offer supplemental pension and savings plans to make up for benefits that otherwise would be unavailable due to Internal Revenue Service (IRS) limits on qualified plans. These plans are restorative and do not provide an enhanced benefit. We also offer a plan for the deferral of short-term and long-term cash performance incentive compensation. Pension and supplemental pension plans that the NEOs participate in were completely frozen effective January 1, 2020.</w:t>
      </w:r>
    </w:p>
    <w:p>
      <w:pPr>
        <w:spacing w:after="0" w:line="1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002F6C"/>
        </w:rPr>
        <w:t xml:space="preserve">Perquisites and Security. </w:t>
      </w:r>
      <w:r>
        <w:rPr>
          <w:rFonts w:ascii="Arial" w:cs="Arial" w:eastAsia="Arial" w:hAnsi="Arial"/>
          <w:sz w:val="17"/>
          <w:szCs w:val="17"/>
          <w:color w:val="000000"/>
        </w:rPr>
        <w:t>Perquisites provided to the NEOs include executive physicals, relocation assistance (when applicable) and personal</w:t>
      </w:r>
      <w:r>
        <w:rPr>
          <w:rFonts w:ascii="Arial" w:cs="Arial" w:eastAsia="Arial" w:hAnsi="Arial"/>
          <w:sz w:val="17"/>
          <w:szCs w:val="17"/>
          <w:b w:val="1"/>
          <w:bCs w:val="1"/>
          <w:color w:val="002F6C"/>
        </w:rPr>
        <w:t xml:space="preserve"> </w:t>
      </w:r>
      <w:r>
        <w:rPr>
          <w:rFonts w:ascii="Arial" w:cs="Arial" w:eastAsia="Arial" w:hAnsi="Arial"/>
          <w:sz w:val="17"/>
          <w:szCs w:val="17"/>
          <w:color w:val="000000"/>
        </w:rPr>
        <w:t>travel on the corporate aircraft, as well as home and personal security as needed to address security concerns arising out of our business. We believe security is necessary and generally provided to executives within our industry given the nature of our business. In the event of a threat to an executive officer, the CBS Committee reviews the security recommended by our Chief Security Officer, and approves accordingly. Furthermore, our Board has directed our CEO to use corporate aircraft for security reasons while on personal travel. Other NEOs may use the corporate aircraft for personal travel dependent upon circumstances and availability. For 2020, personal use of the corporate aircraft for Mr. Taiclet and Ms. Hewson amounted to $284,175 and $284,495, respectively. For Mr. Taiclet and Mr. St. John, the perquisites amounts reported for 2020 included $295,281 and $116,400, respectively, associated with their relocation expenses incurred during 2020 and pursuant to our relocation policy.</w:t>
      </w:r>
    </w:p>
    <w:p>
      <w:pPr>
        <w:spacing w:after="0" w:line="2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002F6C"/>
        </w:rPr>
        <w:t xml:space="preserve">Tax Assistance. </w:t>
      </w:r>
      <w:r>
        <w:rPr>
          <w:rFonts w:ascii="Arial" w:cs="Arial" w:eastAsia="Arial" w:hAnsi="Arial"/>
          <w:sz w:val="17"/>
          <w:szCs w:val="17"/>
          <w:color w:val="000000"/>
        </w:rPr>
        <w:t>We do not have agreements or severance arrangements that provide tax gross-ups for excise taxes imposed as a result of a</w:t>
      </w:r>
      <w:r>
        <w:rPr>
          <w:rFonts w:ascii="Arial" w:cs="Arial" w:eastAsia="Arial" w:hAnsi="Arial"/>
          <w:sz w:val="17"/>
          <w:szCs w:val="17"/>
          <w:b w:val="1"/>
          <w:bCs w:val="1"/>
          <w:color w:val="002F6C"/>
        </w:rPr>
        <w:t xml:space="preserve"> </w:t>
      </w:r>
      <w:r>
        <w:rPr>
          <w:rFonts w:ascii="Arial" w:cs="Arial" w:eastAsia="Arial" w:hAnsi="Arial"/>
          <w:sz w:val="17"/>
          <w:szCs w:val="17"/>
          <w:color w:val="000000"/>
        </w:rPr>
        <w:t>change in control. In 2020, we provided tax assistance for taxable security expenses, relocation-related expenses in accordance with our relocation policies, and travel expenses for a family member accompanying a NEO for a business reason. In addition, we pay an amount estimated to cover the state income tax imposed on employees who became subject to income tax in a state other than their state of residence due to business travel.</w:t>
      </w:r>
    </w:p>
    <w:p>
      <w:pPr>
        <w:spacing w:after="0" w:line="6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Tax assistance was provided for these items because the associated tax liability imposed on the executive would not have been incurred unless business reasons required the items to be provided or the executive to travel to the non-resident state. For Ms. Hewson, the total tax assistance amount reported for 2020 included a $61,256 payment attributable to non-resident state income taxes, including payment associated with long-term incentive awards, which were incurred as a result of her business travel to a state other than her state of residence. In connection with their new positions, Mr. Taiclet, Mr. Possenriede and Mr. St. John relocated during 2020, 2019 and 2019, respectively, and incurred certain related expenses that were tax-assisted under our relocation policy. For Mr. Taiclet and Mr. St. John, the total tax assistance amounts reported for 2020 included $174,136 and $68,204, respectively, associated with their relocation expenses incurred pursuant to our relocation policy.</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475C90"/>
        </w:rPr>
        <w:t>Post-Employment, Change in Control, Divestiture and Severance Benefits</w:t>
      </w:r>
    </w:p>
    <w:p>
      <w:pPr>
        <w:spacing w:after="0" w:line="7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NEOs do not have employment agreements but participate in the Lockheed Martin Corporation Executive Severance Plan. Benefits are payable under this plan in the event of a Corporation-initiated termination of employment other than for cause. All of the NEOs are covered under the plan. The benefit payable in a lump sum under the plan is two weeks of basic severance plus a supplemental payment of one times the NEO’s base salary and the equivalent of one year’s target annual incentive bonus. For the CEO, the multiplier is 2.99 instead of one. NEOs participating in the plan also receive a lump sum payment to cover the cost of medical benefits for one year in addition to outplacement and relocation services. To receive the supplemental severance benefit, the NEO must execute a release of claims and an agreement containing post-employment, non-compete and non-solicitation covenants identical to those included in our NEOs’ LTI award agreements.</w:t>
      </w:r>
    </w:p>
    <w:p>
      <w:pPr>
        <w:spacing w:after="0" w:line="7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With respect to LTI, upon certain terminations of employment, including death, disability, retirement, layoff, divestiture or a change in control, the NEOs may be eligible for continued vesting on the normal schedule, immediate payment of benefits previously earned or accelerated vesting of LTI in full or on a pro rata basis. The type of event and the nature of the benefit determine which of these approaches will apply. The purpose of these provisions is to protect previously earned or granted benefits by making them available following the specified event. We view the vesting (or continued vesting) to be an important retention feature for senior-level employees. Because benefits paid at termination consist of previously granted or earned benefits, we do not consider termination benefits as a separate item in compensation decisions. Our LTI awards do not provide for tax assistance.</w:t>
      </w:r>
    </w:p>
    <w:p>
      <w:pPr>
        <w:spacing w:after="0" w:line="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the event of a change in control, our plans provide for the acceleration of the payment of the non-qualified portion of earned pension benefits and non-qualified deferred compensation. All LTI awards require a “double trigger” for vesting to accelerate (both a change in control and a qualifying termination of employment), unless the successor does not assume or continue the awards or provide substitute awards.</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57</w:t>
      </w:r>
    </w:p>
    <w:p>
      <w:pPr>
        <w:sectPr>
          <w:pgSz w:w="11900" w:h="16838" w:orient="portrait"/>
          <w:cols w:equalWidth="0" w:num="1">
            <w:col w:w="11240"/>
          </w:cols>
          <w:pgMar w:left="320" w:top="609" w:right="339" w:bottom="1440" w:gutter="0" w:footer="0" w:header="0"/>
        </w:sectPr>
      </w:pPr>
    </w:p>
    <w:bookmarkStart w:id="61" w:name="page62"/>
    <w:bookmarkEnd w:id="61"/>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Summary Compensation Table</w:t>
      </w:r>
    </w:p>
    <w:p>
      <w:pPr>
        <w:spacing w:after="0" w:line="1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following table shows annual and long-term compensation awarded, earned or paid for services in all capacities to the NEOs for the fiscal year ended December 31, 2020 and, where applicable, the prior fiscal years. Numbers have been rounded to the nearest dollar. Mr. Taiclet received compensation for service as a non-employee director until June 14, 2020. Mr. Taiclet's director compensation is included in Stock Awards column (e) and All Other Compensation column (i).</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Borders>
              <w:top w:val="single" w:sz="8" w:color="E5E7EF"/>
            </w:tcBorders>
            <w:shd w:val="clear" w:color="auto" w:fill="E5E7EF"/>
          </w:tcPr>
          <w:p>
            <w:pPr>
              <w:spacing w:after="0"/>
              <w:rPr>
                <w:sz w:val="14"/>
                <w:szCs w:val="14"/>
                <w:color w:val="auto"/>
              </w:rPr>
            </w:pPr>
          </w:p>
        </w:tc>
        <w:tc>
          <w:tcPr>
            <w:tcW w:w="640" w:type="dxa"/>
            <w:vAlign w:val="bottom"/>
            <w:tcBorders>
              <w:top w:val="single" w:sz="8" w:color="E5E7EF"/>
            </w:tcBorders>
            <w:shd w:val="clear" w:color="auto" w:fill="E5E7EF"/>
          </w:tcPr>
          <w:p>
            <w:pPr>
              <w:spacing w:after="0"/>
              <w:rPr>
                <w:sz w:val="14"/>
                <w:szCs w:val="14"/>
                <w:color w:val="auto"/>
              </w:rPr>
            </w:pPr>
          </w:p>
        </w:tc>
        <w:tc>
          <w:tcPr>
            <w:tcW w:w="860" w:type="dxa"/>
            <w:vAlign w:val="bottom"/>
            <w:tcBorders>
              <w:top w:val="single" w:sz="8" w:color="E5E7EF"/>
            </w:tcBorders>
            <w:shd w:val="clear" w:color="auto" w:fill="E5E7EF"/>
          </w:tcPr>
          <w:p>
            <w:pPr>
              <w:spacing w:after="0"/>
              <w:rPr>
                <w:sz w:val="14"/>
                <w:szCs w:val="14"/>
                <w:color w:val="auto"/>
              </w:rPr>
            </w:pPr>
          </w:p>
        </w:tc>
        <w:tc>
          <w:tcPr>
            <w:tcW w:w="40" w:type="dxa"/>
            <w:vAlign w:val="bottom"/>
            <w:tcBorders>
              <w:top w:val="single" w:sz="8" w:color="E5E7EF"/>
            </w:tcBorders>
            <w:shd w:val="clear" w:color="auto" w:fill="E5E7EF"/>
          </w:tcPr>
          <w:p>
            <w:pPr>
              <w:spacing w:after="0"/>
              <w:rPr>
                <w:sz w:val="14"/>
                <w:szCs w:val="14"/>
                <w:color w:val="auto"/>
              </w:rPr>
            </w:pPr>
          </w:p>
        </w:tc>
        <w:tc>
          <w:tcPr>
            <w:tcW w:w="1120" w:type="dxa"/>
            <w:vAlign w:val="bottom"/>
            <w:tcBorders>
              <w:top w:val="single" w:sz="8" w:color="E5E7EF"/>
            </w:tcBorders>
            <w:shd w:val="clear" w:color="auto" w:fill="E5E7EF"/>
          </w:tcPr>
          <w:p>
            <w:pPr>
              <w:spacing w:after="0"/>
              <w:rPr>
                <w:sz w:val="14"/>
                <w:szCs w:val="14"/>
                <w:color w:val="auto"/>
              </w:rPr>
            </w:pPr>
          </w:p>
        </w:tc>
        <w:tc>
          <w:tcPr>
            <w:tcW w:w="1160" w:type="dxa"/>
            <w:vAlign w:val="bottom"/>
            <w:tcBorders>
              <w:top w:val="single" w:sz="8" w:color="E5E7EF"/>
            </w:tcBorders>
            <w:shd w:val="clear" w:color="auto" w:fill="E5E7EF"/>
          </w:tcPr>
          <w:p>
            <w:pPr>
              <w:spacing w:after="0"/>
              <w:rPr>
                <w:sz w:val="14"/>
                <w:szCs w:val="14"/>
                <w:color w:val="auto"/>
              </w:rPr>
            </w:pPr>
          </w:p>
        </w:tc>
        <w:tc>
          <w:tcPr>
            <w:tcW w:w="1160" w:type="dxa"/>
            <w:vAlign w:val="bottom"/>
            <w:tcBorders>
              <w:top w:val="single" w:sz="8" w:color="E5E7EF"/>
            </w:tcBorders>
            <w:shd w:val="clear" w:color="auto" w:fill="E5E7EF"/>
          </w:tcPr>
          <w:p>
            <w:pPr>
              <w:jc w:val="right"/>
              <w:ind w:right="132"/>
              <w:spacing w:after="0"/>
              <w:rPr>
                <w:sz w:val="20"/>
                <w:szCs w:val="20"/>
                <w:color w:val="auto"/>
              </w:rPr>
            </w:pPr>
            <w:r>
              <w:rPr>
                <w:rFonts w:ascii="Arial" w:cs="Arial" w:eastAsia="Arial" w:hAnsi="Arial"/>
                <w:sz w:val="13"/>
                <w:szCs w:val="13"/>
                <w:color w:val="auto"/>
              </w:rPr>
              <w:t>Change in</w:t>
            </w:r>
          </w:p>
        </w:tc>
        <w:tc>
          <w:tcPr>
            <w:tcW w:w="1100" w:type="dxa"/>
            <w:vAlign w:val="bottom"/>
            <w:tcBorders>
              <w:top w:val="single" w:sz="8" w:color="E5E7EF"/>
            </w:tcBorders>
            <w:shd w:val="clear" w:color="auto" w:fill="E5E7EF"/>
          </w:tcPr>
          <w:p>
            <w:pPr>
              <w:spacing w:after="0"/>
              <w:rPr>
                <w:sz w:val="14"/>
                <w:szCs w:val="14"/>
                <w:color w:val="auto"/>
              </w:rPr>
            </w:pPr>
          </w:p>
        </w:tc>
        <w:tc>
          <w:tcPr>
            <w:tcW w:w="900" w:type="dxa"/>
            <w:vAlign w:val="bottom"/>
            <w:tcBorders>
              <w:top w:val="single" w:sz="8" w:color="E5E7EF"/>
              <w:right w:val="single" w:sz="8" w:color="002E6D"/>
            </w:tcBorders>
            <w:shd w:val="clear" w:color="auto" w:fill="E5E7EF"/>
          </w:tcPr>
          <w:p>
            <w:pPr>
              <w:spacing w:after="0"/>
              <w:rPr>
                <w:sz w:val="14"/>
                <w:szCs w:val="14"/>
                <w:color w:val="auto"/>
              </w:rPr>
            </w:pPr>
          </w:p>
        </w:tc>
        <w:tc>
          <w:tcPr>
            <w:tcW w:w="960" w:type="dxa"/>
            <w:vAlign w:val="bottom"/>
            <w:tcBorders>
              <w:top w:val="single" w:sz="8" w:color="002E6D"/>
              <w:right w:val="single" w:sz="8" w:color="002E6D"/>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E5E7EF"/>
          </w:tcPr>
          <w:p>
            <w:pPr>
              <w:spacing w:after="0"/>
              <w:rPr>
                <w:sz w:val="12"/>
                <w:szCs w:val="12"/>
                <w:color w:val="auto"/>
              </w:rPr>
            </w:pPr>
          </w:p>
        </w:tc>
        <w:tc>
          <w:tcPr>
            <w:tcW w:w="640" w:type="dxa"/>
            <w:vAlign w:val="bottom"/>
            <w:shd w:val="clear" w:color="auto" w:fill="E5E7EF"/>
          </w:tcPr>
          <w:p>
            <w:pPr>
              <w:spacing w:after="0"/>
              <w:rPr>
                <w:sz w:val="12"/>
                <w:szCs w:val="12"/>
                <w:color w:val="auto"/>
              </w:rPr>
            </w:pPr>
          </w:p>
        </w:tc>
        <w:tc>
          <w:tcPr>
            <w:tcW w:w="860" w:type="dxa"/>
            <w:vAlign w:val="bottom"/>
            <w:shd w:val="clear" w:color="auto" w:fill="E5E7EF"/>
          </w:tcPr>
          <w:p>
            <w:pPr>
              <w:spacing w:after="0"/>
              <w:rPr>
                <w:sz w:val="12"/>
                <w:szCs w:val="12"/>
                <w:color w:val="auto"/>
              </w:rPr>
            </w:pPr>
          </w:p>
        </w:tc>
        <w:tc>
          <w:tcPr>
            <w:tcW w:w="40" w:type="dxa"/>
            <w:vAlign w:val="bottom"/>
            <w:shd w:val="clear" w:color="auto" w:fill="E5E7EF"/>
          </w:tcPr>
          <w:p>
            <w:pPr>
              <w:spacing w:after="0"/>
              <w:rPr>
                <w:sz w:val="12"/>
                <w:szCs w:val="12"/>
                <w:color w:val="auto"/>
              </w:rPr>
            </w:pPr>
          </w:p>
        </w:tc>
        <w:tc>
          <w:tcPr>
            <w:tcW w:w="1120" w:type="dxa"/>
            <w:vAlign w:val="bottom"/>
            <w:shd w:val="clear" w:color="auto" w:fill="E5E7EF"/>
          </w:tcPr>
          <w:p>
            <w:pPr>
              <w:spacing w:after="0"/>
              <w:rPr>
                <w:sz w:val="12"/>
                <w:szCs w:val="12"/>
                <w:color w:val="auto"/>
              </w:rPr>
            </w:pPr>
          </w:p>
        </w:tc>
        <w:tc>
          <w:tcPr>
            <w:tcW w:w="1160" w:type="dxa"/>
            <w:vAlign w:val="bottom"/>
            <w:shd w:val="clear" w:color="auto" w:fill="E5E7EF"/>
          </w:tcPr>
          <w:p>
            <w:pPr>
              <w:spacing w:after="0"/>
              <w:rPr>
                <w:sz w:val="12"/>
                <w:szCs w:val="12"/>
                <w:color w:val="auto"/>
              </w:rPr>
            </w:pPr>
          </w:p>
        </w:tc>
        <w:tc>
          <w:tcPr>
            <w:tcW w:w="1160" w:type="dxa"/>
            <w:vAlign w:val="bottom"/>
            <w:shd w:val="clear" w:color="auto" w:fill="E5E7EF"/>
          </w:tcPr>
          <w:p>
            <w:pPr>
              <w:jc w:val="right"/>
              <w:ind w:right="132"/>
              <w:spacing w:after="0"/>
              <w:rPr>
                <w:sz w:val="20"/>
                <w:szCs w:val="20"/>
                <w:color w:val="auto"/>
              </w:rPr>
            </w:pPr>
            <w:r>
              <w:rPr>
                <w:rFonts w:ascii="Arial" w:cs="Arial" w:eastAsia="Arial" w:hAnsi="Arial"/>
                <w:sz w:val="13"/>
                <w:szCs w:val="13"/>
                <w:color w:val="auto"/>
              </w:rPr>
              <w:t>Pension</w:t>
            </w:r>
          </w:p>
        </w:tc>
        <w:tc>
          <w:tcPr>
            <w:tcW w:w="1100" w:type="dxa"/>
            <w:vAlign w:val="bottom"/>
            <w:shd w:val="clear" w:color="auto" w:fill="E5E7EF"/>
          </w:tcPr>
          <w:p>
            <w:pPr>
              <w:spacing w:after="0"/>
              <w:rPr>
                <w:sz w:val="12"/>
                <w:szCs w:val="12"/>
                <w:color w:val="auto"/>
              </w:rPr>
            </w:pPr>
          </w:p>
        </w:tc>
        <w:tc>
          <w:tcPr>
            <w:tcW w:w="900" w:type="dxa"/>
            <w:vAlign w:val="bottom"/>
            <w:tcBorders>
              <w:right w:val="single" w:sz="8" w:color="002E6D"/>
            </w:tcBorders>
            <w:shd w:val="clear" w:color="auto" w:fill="E5E7EF"/>
          </w:tcPr>
          <w:p>
            <w:pPr>
              <w:spacing w:after="0"/>
              <w:rPr>
                <w:sz w:val="12"/>
                <w:szCs w:val="12"/>
                <w:color w:val="auto"/>
              </w:rPr>
            </w:pPr>
          </w:p>
        </w:tc>
        <w:tc>
          <w:tcPr>
            <w:tcW w:w="960" w:type="dxa"/>
            <w:vAlign w:val="bottom"/>
            <w:tcBorders>
              <w:right w:val="single" w:sz="8" w:color="002E6D"/>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E5E7EF"/>
          </w:tcPr>
          <w:p>
            <w:pPr>
              <w:spacing w:after="0"/>
              <w:rPr>
                <w:sz w:val="12"/>
                <w:szCs w:val="12"/>
                <w:color w:val="auto"/>
              </w:rPr>
            </w:pPr>
          </w:p>
        </w:tc>
        <w:tc>
          <w:tcPr>
            <w:tcW w:w="640" w:type="dxa"/>
            <w:vAlign w:val="bottom"/>
            <w:shd w:val="clear" w:color="auto" w:fill="E5E7EF"/>
          </w:tcPr>
          <w:p>
            <w:pPr>
              <w:spacing w:after="0"/>
              <w:rPr>
                <w:sz w:val="12"/>
                <w:szCs w:val="12"/>
                <w:color w:val="auto"/>
              </w:rPr>
            </w:pPr>
          </w:p>
        </w:tc>
        <w:tc>
          <w:tcPr>
            <w:tcW w:w="860" w:type="dxa"/>
            <w:vAlign w:val="bottom"/>
            <w:shd w:val="clear" w:color="auto" w:fill="E5E7EF"/>
          </w:tcPr>
          <w:p>
            <w:pPr>
              <w:spacing w:after="0"/>
              <w:rPr>
                <w:sz w:val="12"/>
                <w:szCs w:val="12"/>
                <w:color w:val="auto"/>
              </w:rPr>
            </w:pPr>
          </w:p>
        </w:tc>
        <w:tc>
          <w:tcPr>
            <w:tcW w:w="40" w:type="dxa"/>
            <w:vAlign w:val="bottom"/>
            <w:shd w:val="clear" w:color="auto" w:fill="E5E7EF"/>
          </w:tcPr>
          <w:p>
            <w:pPr>
              <w:spacing w:after="0"/>
              <w:rPr>
                <w:sz w:val="12"/>
                <w:szCs w:val="12"/>
                <w:color w:val="auto"/>
              </w:rPr>
            </w:pPr>
          </w:p>
        </w:tc>
        <w:tc>
          <w:tcPr>
            <w:tcW w:w="1120" w:type="dxa"/>
            <w:vAlign w:val="bottom"/>
            <w:shd w:val="clear" w:color="auto" w:fill="E5E7EF"/>
          </w:tcPr>
          <w:p>
            <w:pPr>
              <w:spacing w:after="0"/>
              <w:rPr>
                <w:sz w:val="12"/>
                <w:szCs w:val="12"/>
                <w:color w:val="auto"/>
              </w:rPr>
            </w:pPr>
          </w:p>
        </w:tc>
        <w:tc>
          <w:tcPr>
            <w:tcW w:w="1160" w:type="dxa"/>
            <w:vAlign w:val="bottom"/>
            <w:shd w:val="clear" w:color="auto" w:fill="E5E7EF"/>
          </w:tcPr>
          <w:p>
            <w:pPr>
              <w:spacing w:after="0"/>
              <w:rPr>
                <w:sz w:val="12"/>
                <w:szCs w:val="12"/>
                <w:color w:val="auto"/>
              </w:rPr>
            </w:pPr>
          </w:p>
        </w:tc>
        <w:tc>
          <w:tcPr>
            <w:tcW w:w="1160" w:type="dxa"/>
            <w:vAlign w:val="bottom"/>
            <w:shd w:val="clear" w:color="auto" w:fill="E5E7EF"/>
          </w:tcPr>
          <w:p>
            <w:pPr>
              <w:jc w:val="right"/>
              <w:ind w:right="132"/>
              <w:spacing w:after="0"/>
              <w:rPr>
                <w:sz w:val="20"/>
                <w:szCs w:val="20"/>
                <w:color w:val="auto"/>
              </w:rPr>
            </w:pPr>
            <w:r>
              <w:rPr>
                <w:rFonts w:ascii="Arial" w:cs="Arial" w:eastAsia="Arial" w:hAnsi="Arial"/>
                <w:sz w:val="13"/>
                <w:szCs w:val="13"/>
                <w:color w:val="auto"/>
              </w:rPr>
              <w:t>Value and</w:t>
            </w:r>
          </w:p>
        </w:tc>
        <w:tc>
          <w:tcPr>
            <w:tcW w:w="1100" w:type="dxa"/>
            <w:vAlign w:val="bottom"/>
            <w:shd w:val="clear" w:color="auto" w:fill="E5E7EF"/>
          </w:tcPr>
          <w:p>
            <w:pPr>
              <w:spacing w:after="0"/>
              <w:rPr>
                <w:sz w:val="12"/>
                <w:szCs w:val="12"/>
                <w:color w:val="auto"/>
              </w:rPr>
            </w:pPr>
          </w:p>
        </w:tc>
        <w:tc>
          <w:tcPr>
            <w:tcW w:w="900" w:type="dxa"/>
            <w:vAlign w:val="bottom"/>
            <w:tcBorders>
              <w:right w:val="single" w:sz="8" w:color="002E6D"/>
            </w:tcBorders>
            <w:shd w:val="clear" w:color="auto" w:fill="E5E7EF"/>
          </w:tcPr>
          <w:p>
            <w:pPr>
              <w:spacing w:after="0"/>
              <w:rPr>
                <w:sz w:val="12"/>
                <w:szCs w:val="12"/>
                <w:color w:val="auto"/>
              </w:rPr>
            </w:pPr>
          </w:p>
        </w:tc>
        <w:tc>
          <w:tcPr>
            <w:tcW w:w="960" w:type="dxa"/>
            <w:vAlign w:val="bottom"/>
            <w:tcBorders>
              <w:right w:val="single" w:sz="8" w:color="002E6D"/>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E5E7EF"/>
          </w:tcPr>
          <w:p>
            <w:pPr>
              <w:spacing w:after="0"/>
              <w:rPr>
                <w:sz w:val="12"/>
                <w:szCs w:val="12"/>
                <w:color w:val="auto"/>
              </w:rPr>
            </w:pPr>
          </w:p>
        </w:tc>
        <w:tc>
          <w:tcPr>
            <w:tcW w:w="640" w:type="dxa"/>
            <w:vAlign w:val="bottom"/>
            <w:shd w:val="clear" w:color="auto" w:fill="E5E7EF"/>
          </w:tcPr>
          <w:p>
            <w:pPr>
              <w:spacing w:after="0"/>
              <w:rPr>
                <w:sz w:val="12"/>
                <w:szCs w:val="12"/>
                <w:color w:val="auto"/>
              </w:rPr>
            </w:pPr>
          </w:p>
        </w:tc>
        <w:tc>
          <w:tcPr>
            <w:tcW w:w="860" w:type="dxa"/>
            <w:vAlign w:val="bottom"/>
            <w:shd w:val="clear" w:color="auto" w:fill="E5E7EF"/>
          </w:tcPr>
          <w:p>
            <w:pPr>
              <w:spacing w:after="0"/>
              <w:rPr>
                <w:sz w:val="12"/>
                <w:szCs w:val="12"/>
                <w:color w:val="auto"/>
              </w:rPr>
            </w:pPr>
          </w:p>
        </w:tc>
        <w:tc>
          <w:tcPr>
            <w:tcW w:w="40" w:type="dxa"/>
            <w:vAlign w:val="bottom"/>
            <w:shd w:val="clear" w:color="auto" w:fill="E5E7EF"/>
          </w:tcPr>
          <w:p>
            <w:pPr>
              <w:spacing w:after="0"/>
              <w:rPr>
                <w:sz w:val="12"/>
                <w:szCs w:val="12"/>
                <w:color w:val="auto"/>
              </w:rPr>
            </w:pPr>
          </w:p>
        </w:tc>
        <w:tc>
          <w:tcPr>
            <w:tcW w:w="1120" w:type="dxa"/>
            <w:vAlign w:val="bottom"/>
            <w:shd w:val="clear" w:color="auto" w:fill="E5E7EF"/>
          </w:tcPr>
          <w:p>
            <w:pPr>
              <w:spacing w:after="0"/>
              <w:rPr>
                <w:sz w:val="12"/>
                <w:szCs w:val="12"/>
                <w:color w:val="auto"/>
              </w:rPr>
            </w:pPr>
          </w:p>
        </w:tc>
        <w:tc>
          <w:tcPr>
            <w:tcW w:w="1160" w:type="dxa"/>
            <w:vAlign w:val="bottom"/>
            <w:shd w:val="clear" w:color="auto" w:fill="E5E7EF"/>
          </w:tcPr>
          <w:p>
            <w:pPr>
              <w:spacing w:after="0"/>
              <w:rPr>
                <w:sz w:val="12"/>
                <w:szCs w:val="12"/>
                <w:color w:val="auto"/>
              </w:rPr>
            </w:pPr>
          </w:p>
        </w:tc>
        <w:tc>
          <w:tcPr>
            <w:tcW w:w="1160" w:type="dxa"/>
            <w:vAlign w:val="bottom"/>
            <w:shd w:val="clear" w:color="auto" w:fill="E5E7EF"/>
          </w:tcPr>
          <w:p>
            <w:pPr>
              <w:jc w:val="right"/>
              <w:ind w:right="92"/>
              <w:spacing w:after="0"/>
              <w:rPr>
                <w:sz w:val="20"/>
                <w:szCs w:val="20"/>
                <w:color w:val="auto"/>
              </w:rPr>
            </w:pPr>
            <w:r>
              <w:rPr>
                <w:rFonts w:ascii="Arial" w:cs="Arial" w:eastAsia="Arial" w:hAnsi="Arial"/>
                <w:sz w:val="13"/>
                <w:szCs w:val="13"/>
                <w:color w:val="auto"/>
              </w:rPr>
              <w:t>Nonqualified</w:t>
            </w:r>
          </w:p>
        </w:tc>
        <w:tc>
          <w:tcPr>
            <w:tcW w:w="1100" w:type="dxa"/>
            <w:vAlign w:val="bottom"/>
            <w:shd w:val="clear" w:color="auto" w:fill="E5E7EF"/>
          </w:tcPr>
          <w:p>
            <w:pPr>
              <w:spacing w:after="0"/>
              <w:rPr>
                <w:sz w:val="12"/>
                <w:szCs w:val="12"/>
                <w:color w:val="auto"/>
              </w:rPr>
            </w:pPr>
          </w:p>
        </w:tc>
        <w:tc>
          <w:tcPr>
            <w:tcW w:w="900" w:type="dxa"/>
            <w:vAlign w:val="bottom"/>
            <w:tcBorders>
              <w:right w:val="single" w:sz="8" w:color="002E6D"/>
            </w:tcBorders>
            <w:shd w:val="clear" w:color="auto" w:fill="E5E7EF"/>
          </w:tcPr>
          <w:p>
            <w:pPr>
              <w:spacing w:after="0"/>
              <w:rPr>
                <w:sz w:val="12"/>
                <w:szCs w:val="12"/>
                <w:color w:val="auto"/>
              </w:rPr>
            </w:pPr>
          </w:p>
        </w:tc>
        <w:tc>
          <w:tcPr>
            <w:tcW w:w="960" w:type="dxa"/>
            <w:vAlign w:val="bottom"/>
            <w:tcBorders>
              <w:right w:val="single" w:sz="8" w:color="002E6D"/>
            </w:tcBorders>
          </w:tcPr>
          <w:p>
            <w:pPr>
              <w:jc w:val="right"/>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8"/>
        </w:trPr>
        <w:tc>
          <w:tcPr>
            <w:tcW w:w="3320" w:type="dxa"/>
            <w:vAlign w:val="bottom"/>
            <w:shd w:val="clear" w:color="auto" w:fill="E5E7EF"/>
          </w:tcPr>
          <w:p>
            <w:pPr>
              <w:spacing w:after="0"/>
              <w:rPr>
                <w:sz w:val="12"/>
                <w:szCs w:val="12"/>
                <w:color w:val="auto"/>
              </w:rPr>
            </w:pPr>
          </w:p>
        </w:tc>
        <w:tc>
          <w:tcPr>
            <w:tcW w:w="640" w:type="dxa"/>
            <w:vAlign w:val="bottom"/>
            <w:shd w:val="clear" w:color="auto" w:fill="E5E7EF"/>
          </w:tcPr>
          <w:p>
            <w:pPr>
              <w:spacing w:after="0"/>
              <w:rPr>
                <w:sz w:val="12"/>
                <w:szCs w:val="12"/>
                <w:color w:val="auto"/>
              </w:rPr>
            </w:pPr>
          </w:p>
        </w:tc>
        <w:tc>
          <w:tcPr>
            <w:tcW w:w="860" w:type="dxa"/>
            <w:vAlign w:val="bottom"/>
            <w:shd w:val="clear" w:color="auto" w:fill="E5E7EF"/>
          </w:tcPr>
          <w:p>
            <w:pPr>
              <w:spacing w:after="0"/>
              <w:rPr>
                <w:sz w:val="12"/>
                <w:szCs w:val="12"/>
                <w:color w:val="auto"/>
              </w:rPr>
            </w:pPr>
          </w:p>
        </w:tc>
        <w:tc>
          <w:tcPr>
            <w:tcW w:w="40" w:type="dxa"/>
            <w:vAlign w:val="bottom"/>
            <w:shd w:val="clear" w:color="auto" w:fill="E5E7EF"/>
          </w:tcPr>
          <w:p>
            <w:pPr>
              <w:spacing w:after="0"/>
              <w:rPr>
                <w:sz w:val="12"/>
                <w:szCs w:val="12"/>
                <w:color w:val="auto"/>
              </w:rPr>
            </w:pPr>
          </w:p>
        </w:tc>
        <w:tc>
          <w:tcPr>
            <w:tcW w:w="1120" w:type="dxa"/>
            <w:vAlign w:val="bottom"/>
            <w:shd w:val="clear" w:color="auto" w:fill="E5E7EF"/>
          </w:tcPr>
          <w:p>
            <w:pPr>
              <w:spacing w:after="0"/>
              <w:rPr>
                <w:sz w:val="12"/>
                <w:szCs w:val="12"/>
                <w:color w:val="auto"/>
              </w:rPr>
            </w:pPr>
          </w:p>
        </w:tc>
        <w:tc>
          <w:tcPr>
            <w:tcW w:w="1160" w:type="dxa"/>
            <w:vAlign w:val="bottom"/>
            <w:shd w:val="clear" w:color="auto" w:fill="E5E7EF"/>
          </w:tcPr>
          <w:p>
            <w:pPr>
              <w:jc w:val="right"/>
              <w:ind w:right="130"/>
              <w:spacing w:after="0"/>
              <w:rPr>
                <w:sz w:val="20"/>
                <w:szCs w:val="20"/>
                <w:color w:val="auto"/>
              </w:rPr>
            </w:pPr>
            <w:r>
              <w:rPr>
                <w:rFonts w:ascii="Arial" w:cs="Arial" w:eastAsia="Arial" w:hAnsi="Arial"/>
                <w:sz w:val="13"/>
                <w:szCs w:val="13"/>
                <w:color w:val="auto"/>
              </w:rPr>
              <w:t>Non-Equity</w:t>
            </w:r>
          </w:p>
        </w:tc>
        <w:tc>
          <w:tcPr>
            <w:tcW w:w="1160" w:type="dxa"/>
            <w:vAlign w:val="bottom"/>
            <w:shd w:val="clear" w:color="auto" w:fill="E5E7EF"/>
          </w:tcPr>
          <w:p>
            <w:pPr>
              <w:jc w:val="right"/>
              <w:ind w:right="132"/>
              <w:spacing w:after="0"/>
              <w:rPr>
                <w:sz w:val="20"/>
                <w:szCs w:val="20"/>
                <w:color w:val="auto"/>
              </w:rPr>
            </w:pPr>
            <w:r>
              <w:rPr>
                <w:rFonts w:ascii="Arial" w:cs="Arial" w:eastAsia="Arial" w:hAnsi="Arial"/>
                <w:sz w:val="13"/>
                <w:szCs w:val="13"/>
                <w:color w:val="auto"/>
              </w:rPr>
              <w:t>Deferred</w:t>
            </w:r>
          </w:p>
        </w:tc>
        <w:tc>
          <w:tcPr>
            <w:tcW w:w="1100" w:type="dxa"/>
            <w:vAlign w:val="bottom"/>
            <w:shd w:val="clear" w:color="auto" w:fill="E5E7EF"/>
          </w:tcPr>
          <w:p>
            <w:pPr>
              <w:spacing w:after="0"/>
              <w:rPr>
                <w:sz w:val="12"/>
                <w:szCs w:val="12"/>
                <w:color w:val="auto"/>
              </w:rPr>
            </w:pPr>
          </w:p>
        </w:tc>
        <w:tc>
          <w:tcPr>
            <w:tcW w:w="900" w:type="dxa"/>
            <w:vAlign w:val="bottom"/>
            <w:tcBorders>
              <w:right w:val="single" w:sz="8" w:color="002E6D"/>
            </w:tcBorders>
            <w:shd w:val="clear" w:color="auto" w:fill="E5E7EF"/>
          </w:tcPr>
          <w:p>
            <w:pPr>
              <w:spacing w:after="0"/>
              <w:rPr>
                <w:sz w:val="12"/>
                <w:szCs w:val="12"/>
                <w:color w:val="auto"/>
              </w:rPr>
            </w:pPr>
          </w:p>
        </w:tc>
        <w:tc>
          <w:tcPr>
            <w:tcW w:w="960" w:type="dxa"/>
            <w:vAlign w:val="bottom"/>
            <w:tcBorders>
              <w:right w:val="single" w:sz="8" w:color="002E6D"/>
            </w:tcBorders>
          </w:tcPr>
          <w:p>
            <w:pPr>
              <w:jc w:val="right"/>
              <w:ind w:right="10"/>
              <w:spacing w:after="0"/>
              <w:rPr>
                <w:sz w:val="20"/>
                <w:szCs w:val="20"/>
                <w:color w:val="auto"/>
              </w:rPr>
            </w:pPr>
            <w:r>
              <w:rPr>
                <w:rFonts w:ascii="Arial" w:cs="Arial" w:eastAsia="Arial" w:hAnsi="Arial"/>
                <w:sz w:val="13"/>
                <w:szCs w:val="13"/>
                <w:color w:val="auto"/>
              </w:rPr>
              <w:t>Without</w:t>
            </w:r>
          </w:p>
        </w:tc>
        <w:tc>
          <w:tcPr>
            <w:tcW w:w="0" w:type="dxa"/>
            <w:vAlign w:val="bottom"/>
          </w:tcPr>
          <w:p>
            <w:pPr>
              <w:spacing w:after="0"/>
              <w:rPr>
                <w:sz w:val="1"/>
                <w:szCs w:val="1"/>
                <w:color w:val="auto"/>
              </w:rPr>
            </w:pPr>
          </w:p>
        </w:tc>
      </w:tr>
      <w:tr>
        <w:trPr>
          <w:trHeight w:val="148"/>
        </w:trPr>
        <w:tc>
          <w:tcPr>
            <w:tcW w:w="3320" w:type="dxa"/>
            <w:vAlign w:val="bottom"/>
            <w:shd w:val="clear" w:color="auto" w:fill="E5E7EF"/>
          </w:tcPr>
          <w:p>
            <w:pPr>
              <w:spacing w:after="0"/>
              <w:rPr>
                <w:sz w:val="12"/>
                <w:szCs w:val="12"/>
                <w:color w:val="auto"/>
              </w:rPr>
            </w:pPr>
          </w:p>
        </w:tc>
        <w:tc>
          <w:tcPr>
            <w:tcW w:w="640" w:type="dxa"/>
            <w:vAlign w:val="bottom"/>
            <w:shd w:val="clear" w:color="auto" w:fill="E5E7EF"/>
          </w:tcPr>
          <w:p>
            <w:pPr>
              <w:spacing w:after="0"/>
              <w:rPr>
                <w:sz w:val="12"/>
                <w:szCs w:val="12"/>
                <w:color w:val="auto"/>
              </w:rPr>
            </w:pPr>
          </w:p>
        </w:tc>
        <w:tc>
          <w:tcPr>
            <w:tcW w:w="860" w:type="dxa"/>
            <w:vAlign w:val="bottom"/>
            <w:shd w:val="clear" w:color="auto" w:fill="E5E7EF"/>
          </w:tcPr>
          <w:p>
            <w:pPr>
              <w:spacing w:after="0"/>
              <w:rPr>
                <w:sz w:val="12"/>
                <w:szCs w:val="12"/>
                <w:color w:val="auto"/>
              </w:rPr>
            </w:pPr>
          </w:p>
        </w:tc>
        <w:tc>
          <w:tcPr>
            <w:tcW w:w="40" w:type="dxa"/>
            <w:vAlign w:val="bottom"/>
            <w:shd w:val="clear" w:color="auto" w:fill="E5E7EF"/>
          </w:tcPr>
          <w:p>
            <w:pPr>
              <w:spacing w:after="0"/>
              <w:rPr>
                <w:sz w:val="12"/>
                <w:szCs w:val="12"/>
                <w:color w:val="auto"/>
              </w:rPr>
            </w:pPr>
          </w:p>
        </w:tc>
        <w:tc>
          <w:tcPr>
            <w:tcW w:w="112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Stock</w:t>
            </w:r>
          </w:p>
        </w:tc>
        <w:tc>
          <w:tcPr>
            <w:tcW w:w="116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Incentive Plan</w:t>
            </w:r>
          </w:p>
        </w:tc>
        <w:tc>
          <w:tcPr>
            <w:tcW w:w="1160" w:type="dxa"/>
            <w:vAlign w:val="bottom"/>
            <w:shd w:val="clear" w:color="auto" w:fill="E5E7EF"/>
          </w:tcPr>
          <w:p>
            <w:pPr>
              <w:jc w:val="right"/>
              <w:ind w:right="92"/>
              <w:spacing w:after="0"/>
              <w:rPr>
                <w:sz w:val="20"/>
                <w:szCs w:val="20"/>
                <w:color w:val="auto"/>
              </w:rPr>
            </w:pPr>
            <w:r>
              <w:rPr>
                <w:rFonts w:ascii="Arial" w:cs="Arial" w:eastAsia="Arial" w:hAnsi="Arial"/>
                <w:sz w:val="13"/>
                <w:szCs w:val="13"/>
                <w:color w:val="auto"/>
              </w:rPr>
              <w:t>Compensation</w:t>
            </w:r>
          </w:p>
        </w:tc>
        <w:tc>
          <w:tcPr>
            <w:tcW w:w="1100" w:type="dxa"/>
            <w:vAlign w:val="bottom"/>
            <w:shd w:val="clear" w:color="auto" w:fill="E5E7EF"/>
          </w:tcPr>
          <w:p>
            <w:pPr>
              <w:jc w:val="right"/>
              <w:ind w:right="70"/>
              <w:spacing w:after="0"/>
              <w:rPr>
                <w:sz w:val="20"/>
                <w:szCs w:val="20"/>
                <w:color w:val="auto"/>
              </w:rPr>
            </w:pPr>
            <w:r>
              <w:rPr>
                <w:rFonts w:ascii="Arial" w:cs="Arial" w:eastAsia="Arial" w:hAnsi="Arial"/>
                <w:sz w:val="13"/>
                <w:szCs w:val="13"/>
                <w:color w:val="auto"/>
              </w:rPr>
              <w:t>All Other</w:t>
            </w:r>
          </w:p>
        </w:tc>
        <w:tc>
          <w:tcPr>
            <w:tcW w:w="900" w:type="dxa"/>
            <w:vAlign w:val="bottom"/>
            <w:tcBorders>
              <w:right w:val="single" w:sz="8" w:color="002E6D"/>
            </w:tcBorders>
            <w:shd w:val="clear" w:color="auto" w:fill="E5E7EF"/>
          </w:tcPr>
          <w:p>
            <w:pPr>
              <w:spacing w:after="0"/>
              <w:rPr>
                <w:sz w:val="12"/>
                <w:szCs w:val="12"/>
                <w:color w:val="auto"/>
              </w:rPr>
            </w:pPr>
          </w:p>
        </w:tc>
        <w:tc>
          <w:tcPr>
            <w:tcW w:w="960" w:type="dxa"/>
            <w:vAlign w:val="bottom"/>
            <w:tcBorders>
              <w:right w:val="single" w:sz="8" w:color="002E6D"/>
            </w:tcBorders>
          </w:tcPr>
          <w:p>
            <w:pPr>
              <w:jc w:val="right"/>
              <w:ind w:right="10"/>
              <w:spacing w:after="0"/>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52"/>
        </w:trPr>
        <w:tc>
          <w:tcPr>
            <w:tcW w:w="3320" w:type="dxa"/>
            <w:vAlign w:val="bottom"/>
            <w:shd w:val="clear" w:color="auto" w:fill="E5E7EF"/>
          </w:tcPr>
          <w:p>
            <w:pPr>
              <w:spacing w:after="0"/>
              <w:rPr>
                <w:sz w:val="13"/>
                <w:szCs w:val="13"/>
                <w:color w:val="auto"/>
              </w:rPr>
            </w:pPr>
          </w:p>
        </w:tc>
        <w:tc>
          <w:tcPr>
            <w:tcW w:w="640" w:type="dxa"/>
            <w:vAlign w:val="bottom"/>
            <w:shd w:val="clear" w:color="auto" w:fill="E5E7EF"/>
          </w:tcPr>
          <w:p>
            <w:pPr>
              <w:spacing w:after="0"/>
              <w:rPr>
                <w:sz w:val="13"/>
                <w:szCs w:val="13"/>
                <w:color w:val="auto"/>
              </w:rPr>
            </w:pPr>
          </w:p>
        </w:tc>
        <w:tc>
          <w:tcPr>
            <w:tcW w:w="900" w:type="dxa"/>
            <w:vAlign w:val="bottom"/>
            <w:gridSpan w:val="2"/>
            <w:shd w:val="clear" w:color="auto" w:fill="E5E7EF"/>
          </w:tcPr>
          <w:p>
            <w:pPr>
              <w:jc w:val="right"/>
              <w:ind w:right="20"/>
              <w:spacing w:after="0"/>
              <w:rPr>
                <w:sz w:val="20"/>
                <w:szCs w:val="20"/>
                <w:color w:val="auto"/>
              </w:rPr>
            </w:pPr>
            <w:r>
              <w:rPr>
                <w:rFonts w:ascii="Arial" w:cs="Arial" w:eastAsia="Arial" w:hAnsi="Arial"/>
                <w:sz w:val="13"/>
                <w:szCs w:val="13"/>
                <w:color w:val="auto"/>
              </w:rPr>
              <w:t>Salary</w:t>
            </w:r>
          </w:p>
        </w:tc>
        <w:tc>
          <w:tcPr>
            <w:tcW w:w="112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Awards</w:t>
            </w:r>
          </w:p>
        </w:tc>
        <w:tc>
          <w:tcPr>
            <w:tcW w:w="116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Compensation</w:t>
            </w:r>
          </w:p>
        </w:tc>
        <w:tc>
          <w:tcPr>
            <w:tcW w:w="1160" w:type="dxa"/>
            <w:vAlign w:val="bottom"/>
            <w:shd w:val="clear" w:color="auto" w:fill="E5E7EF"/>
          </w:tcPr>
          <w:p>
            <w:pPr>
              <w:jc w:val="right"/>
              <w:ind w:right="92"/>
              <w:spacing w:after="0"/>
              <w:rPr>
                <w:sz w:val="20"/>
                <w:szCs w:val="20"/>
                <w:color w:val="auto"/>
              </w:rPr>
            </w:pPr>
            <w:r>
              <w:rPr>
                <w:rFonts w:ascii="Arial" w:cs="Arial" w:eastAsia="Arial" w:hAnsi="Arial"/>
                <w:sz w:val="13"/>
                <w:szCs w:val="13"/>
                <w:color w:val="auto"/>
              </w:rPr>
              <w:t>Earnings</w:t>
            </w:r>
          </w:p>
        </w:tc>
        <w:tc>
          <w:tcPr>
            <w:tcW w:w="1100" w:type="dxa"/>
            <w:vAlign w:val="bottom"/>
            <w:shd w:val="clear" w:color="auto" w:fill="E5E7EF"/>
          </w:tcPr>
          <w:p>
            <w:pPr>
              <w:jc w:val="right"/>
              <w:ind w:right="30"/>
              <w:spacing w:after="0"/>
              <w:rPr>
                <w:sz w:val="20"/>
                <w:szCs w:val="20"/>
                <w:color w:val="auto"/>
              </w:rPr>
            </w:pPr>
            <w:r>
              <w:rPr>
                <w:rFonts w:ascii="Arial" w:cs="Arial" w:eastAsia="Arial" w:hAnsi="Arial"/>
                <w:sz w:val="13"/>
                <w:szCs w:val="13"/>
                <w:color w:val="auto"/>
              </w:rPr>
              <w:t>Compensation</w:t>
            </w:r>
          </w:p>
        </w:tc>
        <w:tc>
          <w:tcPr>
            <w:tcW w:w="900" w:type="dxa"/>
            <w:vAlign w:val="bottom"/>
            <w:tcBorders>
              <w:right w:val="single" w:sz="8" w:color="002E6D"/>
            </w:tcBorders>
            <w:shd w:val="clear" w:color="auto" w:fill="E5E7EF"/>
          </w:tcPr>
          <w:p>
            <w:pPr>
              <w:jc w:val="right"/>
              <w:spacing w:after="0"/>
              <w:rPr>
                <w:sz w:val="20"/>
                <w:szCs w:val="20"/>
                <w:color w:val="auto"/>
              </w:rPr>
            </w:pPr>
            <w:r>
              <w:rPr>
                <w:rFonts w:ascii="Arial" w:cs="Arial" w:eastAsia="Arial" w:hAnsi="Arial"/>
                <w:sz w:val="13"/>
                <w:szCs w:val="13"/>
                <w:color w:val="auto"/>
              </w:rPr>
              <w:t>Total</w:t>
            </w:r>
          </w:p>
        </w:tc>
        <w:tc>
          <w:tcPr>
            <w:tcW w:w="960" w:type="dxa"/>
            <w:vAlign w:val="bottom"/>
            <w:tcBorders>
              <w:right w:val="single" w:sz="8" w:color="002E6D"/>
            </w:tcBorders>
          </w:tcPr>
          <w:p>
            <w:pPr>
              <w:jc w:val="right"/>
              <w:spacing w:after="0"/>
              <w:rPr>
                <w:sz w:val="20"/>
                <w:szCs w:val="20"/>
                <w:color w:val="auto"/>
              </w:rPr>
            </w:pPr>
            <w:r>
              <w:rPr>
                <w:rFonts w:ascii="Arial" w:cs="Arial" w:eastAsia="Arial" w:hAnsi="Arial"/>
                <w:sz w:val="13"/>
                <w:szCs w:val="13"/>
                <w:color w:val="auto"/>
              </w:rPr>
              <w:t>Pension Value*</w:t>
            </w:r>
          </w:p>
        </w:tc>
        <w:tc>
          <w:tcPr>
            <w:tcW w:w="0" w:type="dxa"/>
            <w:vAlign w:val="bottom"/>
          </w:tcPr>
          <w:p>
            <w:pPr>
              <w:spacing w:after="0"/>
              <w:rPr>
                <w:sz w:val="1"/>
                <w:szCs w:val="1"/>
                <w:color w:val="auto"/>
              </w:rPr>
            </w:pPr>
          </w:p>
        </w:tc>
      </w:tr>
      <w:tr>
        <w:trPr>
          <w:trHeight w:val="232"/>
        </w:trPr>
        <w:tc>
          <w:tcPr>
            <w:tcW w:w="33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 and Principal Position</w:t>
            </w:r>
          </w:p>
        </w:tc>
        <w:tc>
          <w:tcPr>
            <w:tcW w:w="6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Year</w:t>
            </w:r>
          </w:p>
        </w:tc>
        <w:tc>
          <w:tcPr>
            <w:tcW w:w="900" w:type="dxa"/>
            <w:vAlign w:val="bottom"/>
            <w:tcBorders>
              <w:bottom w:val="single" w:sz="8" w:color="E5E7EF"/>
            </w:tcBorders>
            <w:gridSpan w:val="2"/>
            <w:shd w:val="clear" w:color="auto" w:fill="E5E7EF"/>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E5E7EF"/>
            </w:tcBorders>
            <w:shd w:val="clear" w:color="auto" w:fill="E5E7EF"/>
          </w:tcPr>
          <w:p>
            <w:pPr>
              <w:jc w:val="right"/>
              <w:ind w:right="92"/>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5E7EF"/>
            </w:tcBorders>
            <w:shd w:val="clear" w:color="auto" w:fill="E5E7EF"/>
          </w:tcPr>
          <w:p>
            <w:pPr>
              <w:jc w:val="right"/>
              <w:ind w:right="3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E5E7EF"/>
              <w:right w:val="single" w:sz="8" w:color="002E6D"/>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002E6D"/>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320" w:type="dxa"/>
            <w:vAlign w:val="bottom"/>
            <w:tcBorders>
              <w:top w:val="single" w:sz="8" w:color="959595"/>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640" w:type="dxa"/>
            <w:vAlign w:val="bottom"/>
            <w:tcBorders>
              <w:top w:val="single" w:sz="8" w:color="959595"/>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900" w:type="dxa"/>
            <w:vAlign w:val="bottom"/>
            <w:tcBorders>
              <w:top w:val="single" w:sz="8" w:color="959595"/>
              <w:bottom w:val="single" w:sz="8" w:color="E5E7EF"/>
            </w:tcBorders>
            <w:gridSpan w:val="2"/>
            <w:shd w:val="clear" w:color="auto" w:fill="E5E7EF"/>
          </w:tcPr>
          <w:p>
            <w:pPr>
              <w:jc w:val="right"/>
              <w:ind w:right="20"/>
              <w:spacing w:after="0"/>
              <w:rPr>
                <w:sz w:val="20"/>
                <w:szCs w:val="20"/>
                <w:color w:val="auto"/>
              </w:rPr>
            </w:pPr>
            <w:r>
              <w:rPr>
                <w:rFonts w:ascii="Arial" w:cs="Arial" w:eastAsia="Arial" w:hAnsi="Arial"/>
                <w:sz w:val="13"/>
                <w:szCs w:val="13"/>
                <w:color w:val="auto"/>
              </w:rPr>
              <w:t>(c)</w:t>
            </w:r>
          </w:p>
        </w:tc>
        <w:tc>
          <w:tcPr>
            <w:tcW w:w="1120" w:type="dxa"/>
            <w:vAlign w:val="bottom"/>
            <w:tcBorders>
              <w:top w:val="single" w:sz="8" w:color="959595"/>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(e)</w:t>
            </w:r>
          </w:p>
        </w:tc>
        <w:tc>
          <w:tcPr>
            <w:tcW w:w="1160" w:type="dxa"/>
            <w:vAlign w:val="bottom"/>
            <w:tcBorders>
              <w:top w:val="single" w:sz="8" w:color="959595"/>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(g)</w:t>
            </w:r>
          </w:p>
        </w:tc>
        <w:tc>
          <w:tcPr>
            <w:tcW w:w="1160" w:type="dxa"/>
            <w:vAlign w:val="bottom"/>
            <w:tcBorders>
              <w:top w:val="single" w:sz="8" w:color="959595"/>
              <w:bottom w:val="single" w:sz="8" w:color="E5E7EF"/>
            </w:tcBorders>
            <w:shd w:val="clear" w:color="auto" w:fill="E5E7EF"/>
          </w:tcPr>
          <w:p>
            <w:pPr>
              <w:jc w:val="right"/>
              <w:ind w:right="92"/>
              <w:spacing w:after="0"/>
              <w:rPr>
                <w:sz w:val="20"/>
                <w:szCs w:val="20"/>
                <w:color w:val="auto"/>
              </w:rPr>
            </w:pPr>
            <w:r>
              <w:rPr>
                <w:rFonts w:ascii="Arial" w:cs="Arial" w:eastAsia="Arial" w:hAnsi="Arial"/>
                <w:sz w:val="13"/>
                <w:szCs w:val="13"/>
                <w:color w:val="auto"/>
              </w:rPr>
              <w:t>(h)</w:t>
            </w:r>
          </w:p>
        </w:tc>
        <w:tc>
          <w:tcPr>
            <w:tcW w:w="1100" w:type="dxa"/>
            <w:vAlign w:val="bottom"/>
            <w:tcBorders>
              <w:top w:val="single" w:sz="8" w:color="959595"/>
              <w:bottom w:val="single" w:sz="8" w:color="E5E7EF"/>
            </w:tcBorders>
            <w:shd w:val="clear" w:color="auto" w:fill="E5E7EF"/>
          </w:tcPr>
          <w:p>
            <w:pPr>
              <w:jc w:val="right"/>
              <w:ind w:right="30"/>
              <w:spacing w:after="0"/>
              <w:rPr>
                <w:sz w:val="20"/>
                <w:szCs w:val="20"/>
                <w:color w:val="auto"/>
              </w:rPr>
            </w:pPr>
            <w:r>
              <w:rPr>
                <w:rFonts w:ascii="Arial" w:cs="Arial" w:eastAsia="Arial" w:hAnsi="Arial"/>
                <w:sz w:val="13"/>
                <w:szCs w:val="13"/>
                <w:color w:val="auto"/>
              </w:rPr>
              <w:t>(i)</w:t>
            </w:r>
          </w:p>
        </w:tc>
        <w:tc>
          <w:tcPr>
            <w:tcW w:w="900" w:type="dxa"/>
            <w:vAlign w:val="bottom"/>
            <w:tcBorders>
              <w:top w:val="single" w:sz="8" w:color="959595"/>
              <w:bottom w:val="single" w:sz="8" w:color="E5E7EF"/>
              <w:right w:val="single" w:sz="8" w:color="002E6D"/>
            </w:tcBorders>
            <w:shd w:val="clear" w:color="auto" w:fill="E5E7EF"/>
          </w:tcPr>
          <w:p>
            <w:pPr>
              <w:jc w:val="right"/>
              <w:spacing w:after="0"/>
              <w:rPr>
                <w:sz w:val="20"/>
                <w:szCs w:val="20"/>
                <w:color w:val="auto"/>
              </w:rPr>
            </w:pPr>
            <w:r>
              <w:rPr>
                <w:rFonts w:ascii="Arial" w:cs="Arial" w:eastAsia="Arial" w:hAnsi="Arial"/>
                <w:sz w:val="13"/>
                <w:szCs w:val="13"/>
                <w:color w:val="auto"/>
              </w:rPr>
              <w:t>(j)</w:t>
            </w:r>
          </w:p>
        </w:tc>
        <w:tc>
          <w:tcPr>
            <w:tcW w:w="960" w:type="dxa"/>
            <w:vAlign w:val="bottom"/>
            <w:tcBorders>
              <w:top w:val="single" w:sz="8" w:color="959595"/>
              <w:right w:val="single" w:sz="8" w:color="002E6D"/>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320" w:type="dxa"/>
            <w:vAlign w:val="bottom"/>
            <w:tcBorders>
              <w:top w:val="single" w:sz="8" w:color="959595"/>
            </w:tcBorders>
          </w:tcPr>
          <w:p>
            <w:pPr>
              <w:ind w:left="20"/>
              <w:spacing w:after="0" w:line="147" w:lineRule="exact"/>
              <w:rPr>
                <w:sz w:val="20"/>
                <w:szCs w:val="20"/>
                <w:color w:val="auto"/>
              </w:rPr>
            </w:pPr>
            <w:r>
              <w:rPr>
                <w:rFonts w:ascii="Arial" w:cs="Arial" w:eastAsia="Arial" w:hAnsi="Arial"/>
                <w:sz w:val="14"/>
                <w:szCs w:val="14"/>
                <w:b w:val="1"/>
                <w:bCs w:val="1"/>
                <w:color w:val="23255E"/>
              </w:rPr>
              <w:t>James D. Taiclet</w:t>
            </w:r>
          </w:p>
        </w:tc>
        <w:tc>
          <w:tcPr>
            <w:tcW w:w="640" w:type="dxa"/>
            <w:vAlign w:val="bottom"/>
            <w:tcBorders>
              <w:top w:val="single" w:sz="8" w:color="959595"/>
            </w:tcBorders>
            <w:shd w:val="clear" w:color="auto" w:fill="E5E7EF"/>
          </w:tcPr>
          <w:p>
            <w:pPr>
              <w:jc w:val="right"/>
              <w:spacing w:after="0" w:line="147" w:lineRule="exact"/>
              <w:rPr>
                <w:sz w:val="20"/>
                <w:szCs w:val="20"/>
                <w:color w:val="auto"/>
              </w:rPr>
            </w:pPr>
            <w:r>
              <w:rPr>
                <w:rFonts w:ascii="Arial" w:cs="Arial" w:eastAsia="Arial" w:hAnsi="Arial"/>
                <w:sz w:val="14"/>
                <w:szCs w:val="14"/>
                <w:color w:val="auto"/>
              </w:rPr>
              <w:t>2020</w:t>
            </w:r>
          </w:p>
        </w:tc>
        <w:tc>
          <w:tcPr>
            <w:tcW w:w="860" w:type="dxa"/>
            <w:vAlign w:val="bottom"/>
            <w:tcBorders>
              <w:top w:val="single" w:sz="8" w:color="959595"/>
            </w:tcBorders>
            <w:shd w:val="clear" w:color="auto" w:fill="E5E7EF"/>
          </w:tcPr>
          <w:p>
            <w:pPr>
              <w:jc w:val="right"/>
              <w:spacing w:after="0" w:line="147" w:lineRule="exact"/>
              <w:rPr>
                <w:sz w:val="20"/>
                <w:szCs w:val="20"/>
                <w:color w:val="auto"/>
              </w:rPr>
            </w:pPr>
            <w:r>
              <w:rPr>
                <w:rFonts w:ascii="Arial" w:cs="Arial" w:eastAsia="Arial" w:hAnsi="Arial"/>
                <w:sz w:val="14"/>
                <w:szCs w:val="14"/>
                <w:color w:val="auto"/>
              </w:rPr>
              <w:t>915,385</w:t>
            </w:r>
          </w:p>
        </w:tc>
        <w:tc>
          <w:tcPr>
            <w:tcW w:w="40" w:type="dxa"/>
            <w:vAlign w:val="bottom"/>
            <w:tcBorders>
              <w:top w:val="single" w:sz="8" w:color="959595"/>
            </w:tcBorders>
            <w:shd w:val="clear" w:color="auto" w:fill="E5E7EF"/>
          </w:tcPr>
          <w:p>
            <w:pPr>
              <w:spacing w:after="0"/>
              <w:rPr>
                <w:sz w:val="12"/>
                <w:szCs w:val="12"/>
                <w:color w:val="auto"/>
              </w:rPr>
            </w:pPr>
          </w:p>
        </w:tc>
        <w:tc>
          <w:tcPr>
            <w:tcW w:w="1120" w:type="dxa"/>
            <w:vAlign w:val="bottom"/>
            <w:tcBorders>
              <w:top w:val="single" w:sz="8" w:color="959595"/>
            </w:tcBorders>
            <w:shd w:val="clear" w:color="auto" w:fill="E5E7EF"/>
          </w:tcPr>
          <w:p>
            <w:pPr>
              <w:jc w:val="right"/>
              <w:ind w:right="150"/>
              <w:spacing w:after="0" w:line="147" w:lineRule="exact"/>
              <w:rPr>
                <w:sz w:val="20"/>
                <w:szCs w:val="20"/>
                <w:color w:val="auto"/>
              </w:rPr>
            </w:pPr>
            <w:r>
              <w:rPr>
                <w:rFonts w:ascii="Arial" w:cs="Arial" w:eastAsia="Arial" w:hAnsi="Arial"/>
                <w:sz w:val="14"/>
                <w:szCs w:val="14"/>
                <w:color w:val="auto"/>
              </w:rPr>
              <w:t>18,611,850</w:t>
            </w:r>
          </w:p>
        </w:tc>
        <w:tc>
          <w:tcPr>
            <w:tcW w:w="1160" w:type="dxa"/>
            <w:vAlign w:val="bottom"/>
            <w:tcBorders>
              <w:top w:val="single" w:sz="8" w:color="959595"/>
            </w:tcBorders>
            <w:shd w:val="clear" w:color="auto" w:fill="E5E7EF"/>
          </w:tcPr>
          <w:p>
            <w:pPr>
              <w:jc w:val="right"/>
              <w:ind w:right="150"/>
              <w:spacing w:after="0" w:line="147" w:lineRule="exact"/>
              <w:rPr>
                <w:sz w:val="20"/>
                <w:szCs w:val="20"/>
                <w:color w:val="auto"/>
              </w:rPr>
            </w:pPr>
            <w:r>
              <w:rPr>
                <w:rFonts w:ascii="Arial" w:cs="Arial" w:eastAsia="Arial" w:hAnsi="Arial"/>
                <w:sz w:val="14"/>
                <w:szCs w:val="14"/>
                <w:color w:val="auto"/>
              </w:rPr>
              <w:t>2,896,200</w:t>
            </w:r>
          </w:p>
        </w:tc>
        <w:tc>
          <w:tcPr>
            <w:tcW w:w="1160" w:type="dxa"/>
            <w:vAlign w:val="bottom"/>
            <w:tcBorders>
              <w:top w:val="single" w:sz="8" w:color="959595"/>
            </w:tcBorders>
            <w:shd w:val="clear" w:color="auto" w:fill="E5E7EF"/>
          </w:tcPr>
          <w:p>
            <w:pPr>
              <w:jc w:val="right"/>
              <w:ind w:right="152"/>
              <w:spacing w:after="0" w:line="147" w:lineRule="exact"/>
              <w:rPr>
                <w:sz w:val="20"/>
                <w:szCs w:val="20"/>
                <w:color w:val="auto"/>
              </w:rPr>
            </w:pPr>
            <w:r>
              <w:rPr>
                <w:rFonts w:ascii="Arial" w:cs="Arial" w:eastAsia="Arial" w:hAnsi="Arial"/>
                <w:sz w:val="14"/>
                <w:szCs w:val="14"/>
                <w:color w:val="auto"/>
              </w:rPr>
              <w:t>0</w:t>
            </w:r>
          </w:p>
        </w:tc>
        <w:tc>
          <w:tcPr>
            <w:tcW w:w="1100" w:type="dxa"/>
            <w:vAlign w:val="bottom"/>
            <w:tcBorders>
              <w:top w:val="single" w:sz="8" w:color="959595"/>
            </w:tcBorders>
            <w:shd w:val="clear" w:color="auto" w:fill="E5E7EF"/>
          </w:tcPr>
          <w:p>
            <w:pPr>
              <w:jc w:val="right"/>
              <w:ind w:right="90"/>
              <w:spacing w:after="0" w:line="147" w:lineRule="exact"/>
              <w:rPr>
                <w:sz w:val="20"/>
                <w:szCs w:val="20"/>
                <w:color w:val="auto"/>
              </w:rPr>
            </w:pPr>
            <w:r>
              <w:rPr>
                <w:rFonts w:ascii="Arial" w:cs="Arial" w:eastAsia="Arial" w:hAnsi="Arial"/>
                <w:sz w:val="14"/>
                <w:szCs w:val="14"/>
                <w:color w:val="auto"/>
              </w:rPr>
              <w:t>936,934</w:t>
            </w:r>
          </w:p>
        </w:tc>
        <w:tc>
          <w:tcPr>
            <w:tcW w:w="900" w:type="dxa"/>
            <w:vAlign w:val="bottom"/>
            <w:tcBorders>
              <w:top w:val="single" w:sz="8" w:color="959595"/>
              <w:right w:val="single" w:sz="8" w:color="002E6D"/>
            </w:tcBorders>
            <w:shd w:val="clear" w:color="auto" w:fill="E5E7EF"/>
          </w:tcPr>
          <w:p>
            <w:pPr>
              <w:jc w:val="right"/>
              <w:ind w:right="10"/>
              <w:spacing w:after="0" w:line="147" w:lineRule="exact"/>
              <w:rPr>
                <w:sz w:val="20"/>
                <w:szCs w:val="20"/>
                <w:color w:val="auto"/>
              </w:rPr>
            </w:pPr>
            <w:r>
              <w:rPr>
                <w:rFonts w:ascii="Arial" w:cs="Arial" w:eastAsia="Arial" w:hAnsi="Arial"/>
                <w:sz w:val="14"/>
                <w:szCs w:val="14"/>
                <w:color w:val="auto"/>
              </w:rPr>
              <w:t>23,360,369</w:t>
            </w:r>
          </w:p>
        </w:tc>
        <w:tc>
          <w:tcPr>
            <w:tcW w:w="960" w:type="dxa"/>
            <w:vAlign w:val="bottom"/>
            <w:tcBorders>
              <w:top w:val="single" w:sz="8" w:color="959595"/>
              <w:right w:val="single" w:sz="8" w:color="002E6D"/>
            </w:tcBorders>
          </w:tcPr>
          <w:p>
            <w:pPr>
              <w:jc w:val="right"/>
              <w:ind w:right="10"/>
              <w:spacing w:after="0" w:line="147" w:lineRule="exact"/>
              <w:rPr>
                <w:sz w:val="20"/>
                <w:szCs w:val="20"/>
                <w:color w:val="auto"/>
              </w:rPr>
            </w:pPr>
            <w:r>
              <w:rPr>
                <w:rFonts w:ascii="Arial" w:cs="Arial" w:eastAsia="Arial" w:hAnsi="Arial"/>
                <w:sz w:val="14"/>
                <w:szCs w:val="14"/>
                <w:color w:val="auto"/>
              </w:rPr>
              <w:t>23,360,369</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4"/>
                <w:szCs w:val="14"/>
                <w:color w:val="auto"/>
              </w:rPr>
              <w:t>Chairman, President and Chief Executive Officer</w:t>
            </w:r>
          </w:p>
        </w:tc>
        <w:tc>
          <w:tcPr>
            <w:tcW w:w="640" w:type="dxa"/>
            <w:vAlign w:val="bottom"/>
            <w:shd w:val="clear" w:color="auto" w:fill="E5E7EF"/>
          </w:tcPr>
          <w:p>
            <w:pPr>
              <w:spacing w:after="0"/>
              <w:rPr>
                <w:sz w:val="14"/>
                <w:szCs w:val="14"/>
                <w:color w:val="auto"/>
              </w:rPr>
            </w:pPr>
          </w:p>
        </w:tc>
        <w:tc>
          <w:tcPr>
            <w:tcW w:w="860" w:type="dxa"/>
            <w:vAlign w:val="bottom"/>
            <w:shd w:val="clear" w:color="auto" w:fill="E5E7EF"/>
          </w:tcPr>
          <w:p>
            <w:pPr>
              <w:spacing w:after="0"/>
              <w:rPr>
                <w:sz w:val="14"/>
                <w:szCs w:val="14"/>
                <w:color w:val="auto"/>
              </w:rPr>
            </w:pPr>
          </w:p>
        </w:tc>
        <w:tc>
          <w:tcPr>
            <w:tcW w:w="40" w:type="dxa"/>
            <w:vAlign w:val="bottom"/>
            <w:shd w:val="clear" w:color="auto" w:fill="E5E7EF"/>
          </w:tcPr>
          <w:p>
            <w:pPr>
              <w:spacing w:after="0"/>
              <w:rPr>
                <w:sz w:val="14"/>
                <w:szCs w:val="14"/>
                <w:color w:val="auto"/>
              </w:rPr>
            </w:pPr>
          </w:p>
        </w:tc>
        <w:tc>
          <w:tcPr>
            <w:tcW w:w="1120" w:type="dxa"/>
            <w:vAlign w:val="bottom"/>
            <w:shd w:val="clear" w:color="auto" w:fill="E5E7EF"/>
          </w:tcPr>
          <w:p>
            <w:pPr>
              <w:spacing w:after="0"/>
              <w:rPr>
                <w:sz w:val="14"/>
                <w:szCs w:val="14"/>
                <w:color w:val="auto"/>
              </w:rPr>
            </w:pPr>
          </w:p>
        </w:tc>
        <w:tc>
          <w:tcPr>
            <w:tcW w:w="1160" w:type="dxa"/>
            <w:vAlign w:val="bottom"/>
            <w:shd w:val="clear" w:color="auto" w:fill="E5E7EF"/>
          </w:tcPr>
          <w:p>
            <w:pPr>
              <w:spacing w:after="0"/>
              <w:rPr>
                <w:sz w:val="14"/>
                <w:szCs w:val="14"/>
                <w:color w:val="auto"/>
              </w:rPr>
            </w:pPr>
          </w:p>
        </w:tc>
        <w:tc>
          <w:tcPr>
            <w:tcW w:w="1160" w:type="dxa"/>
            <w:vAlign w:val="bottom"/>
            <w:shd w:val="clear" w:color="auto" w:fill="E5E7EF"/>
          </w:tcPr>
          <w:p>
            <w:pPr>
              <w:spacing w:after="0"/>
              <w:rPr>
                <w:sz w:val="14"/>
                <w:szCs w:val="14"/>
                <w:color w:val="auto"/>
              </w:rPr>
            </w:pPr>
          </w:p>
        </w:tc>
        <w:tc>
          <w:tcPr>
            <w:tcW w:w="1100" w:type="dxa"/>
            <w:vAlign w:val="bottom"/>
            <w:shd w:val="clear" w:color="auto" w:fill="E5E7EF"/>
          </w:tcPr>
          <w:p>
            <w:pPr>
              <w:spacing w:after="0"/>
              <w:rPr>
                <w:sz w:val="14"/>
                <w:szCs w:val="14"/>
                <w:color w:val="auto"/>
              </w:rPr>
            </w:pPr>
          </w:p>
        </w:tc>
        <w:tc>
          <w:tcPr>
            <w:tcW w:w="900" w:type="dxa"/>
            <w:vAlign w:val="bottom"/>
            <w:tcBorders>
              <w:right w:val="single" w:sz="8" w:color="002E6D"/>
            </w:tcBorders>
            <w:shd w:val="clear" w:color="auto" w:fill="E5E7EF"/>
          </w:tcPr>
          <w:p>
            <w:pPr>
              <w:spacing w:after="0"/>
              <w:rPr>
                <w:sz w:val="14"/>
                <w:szCs w:val="14"/>
                <w:color w:val="auto"/>
              </w:rPr>
            </w:pPr>
          </w:p>
        </w:tc>
        <w:tc>
          <w:tcPr>
            <w:tcW w:w="960" w:type="dxa"/>
            <w:vAlign w:val="bottom"/>
            <w:tcBorders>
              <w:right w:val="single" w:sz="8" w:color="002E6D"/>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tcBorders>
              <w:bottom w:val="single" w:sz="8" w:color="939598"/>
            </w:tcBorders>
          </w:tcPr>
          <w:p>
            <w:pPr>
              <w:spacing w:after="0"/>
              <w:rPr>
                <w:sz w:val="16"/>
                <w:szCs w:val="16"/>
                <w:color w:val="auto"/>
              </w:rPr>
            </w:pPr>
          </w:p>
        </w:tc>
        <w:tc>
          <w:tcPr>
            <w:tcW w:w="640" w:type="dxa"/>
            <w:vAlign w:val="bottom"/>
            <w:tcBorders>
              <w:bottom w:val="single" w:sz="8" w:color="959595"/>
            </w:tcBorders>
            <w:shd w:val="clear" w:color="auto" w:fill="E5E7EF"/>
          </w:tcPr>
          <w:p>
            <w:pPr>
              <w:spacing w:after="0"/>
              <w:rPr>
                <w:sz w:val="16"/>
                <w:szCs w:val="16"/>
                <w:color w:val="auto"/>
              </w:rPr>
            </w:pPr>
          </w:p>
        </w:tc>
        <w:tc>
          <w:tcPr>
            <w:tcW w:w="860" w:type="dxa"/>
            <w:vAlign w:val="bottom"/>
            <w:tcBorders>
              <w:bottom w:val="single" w:sz="8" w:color="959595"/>
            </w:tcBorders>
            <w:shd w:val="clear" w:color="auto" w:fill="E5E7EF"/>
          </w:tcPr>
          <w:p>
            <w:pPr>
              <w:spacing w:after="0"/>
              <w:rPr>
                <w:sz w:val="16"/>
                <w:szCs w:val="16"/>
                <w:color w:val="auto"/>
              </w:rPr>
            </w:pPr>
          </w:p>
        </w:tc>
        <w:tc>
          <w:tcPr>
            <w:tcW w:w="40" w:type="dxa"/>
            <w:vAlign w:val="bottom"/>
            <w:tcBorders>
              <w:bottom w:val="single" w:sz="8" w:color="959595"/>
            </w:tcBorders>
            <w:shd w:val="clear" w:color="auto" w:fill="E5E7EF"/>
          </w:tcPr>
          <w:p>
            <w:pPr>
              <w:spacing w:after="0"/>
              <w:rPr>
                <w:sz w:val="16"/>
                <w:szCs w:val="16"/>
                <w:color w:val="auto"/>
              </w:rPr>
            </w:pPr>
          </w:p>
        </w:tc>
        <w:tc>
          <w:tcPr>
            <w:tcW w:w="1120" w:type="dxa"/>
            <w:vAlign w:val="bottom"/>
            <w:tcBorders>
              <w:bottom w:val="single" w:sz="8" w:color="959595"/>
            </w:tcBorders>
            <w:shd w:val="clear" w:color="auto" w:fill="E5E7EF"/>
          </w:tcPr>
          <w:p>
            <w:pPr>
              <w:spacing w:after="0"/>
              <w:rPr>
                <w:sz w:val="16"/>
                <w:szCs w:val="16"/>
                <w:color w:val="auto"/>
              </w:rPr>
            </w:pPr>
          </w:p>
        </w:tc>
        <w:tc>
          <w:tcPr>
            <w:tcW w:w="1160" w:type="dxa"/>
            <w:vAlign w:val="bottom"/>
            <w:tcBorders>
              <w:bottom w:val="single" w:sz="8" w:color="959595"/>
            </w:tcBorders>
            <w:shd w:val="clear" w:color="auto" w:fill="E5E7EF"/>
          </w:tcPr>
          <w:p>
            <w:pPr>
              <w:spacing w:after="0"/>
              <w:rPr>
                <w:sz w:val="16"/>
                <w:szCs w:val="16"/>
                <w:color w:val="auto"/>
              </w:rPr>
            </w:pPr>
          </w:p>
        </w:tc>
        <w:tc>
          <w:tcPr>
            <w:tcW w:w="1160" w:type="dxa"/>
            <w:vAlign w:val="bottom"/>
            <w:tcBorders>
              <w:bottom w:val="single" w:sz="8" w:color="959595"/>
            </w:tcBorders>
            <w:shd w:val="clear" w:color="auto" w:fill="E5E7EF"/>
          </w:tcPr>
          <w:p>
            <w:pPr>
              <w:spacing w:after="0"/>
              <w:rPr>
                <w:sz w:val="16"/>
                <w:szCs w:val="16"/>
                <w:color w:val="auto"/>
              </w:rPr>
            </w:pPr>
          </w:p>
        </w:tc>
        <w:tc>
          <w:tcPr>
            <w:tcW w:w="1100" w:type="dxa"/>
            <w:vAlign w:val="bottom"/>
            <w:tcBorders>
              <w:bottom w:val="single" w:sz="8" w:color="959595"/>
            </w:tcBorders>
            <w:shd w:val="clear" w:color="auto" w:fill="E5E7EF"/>
          </w:tcPr>
          <w:p>
            <w:pPr>
              <w:spacing w:after="0"/>
              <w:rPr>
                <w:sz w:val="16"/>
                <w:szCs w:val="16"/>
                <w:color w:val="auto"/>
              </w:rPr>
            </w:pPr>
          </w:p>
        </w:tc>
        <w:tc>
          <w:tcPr>
            <w:tcW w:w="900" w:type="dxa"/>
            <w:vAlign w:val="bottom"/>
            <w:tcBorders>
              <w:bottom w:val="single" w:sz="8" w:color="959595"/>
              <w:right w:val="single" w:sz="8" w:color="002E6D"/>
            </w:tcBorders>
            <w:shd w:val="clear" w:color="auto" w:fill="E5E7EF"/>
          </w:tcPr>
          <w:p>
            <w:pPr>
              <w:spacing w:after="0"/>
              <w:rPr>
                <w:sz w:val="16"/>
                <w:szCs w:val="16"/>
                <w:color w:val="auto"/>
              </w:rPr>
            </w:pPr>
          </w:p>
        </w:tc>
        <w:tc>
          <w:tcPr>
            <w:tcW w:w="960" w:type="dxa"/>
            <w:vAlign w:val="bottom"/>
            <w:tcBorders>
              <w:bottom w:val="single" w:sz="8" w:color="959595"/>
              <w:right w:val="single" w:sz="8" w:color="002E6D"/>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320" w:type="dxa"/>
            <w:vAlign w:val="bottom"/>
          </w:tcPr>
          <w:p>
            <w:pPr>
              <w:ind w:left="20"/>
              <w:spacing w:after="0" w:line="147" w:lineRule="exact"/>
              <w:rPr>
                <w:sz w:val="20"/>
                <w:szCs w:val="20"/>
                <w:color w:val="auto"/>
              </w:rPr>
            </w:pPr>
            <w:r>
              <w:rPr>
                <w:rFonts w:ascii="Arial" w:cs="Arial" w:eastAsia="Arial" w:hAnsi="Arial"/>
                <w:sz w:val="14"/>
                <w:szCs w:val="14"/>
                <w:b w:val="1"/>
                <w:bCs w:val="1"/>
                <w:color w:val="23255E"/>
              </w:rPr>
              <w:t>Marillyn A. Hewson</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2020</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1,877,519</w:t>
            </w:r>
          </w:p>
        </w:tc>
        <w:tc>
          <w:tcPr>
            <w:tcW w:w="40" w:type="dxa"/>
            <w:vAlign w:val="bottom"/>
          </w:tcPr>
          <w:p>
            <w:pPr>
              <w:spacing w:after="0"/>
              <w:rPr>
                <w:sz w:val="12"/>
                <w:szCs w:val="12"/>
                <w:color w:val="auto"/>
              </w:rPr>
            </w:pPr>
          </w:p>
        </w:tc>
        <w:tc>
          <w:tcPr>
            <w:tcW w:w="1120" w:type="dxa"/>
            <w:vAlign w:val="bottom"/>
          </w:tcPr>
          <w:p>
            <w:pPr>
              <w:jc w:val="right"/>
              <w:ind w:right="150"/>
              <w:spacing w:after="0" w:line="147" w:lineRule="exact"/>
              <w:rPr>
                <w:sz w:val="20"/>
                <w:szCs w:val="20"/>
                <w:color w:val="auto"/>
              </w:rPr>
            </w:pPr>
            <w:r>
              <w:rPr>
                <w:rFonts w:ascii="Arial" w:cs="Arial" w:eastAsia="Arial" w:hAnsi="Arial"/>
                <w:sz w:val="14"/>
                <w:szCs w:val="14"/>
                <w:color w:val="auto"/>
              </w:rPr>
              <w:t>12,818,340</w:t>
            </w:r>
          </w:p>
        </w:tc>
        <w:tc>
          <w:tcPr>
            <w:tcW w:w="1160" w:type="dxa"/>
            <w:vAlign w:val="bottom"/>
          </w:tcPr>
          <w:p>
            <w:pPr>
              <w:jc w:val="right"/>
              <w:ind w:right="150"/>
              <w:spacing w:after="0" w:line="147" w:lineRule="exact"/>
              <w:rPr>
                <w:sz w:val="20"/>
                <w:szCs w:val="20"/>
                <w:color w:val="auto"/>
              </w:rPr>
            </w:pPr>
            <w:r>
              <w:rPr>
                <w:rFonts w:ascii="Arial" w:cs="Arial" w:eastAsia="Arial" w:hAnsi="Arial"/>
                <w:sz w:val="14"/>
                <w:szCs w:val="14"/>
                <w:color w:val="auto"/>
              </w:rPr>
              <w:t>10,639,900</w:t>
            </w:r>
          </w:p>
        </w:tc>
        <w:tc>
          <w:tcPr>
            <w:tcW w:w="1160" w:type="dxa"/>
            <w:vAlign w:val="bottom"/>
          </w:tcPr>
          <w:p>
            <w:pPr>
              <w:jc w:val="right"/>
              <w:ind w:right="152"/>
              <w:spacing w:after="0" w:line="147" w:lineRule="exact"/>
              <w:rPr>
                <w:sz w:val="20"/>
                <w:szCs w:val="20"/>
                <w:color w:val="auto"/>
              </w:rPr>
            </w:pPr>
            <w:r>
              <w:rPr>
                <w:rFonts w:ascii="Arial" w:cs="Arial" w:eastAsia="Arial" w:hAnsi="Arial"/>
                <w:sz w:val="14"/>
                <w:szCs w:val="14"/>
                <w:color w:val="auto"/>
              </w:rPr>
              <w:t>2,445,000</w:t>
            </w:r>
          </w:p>
        </w:tc>
        <w:tc>
          <w:tcPr>
            <w:tcW w:w="1100" w:type="dxa"/>
            <w:vAlign w:val="bottom"/>
          </w:tcPr>
          <w:p>
            <w:pPr>
              <w:jc w:val="right"/>
              <w:ind w:right="90"/>
              <w:spacing w:after="0" w:line="147" w:lineRule="exact"/>
              <w:rPr>
                <w:sz w:val="20"/>
                <w:szCs w:val="20"/>
                <w:color w:val="auto"/>
              </w:rPr>
            </w:pPr>
            <w:r>
              <w:rPr>
                <w:rFonts w:ascii="Arial" w:cs="Arial" w:eastAsia="Arial" w:hAnsi="Arial"/>
                <w:sz w:val="14"/>
                <w:szCs w:val="14"/>
                <w:color w:val="auto"/>
              </w:rPr>
              <w:t>719,066</w:t>
            </w:r>
          </w:p>
        </w:tc>
        <w:tc>
          <w:tcPr>
            <w:tcW w:w="900" w:type="dxa"/>
            <w:vAlign w:val="bottom"/>
            <w:tcBorders>
              <w:right w:val="single" w:sz="8" w:color="002E6D"/>
            </w:tcBorders>
          </w:tcPr>
          <w:p>
            <w:pPr>
              <w:jc w:val="right"/>
              <w:ind w:right="10"/>
              <w:spacing w:after="0" w:line="147" w:lineRule="exact"/>
              <w:rPr>
                <w:sz w:val="20"/>
                <w:szCs w:val="20"/>
                <w:color w:val="auto"/>
              </w:rPr>
            </w:pPr>
            <w:r>
              <w:rPr>
                <w:rFonts w:ascii="Arial" w:cs="Arial" w:eastAsia="Arial" w:hAnsi="Arial"/>
                <w:sz w:val="14"/>
                <w:szCs w:val="14"/>
                <w:color w:val="auto"/>
              </w:rPr>
              <w:t>28,499,825</w:t>
            </w:r>
          </w:p>
        </w:tc>
        <w:tc>
          <w:tcPr>
            <w:tcW w:w="960" w:type="dxa"/>
            <w:vAlign w:val="bottom"/>
            <w:tcBorders>
              <w:right w:val="single" w:sz="8" w:color="002E6D"/>
            </w:tcBorders>
            <w:vMerge w:val="restart"/>
          </w:tcPr>
          <w:p>
            <w:pPr>
              <w:jc w:val="right"/>
              <w:ind w:right="10"/>
              <w:spacing w:after="0"/>
              <w:rPr>
                <w:sz w:val="20"/>
                <w:szCs w:val="20"/>
                <w:color w:val="auto"/>
              </w:rPr>
            </w:pPr>
            <w:r>
              <w:rPr>
                <w:rFonts w:ascii="Arial" w:cs="Arial" w:eastAsia="Arial" w:hAnsi="Arial"/>
                <w:sz w:val="14"/>
                <w:szCs w:val="14"/>
                <w:color w:val="auto"/>
              </w:rPr>
              <w:t>26,054,825</w:t>
            </w:r>
          </w:p>
        </w:tc>
        <w:tc>
          <w:tcPr>
            <w:tcW w:w="0" w:type="dxa"/>
            <w:vAlign w:val="bottom"/>
          </w:tcPr>
          <w:p>
            <w:pPr>
              <w:spacing w:after="0"/>
              <w:rPr>
                <w:sz w:val="1"/>
                <w:szCs w:val="1"/>
                <w:color w:val="auto"/>
              </w:rPr>
            </w:pPr>
          </w:p>
        </w:tc>
      </w:tr>
      <w:tr>
        <w:trPr>
          <w:trHeight w:val="91"/>
        </w:trPr>
        <w:tc>
          <w:tcPr>
            <w:tcW w:w="332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Strategic Advisor to the CEO; Former Chairman,</w:t>
            </w: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Borders>
              <w:right w:val="single" w:sz="8" w:color="002E6D"/>
            </w:tcBorders>
          </w:tcPr>
          <w:p>
            <w:pPr>
              <w:spacing w:after="0"/>
              <w:rPr>
                <w:sz w:val="7"/>
                <w:szCs w:val="7"/>
                <w:color w:val="auto"/>
              </w:rPr>
            </w:pPr>
          </w:p>
        </w:tc>
        <w:tc>
          <w:tcPr>
            <w:tcW w:w="960" w:type="dxa"/>
            <w:vAlign w:val="bottom"/>
            <w:tcBorders>
              <w:right w:val="single" w:sz="8" w:color="002E6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3320" w:type="dxa"/>
            <w:vAlign w:val="bottom"/>
            <w:vMerge w:val="continue"/>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1,857,301</w:t>
            </w:r>
          </w:p>
        </w:tc>
        <w:tc>
          <w:tcPr>
            <w:tcW w:w="40" w:type="dxa"/>
            <w:vAlign w:val="bottom"/>
          </w:tcPr>
          <w:p>
            <w:pPr>
              <w:spacing w:after="0"/>
              <w:rPr>
                <w:sz w:val="3"/>
                <w:szCs w:val="3"/>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4"/>
                <w:szCs w:val="14"/>
                <w:color w:val="auto"/>
              </w:rPr>
              <w:t>11,375,516</w:t>
            </w:r>
          </w:p>
        </w:tc>
        <w:tc>
          <w:tcPr>
            <w:tcW w:w="1160" w:type="dxa"/>
            <w:vAlign w:val="bottom"/>
            <w:vMerge w:val="restart"/>
          </w:tcPr>
          <w:p>
            <w:pPr>
              <w:jc w:val="right"/>
              <w:ind w:right="150"/>
              <w:spacing w:after="0"/>
              <w:rPr>
                <w:sz w:val="20"/>
                <w:szCs w:val="20"/>
                <w:color w:val="auto"/>
              </w:rPr>
            </w:pPr>
            <w:r>
              <w:rPr>
                <w:rFonts w:ascii="Arial" w:cs="Arial" w:eastAsia="Arial" w:hAnsi="Arial"/>
                <w:sz w:val="14"/>
                <w:szCs w:val="14"/>
                <w:color w:val="auto"/>
              </w:rPr>
              <w:t>10,377,344</w:t>
            </w: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color w:val="auto"/>
              </w:rPr>
              <w:t>6,478,070</w:t>
            </w:r>
          </w:p>
        </w:tc>
        <w:tc>
          <w:tcPr>
            <w:tcW w:w="1100" w:type="dxa"/>
            <w:vAlign w:val="bottom"/>
            <w:vMerge w:val="restart"/>
          </w:tcPr>
          <w:p>
            <w:pPr>
              <w:jc w:val="right"/>
              <w:ind w:right="90"/>
              <w:spacing w:after="0"/>
              <w:rPr>
                <w:sz w:val="20"/>
                <w:szCs w:val="20"/>
                <w:color w:val="auto"/>
              </w:rPr>
            </w:pPr>
            <w:r>
              <w:rPr>
                <w:rFonts w:ascii="Arial" w:cs="Arial" w:eastAsia="Arial" w:hAnsi="Arial"/>
                <w:sz w:val="14"/>
                <w:szCs w:val="14"/>
                <w:color w:val="auto"/>
              </w:rPr>
              <w:t>825,751</w:t>
            </w:r>
          </w:p>
        </w:tc>
        <w:tc>
          <w:tcPr>
            <w:tcW w:w="900" w:type="dxa"/>
            <w:vAlign w:val="bottom"/>
            <w:tcBorders>
              <w:right w:val="single" w:sz="8" w:color="002E6D"/>
            </w:tcBorders>
            <w:vMerge w:val="restart"/>
          </w:tcPr>
          <w:p>
            <w:pPr>
              <w:jc w:val="right"/>
              <w:ind w:right="10"/>
              <w:spacing w:after="0"/>
              <w:rPr>
                <w:sz w:val="20"/>
                <w:szCs w:val="20"/>
                <w:color w:val="auto"/>
              </w:rPr>
            </w:pPr>
            <w:r>
              <w:rPr>
                <w:rFonts w:ascii="Arial" w:cs="Arial" w:eastAsia="Arial" w:hAnsi="Arial"/>
                <w:sz w:val="14"/>
                <w:szCs w:val="14"/>
                <w:color w:val="auto"/>
              </w:rPr>
              <w:t>30,913,982</w:t>
            </w:r>
          </w:p>
        </w:tc>
        <w:tc>
          <w:tcPr>
            <w:tcW w:w="960" w:type="dxa"/>
            <w:vAlign w:val="bottom"/>
            <w:tcBorders>
              <w:right w:val="single" w:sz="8" w:color="002E6D"/>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c>
          <w:tcPr>
            <w:tcW w:w="6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Borders>
              <w:right w:val="single" w:sz="8" w:color="002E6D"/>
            </w:tcBorders>
            <w:vMerge w:val="continue"/>
          </w:tcPr>
          <w:p>
            <w:pPr>
              <w:spacing w:after="0"/>
              <w:rPr>
                <w:sz w:val="18"/>
                <w:szCs w:val="18"/>
                <w:color w:val="auto"/>
              </w:rPr>
            </w:pPr>
          </w:p>
        </w:tc>
        <w:tc>
          <w:tcPr>
            <w:tcW w:w="960" w:type="dxa"/>
            <w:vAlign w:val="bottom"/>
            <w:tcBorders>
              <w:right w:val="single" w:sz="8" w:color="002E6D"/>
            </w:tcBorders>
          </w:tcPr>
          <w:p>
            <w:pPr>
              <w:jc w:val="right"/>
              <w:ind w:right="10"/>
              <w:spacing w:after="0"/>
              <w:rPr>
                <w:sz w:val="20"/>
                <w:szCs w:val="20"/>
                <w:color w:val="auto"/>
              </w:rPr>
            </w:pPr>
            <w:r>
              <w:rPr>
                <w:rFonts w:ascii="Arial" w:cs="Arial" w:eastAsia="Arial" w:hAnsi="Arial"/>
                <w:sz w:val="14"/>
                <w:szCs w:val="14"/>
                <w:color w:val="auto"/>
              </w:rPr>
              <w:t>24,435,912</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2018</w:t>
            </w:r>
          </w:p>
        </w:tc>
        <w:tc>
          <w:tcPr>
            <w:tcW w:w="860" w:type="dxa"/>
            <w:vAlign w:val="bottom"/>
          </w:tcPr>
          <w:p>
            <w:pPr>
              <w:jc w:val="right"/>
              <w:spacing w:after="0"/>
              <w:rPr>
                <w:sz w:val="20"/>
                <w:szCs w:val="20"/>
                <w:color w:val="auto"/>
              </w:rPr>
            </w:pPr>
            <w:r>
              <w:rPr>
                <w:rFonts w:ascii="Arial" w:cs="Arial" w:eastAsia="Arial" w:hAnsi="Arial"/>
                <w:sz w:val="14"/>
                <w:szCs w:val="14"/>
                <w:color w:val="auto"/>
              </w:rPr>
              <w:t>1,769,262</w:t>
            </w:r>
          </w:p>
        </w:tc>
        <w:tc>
          <w:tcPr>
            <w:tcW w:w="40" w:type="dxa"/>
            <w:vAlign w:val="bottom"/>
          </w:tcPr>
          <w:p>
            <w:pPr>
              <w:spacing w:after="0"/>
              <w:rPr>
                <w:sz w:val="16"/>
                <w:szCs w:val="16"/>
                <w:color w:val="auto"/>
              </w:rPr>
            </w:pP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9,788,097</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8,758,727</w:t>
            </w:r>
          </w:p>
        </w:tc>
        <w:tc>
          <w:tcPr>
            <w:tcW w:w="1160" w:type="dxa"/>
            <w:vAlign w:val="bottom"/>
          </w:tcPr>
          <w:p>
            <w:pPr>
              <w:jc w:val="right"/>
              <w:ind w:right="152"/>
              <w:spacing w:after="0"/>
              <w:rPr>
                <w:sz w:val="20"/>
                <w:szCs w:val="20"/>
                <w:color w:val="auto"/>
              </w:rPr>
            </w:pPr>
            <w:r>
              <w:rPr>
                <w:rFonts w:ascii="Arial" w:cs="Arial" w:eastAsia="Arial" w:hAnsi="Arial"/>
                <w:sz w:val="14"/>
                <w:szCs w:val="14"/>
                <w:color w:val="auto"/>
              </w:rPr>
              <w:t>68</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1,200,459</w:t>
            </w:r>
          </w:p>
        </w:tc>
        <w:tc>
          <w:tcPr>
            <w:tcW w:w="900" w:type="dxa"/>
            <w:vAlign w:val="bottom"/>
            <w:tcBorders>
              <w:right w:val="single" w:sz="8" w:color="002E6D"/>
            </w:tcBorders>
          </w:tcPr>
          <w:p>
            <w:pPr>
              <w:jc w:val="right"/>
              <w:ind w:right="10"/>
              <w:spacing w:after="0"/>
              <w:rPr>
                <w:sz w:val="20"/>
                <w:szCs w:val="20"/>
                <w:color w:val="auto"/>
              </w:rPr>
            </w:pPr>
            <w:r>
              <w:rPr>
                <w:rFonts w:ascii="Arial" w:cs="Arial" w:eastAsia="Arial" w:hAnsi="Arial"/>
                <w:sz w:val="14"/>
                <w:szCs w:val="14"/>
                <w:color w:val="auto"/>
              </w:rPr>
              <w:t>21,516,613</w:t>
            </w:r>
          </w:p>
        </w:tc>
        <w:tc>
          <w:tcPr>
            <w:tcW w:w="960" w:type="dxa"/>
            <w:vAlign w:val="bottom"/>
            <w:tcBorders>
              <w:right w:val="single" w:sz="8" w:color="002E6D"/>
            </w:tcBorders>
          </w:tcPr>
          <w:p>
            <w:pPr>
              <w:jc w:val="right"/>
              <w:ind w:right="10"/>
              <w:spacing w:after="0"/>
              <w:rPr>
                <w:sz w:val="20"/>
                <w:szCs w:val="20"/>
                <w:color w:val="auto"/>
              </w:rPr>
            </w:pPr>
            <w:r>
              <w:rPr>
                <w:rFonts w:ascii="Arial" w:cs="Arial" w:eastAsia="Arial" w:hAnsi="Arial"/>
                <w:sz w:val="14"/>
                <w:szCs w:val="14"/>
                <w:color w:val="auto"/>
              </w:rPr>
              <w:t>21,516,545</w:t>
            </w:r>
          </w:p>
        </w:tc>
        <w:tc>
          <w:tcPr>
            <w:tcW w:w="0" w:type="dxa"/>
            <w:vAlign w:val="bottom"/>
          </w:tcPr>
          <w:p>
            <w:pPr>
              <w:spacing w:after="0"/>
              <w:rPr>
                <w:sz w:val="1"/>
                <w:szCs w:val="1"/>
                <w:color w:val="auto"/>
              </w:rPr>
            </w:pPr>
          </w:p>
        </w:tc>
      </w:tr>
      <w:tr>
        <w:trPr>
          <w:trHeight w:val="66"/>
        </w:trPr>
        <w:tc>
          <w:tcPr>
            <w:tcW w:w="3320" w:type="dxa"/>
            <w:vAlign w:val="bottom"/>
            <w:tcBorders>
              <w:bottom w:val="single" w:sz="8" w:color="959595"/>
            </w:tcBorders>
          </w:tcPr>
          <w:p>
            <w:pPr>
              <w:spacing w:after="0"/>
              <w:rPr>
                <w:sz w:val="5"/>
                <w:szCs w:val="5"/>
                <w:color w:val="auto"/>
              </w:rPr>
            </w:pPr>
          </w:p>
        </w:tc>
        <w:tc>
          <w:tcPr>
            <w:tcW w:w="640" w:type="dxa"/>
            <w:vAlign w:val="bottom"/>
            <w:tcBorders>
              <w:bottom w:val="single" w:sz="8" w:color="959595"/>
            </w:tcBorders>
          </w:tcPr>
          <w:p>
            <w:pPr>
              <w:spacing w:after="0"/>
              <w:rPr>
                <w:sz w:val="5"/>
                <w:szCs w:val="5"/>
                <w:color w:val="auto"/>
              </w:rPr>
            </w:pPr>
          </w:p>
        </w:tc>
        <w:tc>
          <w:tcPr>
            <w:tcW w:w="860" w:type="dxa"/>
            <w:vAlign w:val="bottom"/>
            <w:tcBorders>
              <w:bottom w:val="single" w:sz="8" w:color="959595"/>
            </w:tcBorders>
          </w:tcPr>
          <w:p>
            <w:pPr>
              <w:spacing w:after="0"/>
              <w:rPr>
                <w:sz w:val="5"/>
                <w:szCs w:val="5"/>
                <w:color w:val="auto"/>
              </w:rPr>
            </w:pPr>
          </w:p>
        </w:tc>
        <w:tc>
          <w:tcPr>
            <w:tcW w:w="40" w:type="dxa"/>
            <w:vAlign w:val="bottom"/>
            <w:tcBorders>
              <w:bottom w:val="single" w:sz="8" w:color="959595"/>
            </w:tcBorders>
          </w:tcPr>
          <w:p>
            <w:pPr>
              <w:spacing w:after="0"/>
              <w:rPr>
                <w:sz w:val="5"/>
                <w:szCs w:val="5"/>
                <w:color w:val="auto"/>
              </w:rPr>
            </w:pPr>
          </w:p>
        </w:tc>
        <w:tc>
          <w:tcPr>
            <w:tcW w:w="1120" w:type="dxa"/>
            <w:vAlign w:val="bottom"/>
            <w:tcBorders>
              <w:bottom w:val="single" w:sz="8" w:color="959595"/>
            </w:tcBorders>
          </w:tcPr>
          <w:p>
            <w:pPr>
              <w:spacing w:after="0"/>
              <w:rPr>
                <w:sz w:val="5"/>
                <w:szCs w:val="5"/>
                <w:color w:val="auto"/>
              </w:rPr>
            </w:pPr>
          </w:p>
        </w:tc>
        <w:tc>
          <w:tcPr>
            <w:tcW w:w="1160" w:type="dxa"/>
            <w:vAlign w:val="bottom"/>
            <w:tcBorders>
              <w:bottom w:val="single" w:sz="8" w:color="959595"/>
            </w:tcBorders>
          </w:tcPr>
          <w:p>
            <w:pPr>
              <w:spacing w:after="0"/>
              <w:rPr>
                <w:sz w:val="5"/>
                <w:szCs w:val="5"/>
                <w:color w:val="auto"/>
              </w:rPr>
            </w:pPr>
          </w:p>
        </w:tc>
        <w:tc>
          <w:tcPr>
            <w:tcW w:w="1160" w:type="dxa"/>
            <w:vAlign w:val="bottom"/>
            <w:tcBorders>
              <w:bottom w:val="single" w:sz="8" w:color="959595"/>
            </w:tcBorders>
          </w:tcPr>
          <w:p>
            <w:pPr>
              <w:spacing w:after="0"/>
              <w:rPr>
                <w:sz w:val="5"/>
                <w:szCs w:val="5"/>
                <w:color w:val="auto"/>
              </w:rPr>
            </w:pPr>
          </w:p>
        </w:tc>
        <w:tc>
          <w:tcPr>
            <w:tcW w:w="1100" w:type="dxa"/>
            <w:vAlign w:val="bottom"/>
            <w:tcBorders>
              <w:bottom w:val="single" w:sz="8" w:color="959595"/>
            </w:tcBorders>
          </w:tcPr>
          <w:p>
            <w:pPr>
              <w:spacing w:after="0"/>
              <w:rPr>
                <w:sz w:val="5"/>
                <w:szCs w:val="5"/>
                <w:color w:val="auto"/>
              </w:rPr>
            </w:pPr>
          </w:p>
        </w:tc>
        <w:tc>
          <w:tcPr>
            <w:tcW w:w="900" w:type="dxa"/>
            <w:vAlign w:val="bottom"/>
            <w:tcBorders>
              <w:bottom w:val="single" w:sz="8" w:color="959595"/>
              <w:right w:val="single" w:sz="8" w:color="002E6D"/>
            </w:tcBorders>
          </w:tcPr>
          <w:p>
            <w:pPr>
              <w:spacing w:after="0"/>
              <w:rPr>
                <w:sz w:val="5"/>
                <w:szCs w:val="5"/>
                <w:color w:val="auto"/>
              </w:rPr>
            </w:pPr>
          </w:p>
        </w:tc>
        <w:tc>
          <w:tcPr>
            <w:tcW w:w="960" w:type="dxa"/>
            <w:vAlign w:val="bottom"/>
            <w:tcBorders>
              <w:bottom w:val="single" w:sz="8" w:color="959595"/>
              <w:right w:val="single" w:sz="8" w:color="002E6D"/>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320" w:type="dxa"/>
            <w:vAlign w:val="bottom"/>
          </w:tcPr>
          <w:p>
            <w:pPr>
              <w:ind w:left="20"/>
              <w:spacing w:after="0" w:line="147" w:lineRule="exact"/>
              <w:rPr>
                <w:sz w:val="20"/>
                <w:szCs w:val="20"/>
                <w:color w:val="auto"/>
              </w:rPr>
            </w:pPr>
            <w:r>
              <w:rPr>
                <w:rFonts w:ascii="Arial" w:cs="Arial" w:eastAsia="Arial" w:hAnsi="Arial"/>
                <w:sz w:val="14"/>
                <w:szCs w:val="14"/>
                <w:b w:val="1"/>
                <w:bCs w:val="1"/>
                <w:color w:val="23255E"/>
              </w:rPr>
              <w:t>Kenneth R. Possenriede</w:t>
            </w:r>
          </w:p>
        </w:tc>
        <w:tc>
          <w:tcPr>
            <w:tcW w:w="640" w:type="dxa"/>
            <w:vAlign w:val="bottom"/>
            <w:shd w:val="clear" w:color="auto" w:fill="E5E7EF"/>
          </w:tcPr>
          <w:p>
            <w:pPr>
              <w:jc w:val="right"/>
              <w:spacing w:after="0" w:line="147" w:lineRule="exact"/>
              <w:rPr>
                <w:sz w:val="20"/>
                <w:szCs w:val="20"/>
                <w:color w:val="auto"/>
              </w:rPr>
            </w:pPr>
            <w:r>
              <w:rPr>
                <w:rFonts w:ascii="Arial" w:cs="Arial" w:eastAsia="Arial" w:hAnsi="Arial"/>
                <w:sz w:val="14"/>
                <w:szCs w:val="14"/>
                <w:color w:val="auto"/>
              </w:rPr>
              <w:t>2020</w:t>
            </w:r>
          </w:p>
        </w:tc>
        <w:tc>
          <w:tcPr>
            <w:tcW w:w="860" w:type="dxa"/>
            <w:vAlign w:val="bottom"/>
            <w:shd w:val="clear" w:color="auto" w:fill="E5E7EF"/>
          </w:tcPr>
          <w:p>
            <w:pPr>
              <w:jc w:val="right"/>
              <w:spacing w:after="0" w:line="147" w:lineRule="exact"/>
              <w:rPr>
                <w:sz w:val="20"/>
                <w:szCs w:val="20"/>
                <w:color w:val="auto"/>
              </w:rPr>
            </w:pPr>
            <w:r>
              <w:rPr>
                <w:rFonts w:ascii="Arial" w:cs="Arial" w:eastAsia="Arial" w:hAnsi="Arial"/>
                <w:sz w:val="14"/>
                <w:szCs w:val="14"/>
                <w:color w:val="auto"/>
              </w:rPr>
              <w:t>1,000,769</w:t>
            </w:r>
          </w:p>
        </w:tc>
        <w:tc>
          <w:tcPr>
            <w:tcW w:w="40" w:type="dxa"/>
            <w:vAlign w:val="bottom"/>
            <w:shd w:val="clear" w:color="auto" w:fill="E5E7EF"/>
          </w:tcPr>
          <w:p>
            <w:pPr>
              <w:spacing w:after="0"/>
              <w:rPr>
                <w:sz w:val="12"/>
                <w:szCs w:val="12"/>
                <w:color w:val="auto"/>
              </w:rPr>
            </w:pPr>
          </w:p>
        </w:tc>
        <w:tc>
          <w:tcPr>
            <w:tcW w:w="1120" w:type="dxa"/>
            <w:vAlign w:val="bottom"/>
            <w:shd w:val="clear" w:color="auto" w:fill="E5E7EF"/>
          </w:tcPr>
          <w:p>
            <w:pPr>
              <w:jc w:val="right"/>
              <w:ind w:right="150"/>
              <w:spacing w:after="0" w:line="147" w:lineRule="exact"/>
              <w:rPr>
                <w:sz w:val="20"/>
                <w:szCs w:val="20"/>
                <w:color w:val="auto"/>
              </w:rPr>
            </w:pPr>
            <w:r>
              <w:rPr>
                <w:rFonts w:ascii="Arial" w:cs="Arial" w:eastAsia="Arial" w:hAnsi="Arial"/>
                <w:sz w:val="14"/>
                <w:szCs w:val="14"/>
                <w:color w:val="auto"/>
              </w:rPr>
              <w:t>3,973,848</w:t>
            </w:r>
          </w:p>
        </w:tc>
        <w:tc>
          <w:tcPr>
            <w:tcW w:w="1160" w:type="dxa"/>
            <w:vAlign w:val="bottom"/>
            <w:shd w:val="clear" w:color="auto" w:fill="E5E7EF"/>
          </w:tcPr>
          <w:p>
            <w:pPr>
              <w:jc w:val="right"/>
              <w:ind w:right="150"/>
              <w:spacing w:after="0" w:line="147" w:lineRule="exact"/>
              <w:rPr>
                <w:sz w:val="20"/>
                <w:szCs w:val="20"/>
                <w:color w:val="auto"/>
              </w:rPr>
            </w:pPr>
            <w:r>
              <w:rPr>
                <w:rFonts w:ascii="Arial" w:cs="Arial" w:eastAsia="Arial" w:hAnsi="Arial"/>
                <w:sz w:val="14"/>
                <w:szCs w:val="14"/>
                <w:color w:val="auto"/>
              </w:rPr>
              <w:t>2,337,700</w:t>
            </w:r>
          </w:p>
        </w:tc>
        <w:tc>
          <w:tcPr>
            <w:tcW w:w="1160" w:type="dxa"/>
            <w:vAlign w:val="bottom"/>
            <w:shd w:val="clear" w:color="auto" w:fill="E5E7EF"/>
          </w:tcPr>
          <w:p>
            <w:pPr>
              <w:jc w:val="right"/>
              <w:ind w:right="152"/>
              <w:spacing w:after="0" w:line="147" w:lineRule="exact"/>
              <w:rPr>
                <w:sz w:val="20"/>
                <w:szCs w:val="20"/>
                <w:color w:val="auto"/>
              </w:rPr>
            </w:pPr>
            <w:r>
              <w:rPr>
                <w:rFonts w:ascii="Arial" w:cs="Arial" w:eastAsia="Arial" w:hAnsi="Arial"/>
                <w:sz w:val="14"/>
                <w:szCs w:val="14"/>
                <w:color w:val="auto"/>
              </w:rPr>
              <w:t>523,825</w:t>
            </w:r>
          </w:p>
        </w:tc>
        <w:tc>
          <w:tcPr>
            <w:tcW w:w="1100" w:type="dxa"/>
            <w:vAlign w:val="bottom"/>
            <w:shd w:val="clear" w:color="auto" w:fill="E5E7EF"/>
          </w:tcPr>
          <w:p>
            <w:pPr>
              <w:jc w:val="right"/>
              <w:ind w:right="90"/>
              <w:spacing w:after="0" w:line="147" w:lineRule="exact"/>
              <w:rPr>
                <w:sz w:val="20"/>
                <w:szCs w:val="20"/>
                <w:color w:val="auto"/>
              </w:rPr>
            </w:pPr>
            <w:r>
              <w:rPr>
                <w:rFonts w:ascii="Arial" w:cs="Arial" w:eastAsia="Arial" w:hAnsi="Arial"/>
                <w:sz w:val="14"/>
                <w:szCs w:val="14"/>
                <w:color w:val="auto"/>
              </w:rPr>
              <w:t>170,581</w:t>
            </w:r>
          </w:p>
        </w:tc>
        <w:tc>
          <w:tcPr>
            <w:tcW w:w="900" w:type="dxa"/>
            <w:vAlign w:val="bottom"/>
            <w:tcBorders>
              <w:right w:val="single" w:sz="8" w:color="002E6D"/>
            </w:tcBorders>
            <w:shd w:val="clear" w:color="auto" w:fill="E5E7EF"/>
          </w:tcPr>
          <w:p>
            <w:pPr>
              <w:jc w:val="right"/>
              <w:ind w:right="10"/>
              <w:spacing w:after="0" w:line="147" w:lineRule="exact"/>
              <w:rPr>
                <w:sz w:val="20"/>
                <w:szCs w:val="20"/>
                <w:color w:val="auto"/>
              </w:rPr>
            </w:pPr>
            <w:r>
              <w:rPr>
                <w:rFonts w:ascii="Arial" w:cs="Arial" w:eastAsia="Arial" w:hAnsi="Arial"/>
                <w:sz w:val="14"/>
                <w:szCs w:val="14"/>
                <w:color w:val="auto"/>
              </w:rPr>
              <w:t>8,006,723</w:t>
            </w:r>
          </w:p>
        </w:tc>
        <w:tc>
          <w:tcPr>
            <w:tcW w:w="960" w:type="dxa"/>
            <w:vAlign w:val="bottom"/>
            <w:tcBorders>
              <w:right w:val="single" w:sz="8" w:color="002E6D"/>
            </w:tcBorders>
          </w:tcPr>
          <w:p>
            <w:pPr>
              <w:jc w:val="right"/>
              <w:ind w:right="10"/>
              <w:spacing w:after="0" w:line="147" w:lineRule="exact"/>
              <w:rPr>
                <w:sz w:val="20"/>
                <w:szCs w:val="20"/>
                <w:color w:val="auto"/>
              </w:rPr>
            </w:pPr>
            <w:r>
              <w:rPr>
                <w:rFonts w:ascii="Arial" w:cs="Arial" w:eastAsia="Arial" w:hAnsi="Arial"/>
                <w:sz w:val="14"/>
                <w:szCs w:val="14"/>
                <w:color w:val="auto"/>
              </w:rPr>
              <w:t>7,482,898</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640" w:type="dxa"/>
            <w:vAlign w:val="bottom"/>
            <w:vMerge w:val="restart"/>
            <w:shd w:val="clear" w:color="auto" w:fill="E5E7EF"/>
          </w:tcPr>
          <w:p>
            <w:pPr>
              <w:jc w:val="right"/>
              <w:spacing w:after="0"/>
              <w:rPr>
                <w:sz w:val="20"/>
                <w:szCs w:val="20"/>
                <w:color w:val="auto"/>
              </w:rPr>
            </w:pPr>
            <w:r>
              <w:rPr>
                <w:rFonts w:ascii="Arial" w:cs="Arial" w:eastAsia="Arial" w:hAnsi="Arial"/>
                <w:sz w:val="14"/>
                <w:szCs w:val="14"/>
                <w:color w:val="auto"/>
              </w:rPr>
              <w:t>2019</w:t>
            </w:r>
          </w:p>
        </w:tc>
        <w:tc>
          <w:tcPr>
            <w:tcW w:w="860" w:type="dxa"/>
            <w:vAlign w:val="bottom"/>
            <w:vMerge w:val="restart"/>
            <w:shd w:val="clear" w:color="auto" w:fill="E5E7EF"/>
          </w:tcPr>
          <w:p>
            <w:pPr>
              <w:jc w:val="right"/>
              <w:spacing w:after="0"/>
              <w:rPr>
                <w:sz w:val="20"/>
                <w:szCs w:val="20"/>
                <w:color w:val="auto"/>
              </w:rPr>
            </w:pPr>
            <w:r>
              <w:rPr>
                <w:rFonts w:ascii="Arial" w:cs="Arial" w:eastAsia="Arial" w:hAnsi="Arial"/>
                <w:sz w:val="14"/>
                <w:szCs w:val="14"/>
                <w:color w:val="auto"/>
              </w:rPr>
              <w:t>883,932</w:t>
            </w:r>
          </w:p>
        </w:tc>
        <w:tc>
          <w:tcPr>
            <w:tcW w:w="40" w:type="dxa"/>
            <w:vAlign w:val="bottom"/>
            <w:shd w:val="clear" w:color="auto" w:fill="E5E7EF"/>
          </w:tcPr>
          <w:p>
            <w:pPr>
              <w:spacing w:after="0"/>
              <w:rPr>
                <w:sz w:val="14"/>
                <w:szCs w:val="14"/>
                <w:color w:val="auto"/>
              </w:rPr>
            </w:pPr>
          </w:p>
        </w:tc>
        <w:tc>
          <w:tcPr>
            <w:tcW w:w="1120" w:type="dxa"/>
            <w:vAlign w:val="bottom"/>
            <w:vMerge w:val="restart"/>
            <w:shd w:val="clear" w:color="auto" w:fill="E5E7EF"/>
          </w:tcPr>
          <w:p>
            <w:pPr>
              <w:jc w:val="right"/>
              <w:ind w:right="150"/>
              <w:spacing w:after="0"/>
              <w:rPr>
                <w:sz w:val="20"/>
                <w:szCs w:val="20"/>
                <w:color w:val="auto"/>
              </w:rPr>
            </w:pPr>
            <w:r>
              <w:rPr>
                <w:rFonts w:ascii="Arial" w:cs="Arial" w:eastAsia="Arial" w:hAnsi="Arial"/>
                <w:sz w:val="14"/>
                <w:szCs w:val="14"/>
                <w:color w:val="auto"/>
              </w:rPr>
              <w:t>3,579,885</w:t>
            </w:r>
          </w:p>
        </w:tc>
        <w:tc>
          <w:tcPr>
            <w:tcW w:w="1160" w:type="dxa"/>
            <w:vAlign w:val="bottom"/>
            <w:vMerge w:val="restart"/>
            <w:shd w:val="clear" w:color="auto" w:fill="E5E7EF"/>
          </w:tcPr>
          <w:p>
            <w:pPr>
              <w:jc w:val="right"/>
              <w:ind w:right="150"/>
              <w:spacing w:after="0"/>
              <w:rPr>
                <w:sz w:val="20"/>
                <w:szCs w:val="20"/>
                <w:color w:val="auto"/>
              </w:rPr>
            </w:pPr>
            <w:r>
              <w:rPr>
                <w:rFonts w:ascii="Arial" w:cs="Arial" w:eastAsia="Arial" w:hAnsi="Arial"/>
                <w:sz w:val="14"/>
                <w:szCs w:val="14"/>
                <w:color w:val="auto"/>
              </w:rPr>
              <w:t>2,380,880</w:t>
            </w:r>
          </w:p>
        </w:tc>
        <w:tc>
          <w:tcPr>
            <w:tcW w:w="1160" w:type="dxa"/>
            <w:vAlign w:val="bottom"/>
            <w:vMerge w:val="restart"/>
            <w:shd w:val="clear" w:color="auto" w:fill="E5E7EF"/>
          </w:tcPr>
          <w:p>
            <w:pPr>
              <w:jc w:val="right"/>
              <w:ind w:right="152"/>
              <w:spacing w:after="0"/>
              <w:rPr>
                <w:sz w:val="20"/>
                <w:szCs w:val="20"/>
                <w:color w:val="auto"/>
              </w:rPr>
            </w:pPr>
            <w:r>
              <w:rPr>
                <w:rFonts w:ascii="Arial" w:cs="Arial" w:eastAsia="Arial" w:hAnsi="Arial"/>
                <w:sz w:val="14"/>
                <w:szCs w:val="14"/>
                <w:color w:val="auto"/>
              </w:rPr>
              <w:t>1,678,553</w:t>
            </w:r>
          </w:p>
        </w:tc>
        <w:tc>
          <w:tcPr>
            <w:tcW w:w="1100" w:type="dxa"/>
            <w:vAlign w:val="bottom"/>
            <w:vMerge w:val="restart"/>
            <w:shd w:val="clear" w:color="auto" w:fill="E5E7EF"/>
          </w:tcPr>
          <w:p>
            <w:pPr>
              <w:jc w:val="right"/>
              <w:ind w:right="90"/>
              <w:spacing w:after="0"/>
              <w:rPr>
                <w:sz w:val="20"/>
                <w:szCs w:val="20"/>
                <w:color w:val="auto"/>
              </w:rPr>
            </w:pPr>
            <w:r>
              <w:rPr>
                <w:rFonts w:ascii="Arial" w:cs="Arial" w:eastAsia="Arial" w:hAnsi="Arial"/>
                <w:sz w:val="14"/>
                <w:szCs w:val="14"/>
                <w:color w:val="auto"/>
              </w:rPr>
              <w:t>738,980</w:t>
            </w:r>
          </w:p>
        </w:tc>
        <w:tc>
          <w:tcPr>
            <w:tcW w:w="900" w:type="dxa"/>
            <w:vAlign w:val="bottom"/>
            <w:tcBorders>
              <w:right w:val="single" w:sz="8" w:color="002E6D"/>
            </w:tcBorders>
            <w:vMerge w:val="restart"/>
            <w:shd w:val="clear" w:color="auto" w:fill="E5E7EF"/>
          </w:tcPr>
          <w:p>
            <w:pPr>
              <w:jc w:val="right"/>
              <w:ind w:right="10"/>
              <w:spacing w:after="0"/>
              <w:rPr>
                <w:sz w:val="20"/>
                <w:szCs w:val="20"/>
                <w:color w:val="auto"/>
              </w:rPr>
            </w:pPr>
            <w:r>
              <w:rPr>
                <w:rFonts w:ascii="Arial" w:cs="Arial" w:eastAsia="Arial" w:hAnsi="Arial"/>
                <w:sz w:val="14"/>
                <w:szCs w:val="14"/>
                <w:color w:val="auto"/>
              </w:rPr>
              <w:t>9,262,230</w:t>
            </w:r>
          </w:p>
        </w:tc>
        <w:tc>
          <w:tcPr>
            <w:tcW w:w="960" w:type="dxa"/>
            <w:vAlign w:val="bottom"/>
            <w:tcBorders>
              <w:right w:val="single" w:sz="8" w:color="002E6D"/>
            </w:tcBorders>
            <w:vMerge w:val="restart"/>
          </w:tcPr>
          <w:p>
            <w:pPr>
              <w:jc w:val="right"/>
              <w:ind w:right="10"/>
              <w:spacing w:after="0"/>
              <w:rPr>
                <w:sz w:val="20"/>
                <w:szCs w:val="20"/>
                <w:color w:val="auto"/>
              </w:rPr>
            </w:pPr>
            <w:r>
              <w:rPr>
                <w:rFonts w:ascii="Arial" w:cs="Arial" w:eastAsia="Arial" w:hAnsi="Arial"/>
                <w:sz w:val="14"/>
                <w:szCs w:val="14"/>
                <w:color w:val="auto"/>
              </w:rPr>
              <w:t>7,583,677</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640" w:type="dxa"/>
            <w:vAlign w:val="bottom"/>
            <w:vMerge w:val="continue"/>
            <w:shd w:val="clear" w:color="auto" w:fill="E5E7EF"/>
          </w:tcPr>
          <w:p>
            <w:pPr>
              <w:spacing w:after="0"/>
              <w:rPr>
                <w:sz w:val="9"/>
                <w:szCs w:val="9"/>
                <w:color w:val="auto"/>
              </w:rPr>
            </w:pPr>
          </w:p>
        </w:tc>
        <w:tc>
          <w:tcPr>
            <w:tcW w:w="860" w:type="dxa"/>
            <w:vAlign w:val="bottom"/>
            <w:vMerge w:val="continue"/>
            <w:shd w:val="clear" w:color="auto" w:fill="E5E7EF"/>
          </w:tcPr>
          <w:p>
            <w:pPr>
              <w:spacing w:after="0"/>
              <w:rPr>
                <w:sz w:val="9"/>
                <w:szCs w:val="9"/>
                <w:color w:val="auto"/>
              </w:rPr>
            </w:pPr>
          </w:p>
        </w:tc>
        <w:tc>
          <w:tcPr>
            <w:tcW w:w="40" w:type="dxa"/>
            <w:vAlign w:val="bottom"/>
            <w:shd w:val="clear" w:color="auto" w:fill="E5E7EF"/>
          </w:tcPr>
          <w:p>
            <w:pPr>
              <w:spacing w:after="0"/>
              <w:rPr>
                <w:sz w:val="9"/>
                <w:szCs w:val="9"/>
                <w:color w:val="auto"/>
              </w:rPr>
            </w:pPr>
          </w:p>
        </w:tc>
        <w:tc>
          <w:tcPr>
            <w:tcW w:w="1120" w:type="dxa"/>
            <w:vAlign w:val="bottom"/>
            <w:vMerge w:val="continue"/>
            <w:shd w:val="clear" w:color="auto" w:fill="E5E7EF"/>
          </w:tcPr>
          <w:p>
            <w:pPr>
              <w:spacing w:after="0"/>
              <w:rPr>
                <w:sz w:val="9"/>
                <w:szCs w:val="9"/>
                <w:color w:val="auto"/>
              </w:rPr>
            </w:pPr>
          </w:p>
        </w:tc>
        <w:tc>
          <w:tcPr>
            <w:tcW w:w="1160" w:type="dxa"/>
            <w:vAlign w:val="bottom"/>
            <w:vMerge w:val="continue"/>
            <w:shd w:val="clear" w:color="auto" w:fill="E5E7EF"/>
          </w:tcPr>
          <w:p>
            <w:pPr>
              <w:spacing w:after="0"/>
              <w:rPr>
                <w:sz w:val="9"/>
                <w:szCs w:val="9"/>
                <w:color w:val="auto"/>
              </w:rPr>
            </w:pPr>
          </w:p>
        </w:tc>
        <w:tc>
          <w:tcPr>
            <w:tcW w:w="1160" w:type="dxa"/>
            <w:vAlign w:val="bottom"/>
            <w:vMerge w:val="continue"/>
            <w:shd w:val="clear" w:color="auto" w:fill="E5E7EF"/>
          </w:tcPr>
          <w:p>
            <w:pPr>
              <w:spacing w:after="0"/>
              <w:rPr>
                <w:sz w:val="9"/>
                <w:szCs w:val="9"/>
                <w:color w:val="auto"/>
              </w:rPr>
            </w:pPr>
          </w:p>
        </w:tc>
        <w:tc>
          <w:tcPr>
            <w:tcW w:w="1100" w:type="dxa"/>
            <w:vAlign w:val="bottom"/>
            <w:vMerge w:val="continue"/>
            <w:shd w:val="clear" w:color="auto" w:fill="E5E7EF"/>
          </w:tcPr>
          <w:p>
            <w:pPr>
              <w:spacing w:after="0"/>
              <w:rPr>
                <w:sz w:val="9"/>
                <w:szCs w:val="9"/>
                <w:color w:val="auto"/>
              </w:rPr>
            </w:pPr>
          </w:p>
        </w:tc>
        <w:tc>
          <w:tcPr>
            <w:tcW w:w="900" w:type="dxa"/>
            <w:vAlign w:val="bottom"/>
            <w:tcBorders>
              <w:right w:val="single" w:sz="8" w:color="002E6D"/>
            </w:tcBorders>
            <w:vMerge w:val="continue"/>
            <w:shd w:val="clear" w:color="auto" w:fill="E5E7EF"/>
          </w:tcPr>
          <w:p>
            <w:pPr>
              <w:spacing w:after="0"/>
              <w:rPr>
                <w:sz w:val="9"/>
                <w:szCs w:val="9"/>
                <w:color w:val="auto"/>
              </w:rPr>
            </w:pPr>
          </w:p>
        </w:tc>
        <w:tc>
          <w:tcPr>
            <w:tcW w:w="960" w:type="dxa"/>
            <w:vAlign w:val="bottom"/>
            <w:tcBorders>
              <w:right w:val="single" w:sz="8" w:color="002E6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320" w:type="dxa"/>
            <w:vAlign w:val="bottom"/>
            <w:tcBorders>
              <w:bottom w:val="single" w:sz="8" w:color="939598"/>
            </w:tcBorders>
          </w:tcPr>
          <w:p>
            <w:pPr>
              <w:spacing w:after="0"/>
              <w:rPr>
                <w:sz w:val="5"/>
                <w:szCs w:val="5"/>
                <w:color w:val="auto"/>
              </w:rPr>
            </w:pPr>
          </w:p>
        </w:tc>
        <w:tc>
          <w:tcPr>
            <w:tcW w:w="640" w:type="dxa"/>
            <w:vAlign w:val="bottom"/>
            <w:tcBorders>
              <w:bottom w:val="single" w:sz="8" w:color="959595"/>
            </w:tcBorders>
            <w:shd w:val="clear" w:color="auto" w:fill="E5E7EF"/>
          </w:tcPr>
          <w:p>
            <w:pPr>
              <w:spacing w:after="0"/>
              <w:rPr>
                <w:sz w:val="5"/>
                <w:szCs w:val="5"/>
                <w:color w:val="auto"/>
              </w:rPr>
            </w:pPr>
          </w:p>
        </w:tc>
        <w:tc>
          <w:tcPr>
            <w:tcW w:w="860" w:type="dxa"/>
            <w:vAlign w:val="bottom"/>
            <w:tcBorders>
              <w:bottom w:val="single" w:sz="8" w:color="959595"/>
            </w:tcBorders>
            <w:shd w:val="clear" w:color="auto" w:fill="E5E7EF"/>
          </w:tcPr>
          <w:p>
            <w:pPr>
              <w:spacing w:after="0"/>
              <w:rPr>
                <w:sz w:val="5"/>
                <w:szCs w:val="5"/>
                <w:color w:val="auto"/>
              </w:rPr>
            </w:pPr>
          </w:p>
        </w:tc>
        <w:tc>
          <w:tcPr>
            <w:tcW w:w="40" w:type="dxa"/>
            <w:vAlign w:val="bottom"/>
            <w:tcBorders>
              <w:bottom w:val="single" w:sz="8" w:color="959595"/>
            </w:tcBorders>
            <w:shd w:val="clear" w:color="auto" w:fill="E5E7EF"/>
          </w:tcPr>
          <w:p>
            <w:pPr>
              <w:spacing w:after="0"/>
              <w:rPr>
                <w:sz w:val="5"/>
                <w:szCs w:val="5"/>
                <w:color w:val="auto"/>
              </w:rPr>
            </w:pPr>
          </w:p>
        </w:tc>
        <w:tc>
          <w:tcPr>
            <w:tcW w:w="1120" w:type="dxa"/>
            <w:vAlign w:val="bottom"/>
            <w:tcBorders>
              <w:bottom w:val="single" w:sz="8" w:color="959595"/>
            </w:tcBorders>
            <w:shd w:val="clear" w:color="auto" w:fill="E5E7EF"/>
          </w:tcPr>
          <w:p>
            <w:pPr>
              <w:spacing w:after="0"/>
              <w:rPr>
                <w:sz w:val="5"/>
                <w:szCs w:val="5"/>
                <w:color w:val="auto"/>
              </w:rPr>
            </w:pPr>
          </w:p>
        </w:tc>
        <w:tc>
          <w:tcPr>
            <w:tcW w:w="1160" w:type="dxa"/>
            <w:vAlign w:val="bottom"/>
            <w:tcBorders>
              <w:bottom w:val="single" w:sz="8" w:color="959595"/>
            </w:tcBorders>
            <w:shd w:val="clear" w:color="auto" w:fill="E5E7EF"/>
          </w:tcPr>
          <w:p>
            <w:pPr>
              <w:spacing w:after="0"/>
              <w:rPr>
                <w:sz w:val="5"/>
                <w:szCs w:val="5"/>
                <w:color w:val="auto"/>
              </w:rPr>
            </w:pPr>
          </w:p>
        </w:tc>
        <w:tc>
          <w:tcPr>
            <w:tcW w:w="1160" w:type="dxa"/>
            <w:vAlign w:val="bottom"/>
            <w:tcBorders>
              <w:bottom w:val="single" w:sz="8" w:color="959595"/>
            </w:tcBorders>
            <w:shd w:val="clear" w:color="auto" w:fill="E5E7EF"/>
          </w:tcPr>
          <w:p>
            <w:pPr>
              <w:spacing w:after="0"/>
              <w:rPr>
                <w:sz w:val="5"/>
                <w:szCs w:val="5"/>
                <w:color w:val="auto"/>
              </w:rPr>
            </w:pPr>
          </w:p>
        </w:tc>
        <w:tc>
          <w:tcPr>
            <w:tcW w:w="1100" w:type="dxa"/>
            <w:vAlign w:val="bottom"/>
            <w:tcBorders>
              <w:bottom w:val="single" w:sz="8" w:color="959595"/>
            </w:tcBorders>
            <w:shd w:val="clear" w:color="auto" w:fill="E5E7EF"/>
          </w:tcPr>
          <w:p>
            <w:pPr>
              <w:spacing w:after="0"/>
              <w:rPr>
                <w:sz w:val="5"/>
                <w:szCs w:val="5"/>
                <w:color w:val="auto"/>
              </w:rPr>
            </w:pPr>
          </w:p>
        </w:tc>
        <w:tc>
          <w:tcPr>
            <w:tcW w:w="900" w:type="dxa"/>
            <w:vAlign w:val="bottom"/>
            <w:tcBorders>
              <w:bottom w:val="single" w:sz="8" w:color="959595"/>
              <w:right w:val="single" w:sz="8" w:color="002E6D"/>
            </w:tcBorders>
            <w:shd w:val="clear" w:color="auto" w:fill="E5E7EF"/>
          </w:tcPr>
          <w:p>
            <w:pPr>
              <w:spacing w:after="0"/>
              <w:rPr>
                <w:sz w:val="5"/>
                <w:szCs w:val="5"/>
                <w:color w:val="auto"/>
              </w:rPr>
            </w:pPr>
          </w:p>
        </w:tc>
        <w:tc>
          <w:tcPr>
            <w:tcW w:w="960" w:type="dxa"/>
            <w:vAlign w:val="bottom"/>
            <w:tcBorders>
              <w:bottom w:val="single" w:sz="8" w:color="959595"/>
              <w:right w:val="single" w:sz="8" w:color="002E6D"/>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320" w:type="dxa"/>
            <w:vAlign w:val="bottom"/>
          </w:tcPr>
          <w:p>
            <w:pPr>
              <w:ind w:left="20"/>
              <w:spacing w:after="0" w:line="147" w:lineRule="exact"/>
              <w:rPr>
                <w:sz w:val="20"/>
                <w:szCs w:val="20"/>
                <w:color w:val="auto"/>
              </w:rPr>
            </w:pPr>
            <w:r>
              <w:rPr>
                <w:rFonts w:ascii="Arial" w:cs="Arial" w:eastAsia="Arial" w:hAnsi="Arial"/>
                <w:sz w:val="14"/>
                <w:szCs w:val="14"/>
                <w:b w:val="1"/>
                <w:bCs w:val="1"/>
                <w:color w:val="23255E"/>
              </w:rPr>
              <w:t>Frank A. St. John</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2020</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981,202</w:t>
            </w:r>
          </w:p>
        </w:tc>
        <w:tc>
          <w:tcPr>
            <w:tcW w:w="40" w:type="dxa"/>
            <w:vAlign w:val="bottom"/>
          </w:tcPr>
          <w:p>
            <w:pPr>
              <w:spacing w:after="0"/>
              <w:rPr>
                <w:sz w:val="12"/>
                <w:szCs w:val="12"/>
                <w:color w:val="auto"/>
              </w:rPr>
            </w:pPr>
          </w:p>
        </w:tc>
        <w:tc>
          <w:tcPr>
            <w:tcW w:w="1120" w:type="dxa"/>
            <w:vAlign w:val="bottom"/>
          </w:tcPr>
          <w:p>
            <w:pPr>
              <w:jc w:val="right"/>
              <w:ind w:right="150"/>
              <w:spacing w:after="0" w:line="147" w:lineRule="exact"/>
              <w:rPr>
                <w:sz w:val="20"/>
                <w:szCs w:val="20"/>
                <w:color w:val="auto"/>
              </w:rPr>
            </w:pPr>
            <w:r>
              <w:rPr>
                <w:rFonts w:ascii="Arial" w:cs="Arial" w:eastAsia="Arial" w:hAnsi="Arial"/>
                <w:sz w:val="14"/>
                <w:szCs w:val="14"/>
                <w:color w:val="auto"/>
              </w:rPr>
              <w:t>3,984,777</w:t>
            </w:r>
          </w:p>
        </w:tc>
        <w:tc>
          <w:tcPr>
            <w:tcW w:w="1160" w:type="dxa"/>
            <w:vAlign w:val="bottom"/>
          </w:tcPr>
          <w:p>
            <w:pPr>
              <w:jc w:val="right"/>
              <w:ind w:right="150"/>
              <w:spacing w:after="0" w:line="147" w:lineRule="exact"/>
              <w:rPr>
                <w:sz w:val="20"/>
                <w:szCs w:val="20"/>
                <w:color w:val="auto"/>
              </w:rPr>
            </w:pPr>
            <w:r>
              <w:rPr>
                <w:rFonts w:ascii="Arial" w:cs="Arial" w:eastAsia="Arial" w:hAnsi="Arial"/>
                <w:sz w:val="14"/>
                <w:szCs w:val="14"/>
                <w:color w:val="auto"/>
              </w:rPr>
              <w:t>3,177,700</w:t>
            </w:r>
          </w:p>
        </w:tc>
        <w:tc>
          <w:tcPr>
            <w:tcW w:w="1160" w:type="dxa"/>
            <w:vAlign w:val="bottom"/>
          </w:tcPr>
          <w:p>
            <w:pPr>
              <w:jc w:val="right"/>
              <w:ind w:right="152"/>
              <w:spacing w:after="0" w:line="147" w:lineRule="exact"/>
              <w:rPr>
                <w:sz w:val="20"/>
                <w:szCs w:val="20"/>
                <w:color w:val="auto"/>
              </w:rPr>
            </w:pPr>
            <w:r>
              <w:rPr>
                <w:rFonts w:ascii="Arial" w:cs="Arial" w:eastAsia="Arial" w:hAnsi="Arial"/>
                <w:sz w:val="14"/>
                <w:szCs w:val="14"/>
                <w:color w:val="auto"/>
              </w:rPr>
              <w:t>968,931</w:t>
            </w:r>
          </w:p>
        </w:tc>
        <w:tc>
          <w:tcPr>
            <w:tcW w:w="1100" w:type="dxa"/>
            <w:vAlign w:val="bottom"/>
          </w:tcPr>
          <w:p>
            <w:pPr>
              <w:jc w:val="right"/>
              <w:ind w:right="90"/>
              <w:spacing w:after="0" w:line="147" w:lineRule="exact"/>
              <w:rPr>
                <w:sz w:val="20"/>
                <w:szCs w:val="20"/>
                <w:color w:val="auto"/>
              </w:rPr>
            </w:pPr>
            <w:r>
              <w:rPr>
                <w:rFonts w:ascii="Arial" w:cs="Arial" w:eastAsia="Arial" w:hAnsi="Arial"/>
                <w:sz w:val="14"/>
                <w:szCs w:val="14"/>
                <w:color w:val="auto"/>
              </w:rPr>
              <w:t>406,495</w:t>
            </w:r>
          </w:p>
        </w:tc>
        <w:tc>
          <w:tcPr>
            <w:tcW w:w="900" w:type="dxa"/>
            <w:vAlign w:val="bottom"/>
            <w:tcBorders>
              <w:right w:val="single" w:sz="8" w:color="002E6D"/>
            </w:tcBorders>
          </w:tcPr>
          <w:p>
            <w:pPr>
              <w:jc w:val="right"/>
              <w:ind w:right="10"/>
              <w:spacing w:after="0" w:line="147" w:lineRule="exact"/>
              <w:rPr>
                <w:sz w:val="20"/>
                <w:szCs w:val="20"/>
                <w:color w:val="auto"/>
              </w:rPr>
            </w:pPr>
            <w:r>
              <w:rPr>
                <w:rFonts w:ascii="Arial" w:cs="Arial" w:eastAsia="Arial" w:hAnsi="Arial"/>
                <w:sz w:val="14"/>
                <w:szCs w:val="14"/>
                <w:color w:val="auto"/>
              </w:rPr>
              <w:t>9,519,105</w:t>
            </w:r>
          </w:p>
        </w:tc>
        <w:tc>
          <w:tcPr>
            <w:tcW w:w="960" w:type="dxa"/>
            <w:vAlign w:val="bottom"/>
            <w:tcBorders>
              <w:right w:val="single" w:sz="8" w:color="002E6D"/>
            </w:tcBorders>
          </w:tcPr>
          <w:p>
            <w:pPr>
              <w:jc w:val="right"/>
              <w:ind w:right="10"/>
              <w:spacing w:after="0" w:line="147" w:lineRule="exact"/>
              <w:rPr>
                <w:sz w:val="20"/>
                <w:szCs w:val="20"/>
                <w:color w:val="auto"/>
              </w:rPr>
            </w:pPr>
            <w:r>
              <w:rPr>
                <w:rFonts w:ascii="Arial" w:cs="Arial" w:eastAsia="Arial" w:hAnsi="Arial"/>
                <w:sz w:val="14"/>
                <w:szCs w:val="14"/>
                <w:color w:val="auto"/>
              </w:rPr>
              <w:t>8,550,174</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4"/>
                <w:szCs w:val="14"/>
                <w:color w:val="auto"/>
              </w:rPr>
              <w:t>Chief Operating Officer</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900,673</w:t>
            </w:r>
          </w:p>
        </w:tc>
        <w:tc>
          <w:tcPr>
            <w:tcW w:w="40" w:type="dxa"/>
            <w:vAlign w:val="bottom"/>
          </w:tcPr>
          <w:p>
            <w:pPr>
              <w:spacing w:after="0"/>
              <w:rPr>
                <w:sz w:val="14"/>
                <w:szCs w:val="14"/>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4"/>
                <w:szCs w:val="14"/>
                <w:color w:val="auto"/>
              </w:rPr>
              <w:t>3,122,369</w:t>
            </w:r>
          </w:p>
        </w:tc>
        <w:tc>
          <w:tcPr>
            <w:tcW w:w="1160" w:type="dxa"/>
            <w:vAlign w:val="bottom"/>
            <w:vMerge w:val="restart"/>
          </w:tcPr>
          <w:p>
            <w:pPr>
              <w:jc w:val="right"/>
              <w:ind w:right="150"/>
              <w:spacing w:after="0"/>
              <w:rPr>
                <w:sz w:val="20"/>
                <w:szCs w:val="20"/>
                <w:color w:val="auto"/>
              </w:rPr>
            </w:pPr>
            <w:r>
              <w:rPr>
                <w:rFonts w:ascii="Arial" w:cs="Arial" w:eastAsia="Arial" w:hAnsi="Arial"/>
                <w:sz w:val="14"/>
                <w:szCs w:val="14"/>
                <w:color w:val="auto"/>
              </w:rPr>
              <w:t>2,503,697</w:t>
            </w: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color w:val="auto"/>
              </w:rPr>
              <w:t>1,410,068</w:t>
            </w:r>
          </w:p>
        </w:tc>
        <w:tc>
          <w:tcPr>
            <w:tcW w:w="1100" w:type="dxa"/>
            <w:vAlign w:val="bottom"/>
            <w:vMerge w:val="restart"/>
          </w:tcPr>
          <w:p>
            <w:pPr>
              <w:jc w:val="right"/>
              <w:ind w:right="90"/>
              <w:spacing w:after="0"/>
              <w:rPr>
                <w:sz w:val="20"/>
                <w:szCs w:val="20"/>
                <w:color w:val="auto"/>
              </w:rPr>
            </w:pPr>
            <w:r>
              <w:rPr>
                <w:rFonts w:ascii="Arial" w:cs="Arial" w:eastAsia="Arial" w:hAnsi="Arial"/>
                <w:sz w:val="14"/>
                <w:szCs w:val="14"/>
                <w:color w:val="auto"/>
              </w:rPr>
              <w:t>583,012</w:t>
            </w:r>
          </w:p>
        </w:tc>
        <w:tc>
          <w:tcPr>
            <w:tcW w:w="900" w:type="dxa"/>
            <w:vAlign w:val="bottom"/>
            <w:tcBorders>
              <w:right w:val="single" w:sz="8" w:color="002E6D"/>
            </w:tcBorders>
            <w:vMerge w:val="restart"/>
          </w:tcPr>
          <w:p>
            <w:pPr>
              <w:jc w:val="right"/>
              <w:ind w:right="10"/>
              <w:spacing w:after="0"/>
              <w:rPr>
                <w:sz w:val="20"/>
                <w:szCs w:val="20"/>
                <w:color w:val="auto"/>
              </w:rPr>
            </w:pPr>
            <w:r>
              <w:rPr>
                <w:rFonts w:ascii="Arial" w:cs="Arial" w:eastAsia="Arial" w:hAnsi="Arial"/>
                <w:sz w:val="14"/>
                <w:szCs w:val="14"/>
                <w:color w:val="auto"/>
              </w:rPr>
              <w:t>8,519,819</w:t>
            </w:r>
          </w:p>
        </w:tc>
        <w:tc>
          <w:tcPr>
            <w:tcW w:w="960" w:type="dxa"/>
            <w:vAlign w:val="bottom"/>
            <w:tcBorders>
              <w:right w:val="single" w:sz="8" w:color="002E6D"/>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tcBorders>
              <w:right w:val="single" w:sz="8" w:color="002E6D"/>
            </w:tcBorders>
            <w:vMerge w:val="continue"/>
          </w:tcPr>
          <w:p>
            <w:pPr>
              <w:spacing w:after="0"/>
              <w:rPr>
                <w:sz w:val="9"/>
                <w:szCs w:val="9"/>
                <w:color w:val="auto"/>
              </w:rPr>
            </w:pPr>
          </w:p>
        </w:tc>
        <w:tc>
          <w:tcPr>
            <w:tcW w:w="960" w:type="dxa"/>
            <w:vAlign w:val="bottom"/>
            <w:tcBorders>
              <w:right w:val="single" w:sz="8" w:color="002E6D"/>
            </w:tcBorders>
            <w:vMerge w:val="restart"/>
          </w:tcPr>
          <w:p>
            <w:pPr>
              <w:jc w:val="right"/>
              <w:ind w:right="10"/>
              <w:spacing w:after="0"/>
              <w:rPr>
                <w:sz w:val="20"/>
                <w:szCs w:val="20"/>
                <w:color w:val="auto"/>
              </w:rPr>
            </w:pPr>
            <w:r>
              <w:rPr>
                <w:rFonts w:ascii="Arial" w:cs="Arial" w:eastAsia="Arial" w:hAnsi="Arial"/>
                <w:sz w:val="14"/>
                <w:szCs w:val="14"/>
                <w:color w:val="auto"/>
              </w:rPr>
              <w:t>7,109,751</w:t>
            </w: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00" w:type="dxa"/>
            <w:vAlign w:val="bottom"/>
            <w:tcBorders>
              <w:right w:val="single" w:sz="8" w:color="002E6D"/>
            </w:tcBorders>
          </w:tcPr>
          <w:p>
            <w:pPr>
              <w:spacing w:after="0"/>
              <w:rPr>
                <w:sz w:val="5"/>
                <w:szCs w:val="5"/>
                <w:color w:val="auto"/>
              </w:rPr>
            </w:pPr>
          </w:p>
        </w:tc>
        <w:tc>
          <w:tcPr>
            <w:tcW w:w="960" w:type="dxa"/>
            <w:vAlign w:val="bottom"/>
            <w:tcBorders>
              <w:right w:val="single" w:sz="8" w:color="002E6D"/>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2018</w:t>
            </w:r>
          </w:p>
        </w:tc>
        <w:tc>
          <w:tcPr>
            <w:tcW w:w="860" w:type="dxa"/>
            <w:vAlign w:val="bottom"/>
          </w:tcPr>
          <w:p>
            <w:pPr>
              <w:jc w:val="right"/>
              <w:spacing w:after="0"/>
              <w:rPr>
                <w:sz w:val="20"/>
                <w:szCs w:val="20"/>
                <w:color w:val="auto"/>
              </w:rPr>
            </w:pPr>
            <w:r>
              <w:rPr>
                <w:rFonts w:ascii="Arial" w:cs="Arial" w:eastAsia="Arial" w:hAnsi="Arial"/>
                <w:sz w:val="14"/>
                <w:szCs w:val="14"/>
                <w:color w:val="auto"/>
              </w:rPr>
              <w:t>848,462</w:t>
            </w:r>
          </w:p>
        </w:tc>
        <w:tc>
          <w:tcPr>
            <w:tcW w:w="40" w:type="dxa"/>
            <w:vAlign w:val="bottom"/>
          </w:tcPr>
          <w:p>
            <w:pPr>
              <w:spacing w:after="0"/>
              <w:rPr>
                <w:sz w:val="16"/>
                <w:szCs w:val="16"/>
                <w:color w:val="auto"/>
              </w:rPr>
            </w:pP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2,880,137</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2,081,940</w:t>
            </w:r>
          </w:p>
        </w:tc>
        <w:tc>
          <w:tcPr>
            <w:tcW w:w="1160" w:type="dxa"/>
            <w:vAlign w:val="bottom"/>
          </w:tcPr>
          <w:p>
            <w:pPr>
              <w:jc w:val="right"/>
              <w:ind w:right="152"/>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255,109</w:t>
            </w:r>
          </w:p>
        </w:tc>
        <w:tc>
          <w:tcPr>
            <w:tcW w:w="900" w:type="dxa"/>
            <w:vAlign w:val="bottom"/>
            <w:tcBorders>
              <w:right w:val="single" w:sz="8" w:color="002E6D"/>
            </w:tcBorders>
          </w:tcPr>
          <w:p>
            <w:pPr>
              <w:jc w:val="right"/>
              <w:ind w:right="10"/>
              <w:spacing w:after="0"/>
              <w:rPr>
                <w:sz w:val="20"/>
                <w:szCs w:val="20"/>
                <w:color w:val="auto"/>
              </w:rPr>
            </w:pPr>
            <w:r>
              <w:rPr>
                <w:rFonts w:ascii="Arial" w:cs="Arial" w:eastAsia="Arial" w:hAnsi="Arial"/>
                <w:sz w:val="14"/>
                <w:szCs w:val="14"/>
                <w:color w:val="auto"/>
              </w:rPr>
              <w:t>6,065,648</w:t>
            </w:r>
          </w:p>
        </w:tc>
        <w:tc>
          <w:tcPr>
            <w:tcW w:w="960" w:type="dxa"/>
            <w:vAlign w:val="bottom"/>
            <w:tcBorders>
              <w:right w:val="single" w:sz="8" w:color="002E6D"/>
            </w:tcBorders>
          </w:tcPr>
          <w:p>
            <w:pPr>
              <w:jc w:val="right"/>
              <w:ind w:right="10"/>
              <w:spacing w:after="0"/>
              <w:rPr>
                <w:sz w:val="20"/>
                <w:szCs w:val="20"/>
                <w:color w:val="auto"/>
              </w:rPr>
            </w:pPr>
            <w:r>
              <w:rPr>
                <w:rFonts w:ascii="Arial" w:cs="Arial" w:eastAsia="Arial" w:hAnsi="Arial"/>
                <w:sz w:val="14"/>
                <w:szCs w:val="14"/>
                <w:color w:val="auto"/>
              </w:rPr>
              <w:t>6,065,648</w:t>
            </w:r>
          </w:p>
        </w:tc>
        <w:tc>
          <w:tcPr>
            <w:tcW w:w="0" w:type="dxa"/>
            <w:vAlign w:val="bottom"/>
          </w:tcPr>
          <w:p>
            <w:pPr>
              <w:spacing w:after="0"/>
              <w:rPr>
                <w:sz w:val="1"/>
                <w:szCs w:val="1"/>
                <w:color w:val="auto"/>
              </w:rPr>
            </w:pPr>
          </w:p>
        </w:tc>
      </w:tr>
      <w:tr>
        <w:trPr>
          <w:trHeight w:val="66"/>
        </w:trPr>
        <w:tc>
          <w:tcPr>
            <w:tcW w:w="3320" w:type="dxa"/>
            <w:vAlign w:val="bottom"/>
            <w:tcBorders>
              <w:bottom w:val="single" w:sz="8" w:color="929292"/>
            </w:tcBorders>
          </w:tcPr>
          <w:p>
            <w:pPr>
              <w:spacing w:after="0"/>
              <w:rPr>
                <w:sz w:val="5"/>
                <w:szCs w:val="5"/>
                <w:color w:val="auto"/>
              </w:rPr>
            </w:pPr>
          </w:p>
        </w:tc>
        <w:tc>
          <w:tcPr>
            <w:tcW w:w="640" w:type="dxa"/>
            <w:vAlign w:val="bottom"/>
            <w:tcBorders>
              <w:bottom w:val="single" w:sz="8" w:color="959595"/>
            </w:tcBorders>
          </w:tcPr>
          <w:p>
            <w:pPr>
              <w:spacing w:after="0"/>
              <w:rPr>
                <w:sz w:val="5"/>
                <w:szCs w:val="5"/>
                <w:color w:val="auto"/>
              </w:rPr>
            </w:pPr>
          </w:p>
        </w:tc>
        <w:tc>
          <w:tcPr>
            <w:tcW w:w="860" w:type="dxa"/>
            <w:vAlign w:val="bottom"/>
            <w:tcBorders>
              <w:bottom w:val="single" w:sz="8" w:color="959595"/>
            </w:tcBorders>
          </w:tcPr>
          <w:p>
            <w:pPr>
              <w:spacing w:after="0"/>
              <w:rPr>
                <w:sz w:val="5"/>
                <w:szCs w:val="5"/>
                <w:color w:val="auto"/>
              </w:rPr>
            </w:pPr>
          </w:p>
        </w:tc>
        <w:tc>
          <w:tcPr>
            <w:tcW w:w="40" w:type="dxa"/>
            <w:vAlign w:val="bottom"/>
            <w:tcBorders>
              <w:bottom w:val="single" w:sz="8" w:color="959595"/>
            </w:tcBorders>
          </w:tcPr>
          <w:p>
            <w:pPr>
              <w:spacing w:after="0"/>
              <w:rPr>
                <w:sz w:val="5"/>
                <w:szCs w:val="5"/>
                <w:color w:val="auto"/>
              </w:rPr>
            </w:pPr>
          </w:p>
        </w:tc>
        <w:tc>
          <w:tcPr>
            <w:tcW w:w="1120" w:type="dxa"/>
            <w:vAlign w:val="bottom"/>
            <w:tcBorders>
              <w:bottom w:val="single" w:sz="8" w:color="959595"/>
            </w:tcBorders>
          </w:tcPr>
          <w:p>
            <w:pPr>
              <w:spacing w:after="0"/>
              <w:rPr>
                <w:sz w:val="5"/>
                <w:szCs w:val="5"/>
                <w:color w:val="auto"/>
              </w:rPr>
            </w:pPr>
          </w:p>
        </w:tc>
        <w:tc>
          <w:tcPr>
            <w:tcW w:w="1160" w:type="dxa"/>
            <w:vAlign w:val="bottom"/>
            <w:tcBorders>
              <w:bottom w:val="single" w:sz="8" w:color="959595"/>
            </w:tcBorders>
          </w:tcPr>
          <w:p>
            <w:pPr>
              <w:spacing w:after="0"/>
              <w:rPr>
                <w:sz w:val="5"/>
                <w:szCs w:val="5"/>
                <w:color w:val="auto"/>
              </w:rPr>
            </w:pPr>
          </w:p>
        </w:tc>
        <w:tc>
          <w:tcPr>
            <w:tcW w:w="1160" w:type="dxa"/>
            <w:vAlign w:val="bottom"/>
            <w:tcBorders>
              <w:bottom w:val="single" w:sz="8" w:color="959595"/>
            </w:tcBorders>
          </w:tcPr>
          <w:p>
            <w:pPr>
              <w:spacing w:after="0"/>
              <w:rPr>
                <w:sz w:val="5"/>
                <w:szCs w:val="5"/>
                <w:color w:val="auto"/>
              </w:rPr>
            </w:pPr>
          </w:p>
        </w:tc>
        <w:tc>
          <w:tcPr>
            <w:tcW w:w="1100" w:type="dxa"/>
            <w:vAlign w:val="bottom"/>
            <w:tcBorders>
              <w:bottom w:val="single" w:sz="8" w:color="959595"/>
            </w:tcBorders>
          </w:tcPr>
          <w:p>
            <w:pPr>
              <w:spacing w:after="0"/>
              <w:rPr>
                <w:sz w:val="5"/>
                <w:szCs w:val="5"/>
                <w:color w:val="auto"/>
              </w:rPr>
            </w:pPr>
          </w:p>
        </w:tc>
        <w:tc>
          <w:tcPr>
            <w:tcW w:w="900" w:type="dxa"/>
            <w:vAlign w:val="bottom"/>
            <w:tcBorders>
              <w:bottom w:val="single" w:sz="8" w:color="959595"/>
              <w:right w:val="single" w:sz="8" w:color="002E6D"/>
            </w:tcBorders>
          </w:tcPr>
          <w:p>
            <w:pPr>
              <w:spacing w:after="0"/>
              <w:rPr>
                <w:sz w:val="5"/>
                <w:szCs w:val="5"/>
                <w:color w:val="auto"/>
              </w:rPr>
            </w:pPr>
          </w:p>
        </w:tc>
        <w:tc>
          <w:tcPr>
            <w:tcW w:w="960" w:type="dxa"/>
            <w:vAlign w:val="bottom"/>
            <w:tcBorders>
              <w:bottom w:val="single" w:sz="8" w:color="929292"/>
              <w:right w:val="single" w:sz="8" w:color="002E6D"/>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320" w:type="dxa"/>
            <w:vAlign w:val="bottom"/>
          </w:tcPr>
          <w:p>
            <w:pPr>
              <w:ind w:left="20"/>
              <w:spacing w:after="0" w:line="147" w:lineRule="exact"/>
              <w:rPr>
                <w:sz w:val="20"/>
                <w:szCs w:val="20"/>
                <w:color w:val="auto"/>
              </w:rPr>
            </w:pPr>
            <w:r>
              <w:rPr>
                <w:rFonts w:ascii="Arial" w:cs="Arial" w:eastAsia="Arial" w:hAnsi="Arial"/>
                <w:sz w:val="14"/>
                <w:szCs w:val="14"/>
                <w:b w:val="1"/>
                <w:bCs w:val="1"/>
                <w:color w:val="23255E"/>
              </w:rPr>
              <w:t>Richard F. Ambrose</w:t>
            </w:r>
          </w:p>
        </w:tc>
        <w:tc>
          <w:tcPr>
            <w:tcW w:w="640" w:type="dxa"/>
            <w:vAlign w:val="bottom"/>
            <w:shd w:val="clear" w:color="auto" w:fill="E5E7EF"/>
          </w:tcPr>
          <w:p>
            <w:pPr>
              <w:jc w:val="right"/>
              <w:spacing w:after="0" w:line="147" w:lineRule="exact"/>
              <w:rPr>
                <w:sz w:val="20"/>
                <w:szCs w:val="20"/>
                <w:color w:val="auto"/>
              </w:rPr>
            </w:pPr>
            <w:r>
              <w:rPr>
                <w:rFonts w:ascii="Arial" w:cs="Arial" w:eastAsia="Arial" w:hAnsi="Arial"/>
                <w:sz w:val="14"/>
                <w:szCs w:val="14"/>
                <w:color w:val="auto"/>
              </w:rPr>
              <w:t>2020</w:t>
            </w:r>
          </w:p>
        </w:tc>
        <w:tc>
          <w:tcPr>
            <w:tcW w:w="860" w:type="dxa"/>
            <w:vAlign w:val="bottom"/>
            <w:shd w:val="clear" w:color="auto" w:fill="E5E7EF"/>
          </w:tcPr>
          <w:p>
            <w:pPr>
              <w:jc w:val="right"/>
              <w:spacing w:after="0" w:line="147" w:lineRule="exact"/>
              <w:rPr>
                <w:sz w:val="20"/>
                <w:szCs w:val="20"/>
                <w:color w:val="auto"/>
              </w:rPr>
            </w:pPr>
            <w:r>
              <w:rPr>
                <w:rFonts w:ascii="Arial" w:cs="Arial" w:eastAsia="Arial" w:hAnsi="Arial"/>
                <w:sz w:val="14"/>
                <w:szCs w:val="14"/>
                <w:color w:val="auto"/>
              </w:rPr>
              <w:t>947,212</w:t>
            </w:r>
          </w:p>
        </w:tc>
        <w:tc>
          <w:tcPr>
            <w:tcW w:w="40" w:type="dxa"/>
            <w:vAlign w:val="bottom"/>
            <w:shd w:val="clear" w:color="auto" w:fill="E5E7EF"/>
          </w:tcPr>
          <w:p>
            <w:pPr>
              <w:spacing w:after="0"/>
              <w:rPr>
                <w:sz w:val="12"/>
                <w:szCs w:val="12"/>
                <w:color w:val="auto"/>
              </w:rPr>
            </w:pPr>
          </w:p>
        </w:tc>
        <w:tc>
          <w:tcPr>
            <w:tcW w:w="1120" w:type="dxa"/>
            <w:vAlign w:val="bottom"/>
            <w:shd w:val="clear" w:color="auto" w:fill="E5E7EF"/>
          </w:tcPr>
          <w:p>
            <w:pPr>
              <w:jc w:val="right"/>
              <w:ind w:right="150"/>
              <w:spacing w:after="0" w:line="147" w:lineRule="exact"/>
              <w:rPr>
                <w:sz w:val="20"/>
                <w:szCs w:val="20"/>
                <w:color w:val="auto"/>
              </w:rPr>
            </w:pPr>
            <w:r>
              <w:rPr>
                <w:rFonts w:ascii="Arial" w:cs="Arial" w:eastAsia="Arial" w:hAnsi="Arial"/>
                <w:sz w:val="14"/>
                <w:szCs w:val="14"/>
                <w:color w:val="auto"/>
              </w:rPr>
              <w:t>3,418,465</w:t>
            </w:r>
          </w:p>
        </w:tc>
        <w:tc>
          <w:tcPr>
            <w:tcW w:w="1160" w:type="dxa"/>
            <w:vAlign w:val="bottom"/>
            <w:shd w:val="clear" w:color="auto" w:fill="E5E7EF"/>
          </w:tcPr>
          <w:p>
            <w:pPr>
              <w:jc w:val="right"/>
              <w:ind w:right="150"/>
              <w:spacing w:after="0" w:line="147" w:lineRule="exact"/>
              <w:rPr>
                <w:sz w:val="20"/>
                <w:szCs w:val="20"/>
                <w:color w:val="auto"/>
              </w:rPr>
            </w:pPr>
            <w:r>
              <w:rPr>
                <w:rFonts w:ascii="Arial" w:cs="Arial" w:eastAsia="Arial" w:hAnsi="Arial"/>
                <w:sz w:val="14"/>
                <w:szCs w:val="14"/>
                <w:color w:val="auto"/>
              </w:rPr>
              <w:t>3,177,700</w:t>
            </w:r>
          </w:p>
        </w:tc>
        <w:tc>
          <w:tcPr>
            <w:tcW w:w="1160" w:type="dxa"/>
            <w:vAlign w:val="bottom"/>
            <w:shd w:val="clear" w:color="auto" w:fill="E5E7EF"/>
          </w:tcPr>
          <w:p>
            <w:pPr>
              <w:jc w:val="right"/>
              <w:ind w:right="152"/>
              <w:spacing w:after="0" w:line="147" w:lineRule="exact"/>
              <w:rPr>
                <w:sz w:val="20"/>
                <w:szCs w:val="20"/>
                <w:color w:val="auto"/>
              </w:rPr>
            </w:pPr>
            <w:r>
              <w:rPr>
                <w:rFonts w:ascii="Arial" w:cs="Arial" w:eastAsia="Arial" w:hAnsi="Arial"/>
                <w:sz w:val="14"/>
                <w:szCs w:val="14"/>
                <w:color w:val="auto"/>
              </w:rPr>
              <w:t>528,557</w:t>
            </w:r>
          </w:p>
        </w:tc>
        <w:tc>
          <w:tcPr>
            <w:tcW w:w="1100" w:type="dxa"/>
            <w:vAlign w:val="bottom"/>
            <w:shd w:val="clear" w:color="auto" w:fill="E5E7EF"/>
          </w:tcPr>
          <w:p>
            <w:pPr>
              <w:jc w:val="right"/>
              <w:ind w:right="90"/>
              <w:spacing w:after="0" w:line="147" w:lineRule="exact"/>
              <w:rPr>
                <w:sz w:val="20"/>
                <w:szCs w:val="20"/>
                <w:color w:val="auto"/>
              </w:rPr>
            </w:pPr>
            <w:r>
              <w:rPr>
                <w:rFonts w:ascii="Arial" w:cs="Arial" w:eastAsia="Arial" w:hAnsi="Arial"/>
                <w:sz w:val="14"/>
                <w:szCs w:val="14"/>
                <w:color w:val="auto"/>
              </w:rPr>
              <w:t>181,380</w:t>
            </w:r>
          </w:p>
        </w:tc>
        <w:tc>
          <w:tcPr>
            <w:tcW w:w="900" w:type="dxa"/>
            <w:vAlign w:val="bottom"/>
            <w:tcBorders>
              <w:right w:val="single" w:sz="8" w:color="002E6D"/>
            </w:tcBorders>
            <w:shd w:val="clear" w:color="auto" w:fill="E5E7EF"/>
          </w:tcPr>
          <w:p>
            <w:pPr>
              <w:jc w:val="right"/>
              <w:ind w:right="10"/>
              <w:spacing w:after="0" w:line="147" w:lineRule="exact"/>
              <w:rPr>
                <w:sz w:val="20"/>
                <w:szCs w:val="20"/>
                <w:color w:val="auto"/>
              </w:rPr>
            </w:pPr>
            <w:r>
              <w:rPr>
                <w:rFonts w:ascii="Arial" w:cs="Arial" w:eastAsia="Arial" w:hAnsi="Arial"/>
                <w:sz w:val="14"/>
                <w:szCs w:val="14"/>
                <w:color w:val="auto"/>
              </w:rPr>
              <w:t>8,253,314</w:t>
            </w:r>
          </w:p>
        </w:tc>
        <w:tc>
          <w:tcPr>
            <w:tcW w:w="960" w:type="dxa"/>
            <w:vAlign w:val="bottom"/>
            <w:tcBorders>
              <w:right w:val="single" w:sz="8" w:color="002E6D"/>
            </w:tcBorders>
          </w:tcPr>
          <w:p>
            <w:pPr>
              <w:jc w:val="right"/>
              <w:ind w:right="10"/>
              <w:spacing w:after="0" w:line="147" w:lineRule="exact"/>
              <w:rPr>
                <w:sz w:val="20"/>
                <w:szCs w:val="20"/>
                <w:color w:val="auto"/>
              </w:rPr>
            </w:pPr>
            <w:r>
              <w:rPr>
                <w:rFonts w:ascii="Arial" w:cs="Arial" w:eastAsia="Arial" w:hAnsi="Arial"/>
                <w:sz w:val="14"/>
                <w:szCs w:val="14"/>
                <w:color w:val="auto"/>
              </w:rPr>
              <w:t>7,724,757</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4"/>
                <w:szCs w:val="14"/>
                <w:color w:val="auto"/>
              </w:rPr>
              <w:t>Executive Vice President, Space</w:t>
            </w:r>
          </w:p>
        </w:tc>
        <w:tc>
          <w:tcPr>
            <w:tcW w:w="640" w:type="dxa"/>
            <w:vAlign w:val="bottom"/>
            <w:vMerge w:val="restart"/>
            <w:shd w:val="clear" w:color="auto" w:fill="E5E7EF"/>
          </w:tcPr>
          <w:p>
            <w:pPr>
              <w:jc w:val="right"/>
              <w:spacing w:after="0"/>
              <w:rPr>
                <w:sz w:val="20"/>
                <w:szCs w:val="20"/>
                <w:color w:val="auto"/>
              </w:rPr>
            </w:pPr>
            <w:r>
              <w:rPr>
                <w:rFonts w:ascii="Arial" w:cs="Arial" w:eastAsia="Arial" w:hAnsi="Arial"/>
                <w:sz w:val="14"/>
                <w:szCs w:val="14"/>
                <w:color w:val="auto"/>
              </w:rPr>
              <w:t>2019</w:t>
            </w:r>
          </w:p>
        </w:tc>
        <w:tc>
          <w:tcPr>
            <w:tcW w:w="860" w:type="dxa"/>
            <w:vAlign w:val="bottom"/>
            <w:vMerge w:val="restart"/>
            <w:shd w:val="clear" w:color="auto" w:fill="E5E7EF"/>
          </w:tcPr>
          <w:p>
            <w:pPr>
              <w:jc w:val="right"/>
              <w:spacing w:after="0"/>
              <w:rPr>
                <w:sz w:val="20"/>
                <w:szCs w:val="20"/>
                <w:color w:val="auto"/>
              </w:rPr>
            </w:pPr>
            <w:r>
              <w:rPr>
                <w:rFonts w:ascii="Arial" w:cs="Arial" w:eastAsia="Arial" w:hAnsi="Arial"/>
                <w:sz w:val="14"/>
                <w:szCs w:val="14"/>
                <w:color w:val="auto"/>
              </w:rPr>
              <w:t>900,673</w:t>
            </w:r>
          </w:p>
        </w:tc>
        <w:tc>
          <w:tcPr>
            <w:tcW w:w="40" w:type="dxa"/>
            <w:vAlign w:val="bottom"/>
            <w:shd w:val="clear" w:color="auto" w:fill="E5E7EF"/>
          </w:tcPr>
          <w:p>
            <w:pPr>
              <w:spacing w:after="0"/>
              <w:rPr>
                <w:sz w:val="14"/>
                <w:szCs w:val="14"/>
                <w:color w:val="auto"/>
              </w:rPr>
            </w:pPr>
          </w:p>
        </w:tc>
        <w:tc>
          <w:tcPr>
            <w:tcW w:w="1120" w:type="dxa"/>
            <w:vAlign w:val="bottom"/>
            <w:vMerge w:val="restart"/>
            <w:shd w:val="clear" w:color="auto" w:fill="E5E7EF"/>
          </w:tcPr>
          <w:p>
            <w:pPr>
              <w:jc w:val="right"/>
              <w:ind w:right="150"/>
              <w:spacing w:after="0"/>
              <w:rPr>
                <w:sz w:val="20"/>
                <w:szCs w:val="20"/>
                <w:color w:val="auto"/>
              </w:rPr>
            </w:pPr>
            <w:r>
              <w:rPr>
                <w:rFonts w:ascii="Arial" w:cs="Arial" w:eastAsia="Arial" w:hAnsi="Arial"/>
                <w:sz w:val="14"/>
                <w:szCs w:val="14"/>
                <w:color w:val="auto"/>
              </w:rPr>
              <w:t>3,122,369</w:t>
            </w:r>
          </w:p>
        </w:tc>
        <w:tc>
          <w:tcPr>
            <w:tcW w:w="1160" w:type="dxa"/>
            <w:vAlign w:val="bottom"/>
            <w:vMerge w:val="restart"/>
            <w:shd w:val="clear" w:color="auto" w:fill="E5E7EF"/>
          </w:tcPr>
          <w:p>
            <w:pPr>
              <w:jc w:val="right"/>
              <w:ind w:right="150"/>
              <w:spacing w:after="0"/>
              <w:rPr>
                <w:sz w:val="20"/>
                <w:szCs w:val="20"/>
                <w:color w:val="auto"/>
              </w:rPr>
            </w:pPr>
            <w:r>
              <w:rPr>
                <w:rFonts w:ascii="Arial" w:cs="Arial" w:eastAsia="Arial" w:hAnsi="Arial"/>
                <w:sz w:val="14"/>
                <w:szCs w:val="14"/>
                <w:color w:val="auto"/>
              </w:rPr>
              <w:t>2,845,950</w:t>
            </w:r>
          </w:p>
        </w:tc>
        <w:tc>
          <w:tcPr>
            <w:tcW w:w="1160" w:type="dxa"/>
            <w:vAlign w:val="bottom"/>
            <w:vMerge w:val="restart"/>
            <w:shd w:val="clear" w:color="auto" w:fill="E5E7EF"/>
          </w:tcPr>
          <w:p>
            <w:pPr>
              <w:jc w:val="right"/>
              <w:ind w:right="152"/>
              <w:spacing w:after="0"/>
              <w:rPr>
                <w:sz w:val="20"/>
                <w:szCs w:val="20"/>
                <w:color w:val="auto"/>
              </w:rPr>
            </w:pPr>
            <w:r>
              <w:rPr>
                <w:rFonts w:ascii="Arial" w:cs="Arial" w:eastAsia="Arial" w:hAnsi="Arial"/>
                <w:sz w:val="14"/>
                <w:szCs w:val="14"/>
                <w:color w:val="auto"/>
              </w:rPr>
              <w:t>1,513,734</w:t>
            </w:r>
          </w:p>
        </w:tc>
        <w:tc>
          <w:tcPr>
            <w:tcW w:w="1100" w:type="dxa"/>
            <w:vAlign w:val="bottom"/>
            <w:vMerge w:val="restart"/>
            <w:shd w:val="clear" w:color="auto" w:fill="E5E7EF"/>
          </w:tcPr>
          <w:p>
            <w:pPr>
              <w:jc w:val="right"/>
              <w:ind w:right="90"/>
              <w:spacing w:after="0"/>
              <w:rPr>
                <w:sz w:val="20"/>
                <w:szCs w:val="20"/>
                <w:color w:val="auto"/>
              </w:rPr>
            </w:pPr>
            <w:r>
              <w:rPr>
                <w:rFonts w:ascii="Arial" w:cs="Arial" w:eastAsia="Arial" w:hAnsi="Arial"/>
                <w:sz w:val="14"/>
                <w:szCs w:val="14"/>
                <w:color w:val="auto"/>
              </w:rPr>
              <w:t>200,781</w:t>
            </w:r>
          </w:p>
        </w:tc>
        <w:tc>
          <w:tcPr>
            <w:tcW w:w="900" w:type="dxa"/>
            <w:vAlign w:val="bottom"/>
            <w:tcBorders>
              <w:right w:val="single" w:sz="8" w:color="002E6D"/>
            </w:tcBorders>
            <w:vMerge w:val="restart"/>
            <w:shd w:val="clear" w:color="auto" w:fill="E5E7EF"/>
          </w:tcPr>
          <w:p>
            <w:pPr>
              <w:jc w:val="right"/>
              <w:ind w:right="10"/>
              <w:spacing w:after="0"/>
              <w:rPr>
                <w:sz w:val="20"/>
                <w:szCs w:val="20"/>
                <w:color w:val="auto"/>
              </w:rPr>
            </w:pPr>
            <w:r>
              <w:rPr>
                <w:rFonts w:ascii="Arial" w:cs="Arial" w:eastAsia="Arial" w:hAnsi="Arial"/>
                <w:sz w:val="14"/>
                <w:szCs w:val="14"/>
                <w:color w:val="auto"/>
              </w:rPr>
              <w:t>8,583,507</w:t>
            </w:r>
          </w:p>
        </w:tc>
        <w:tc>
          <w:tcPr>
            <w:tcW w:w="960" w:type="dxa"/>
            <w:vAlign w:val="bottom"/>
            <w:tcBorders>
              <w:right w:val="single" w:sz="8" w:color="002E6D"/>
            </w:tcBorders>
            <w:vMerge w:val="restart"/>
          </w:tcPr>
          <w:p>
            <w:pPr>
              <w:jc w:val="right"/>
              <w:ind w:right="10"/>
              <w:spacing w:after="0"/>
              <w:rPr>
                <w:sz w:val="20"/>
                <w:szCs w:val="20"/>
                <w:color w:val="auto"/>
              </w:rPr>
            </w:pPr>
            <w:r>
              <w:rPr>
                <w:rFonts w:ascii="Arial" w:cs="Arial" w:eastAsia="Arial" w:hAnsi="Arial"/>
                <w:sz w:val="14"/>
                <w:szCs w:val="14"/>
                <w:color w:val="auto"/>
              </w:rPr>
              <w:t>7,069,773</w:t>
            </w:r>
          </w:p>
        </w:tc>
        <w:tc>
          <w:tcPr>
            <w:tcW w:w="0" w:type="dxa"/>
            <w:vAlign w:val="bottom"/>
          </w:tcPr>
          <w:p>
            <w:pPr>
              <w:spacing w:after="0"/>
              <w:rPr>
                <w:sz w:val="1"/>
                <w:szCs w:val="1"/>
                <w:color w:val="auto"/>
              </w:rPr>
            </w:pPr>
          </w:p>
        </w:tc>
      </w:tr>
      <w:tr>
        <w:trPr>
          <w:trHeight w:val="174"/>
        </w:trPr>
        <w:tc>
          <w:tcPr>
            <w:tcW w:w="3320" w:type="dxa"/>
            <w:vAlign w:val="bottom"/>
          </w:tcPr>
          <w:p>
            <w:pPr>
              <w:spacing w:after="0"/>
              <w:rPr>
                <w:sz w:val="15"/>
                <w:szCs w:val="15"/>
                <w:color w:val="auto"/>
              </w:rPr>
            </w:pPr>
          </w:p>
        </w:tc>
        <w:tc>
          <w:tcPr>
            <w:tcW w:w="640" w:type="dxa"/>
            <w:vAlign w:val="bottom"/>
            <w:vMerge w:val="continue"/>
            <w:shd w:val="clear" w:color="auto" w:fill="E5E7EF"/>
          </w:tcPr>
          <w:p>
            <w:pPr>
              <w:spacing w:after="0"/>
              <w:rPr>
                <w:sz w:val="15"/>
                <w:szCs w:val="15"/>
                <w:color w:val="auto"/>
              </w:rPr>
            </w:pPr>
          </w:p>
        </w:tc>
        <w:tc>
          <w:tcPr>
            <w:tcW w:w="860" w:type="dxa"/>
            <w:vAlign w:val="bottom"/>
            <w:vMerge w:val="continue"/>
            <w:shd w:val="clear" w:color="auto" w:fill="E5E7EF"/>
          </w:tcPr>
          <w:p>
            <w:pPr>
              <w:spacing w:after="0"/>
              <w:rPr>
                <w:sz w:val="15"/>
                <w:szCs w:val="15"/>
                <w:color w:val="auto"/>
              </w:rPr>
            </w:pPr>
          </w:p>
        </w:tc>
        <w:tc>
          <w:tcPr>
            <w:tcW w:w="40" w:type="dxa"/>
            <w:vAlign w:val="bottom"/>
            <w:shd w:val="clear" w:color="auto" w:fill="E5E7EF"/>
          </w:tcPr>
          <w:p>
            <w:pPr>
              <w:spacing w:after="0"/>
              <w:rPr>
                <w:sz w:val="15"/>
                <w:szCs w:val="15"/>
                <w:color w:val="auto"/>
              </w:rPr>
            </w:pPr>
          </w:p>
        </w:tc>
        <w:tc>
          <w:tcPr>
            <w:tcW w:w="1120" w:type="dxa"/>
            <w:vAlign w:val="bottom"/>
            <w:vMerge w:val="continue"/>
            <w:shd w:val="clear" w:color="auto" w:fill="E5E7EF"/>
          </w:tcPr>
          <w:p>
            <w:pPr>
              <w:spacing w:after="0"/>
              <w:rPr>
                <w:sz w:val="15"/>
                <w:szCs w:val="15"/>
                <w:color w:val="auto"/>
              </w:rPr>
            </w:pPr>
          </w:p>
        </w:tc>
        <w:tc>
          <w:tcPr>
            <w:tcW w:w="1160" w:type="dxa"/>
            <w:vAlign w:val="bottom"/>
            <w:vMerge w:val="continue"/>
            <w:shd w:val="clear" w:color="auto" w:fill="E5E7EF"/>
          </w:tcPr>
          <w:p>
            <w:pPr>
              <w:spacing w:after="0"/>
              <w:rPr>
                <w:sz w:val="15"/>
                <w:szCs w:val="15"/>
                <w:color w:val="auto"/>
              </w:rPr>
            </w:pPr>
          </w:p>
        </w:tc>
        <w:tc>
          <w:tcPr>
            <w:tcW w:w="1160" w:type="dxa"/>
            <w:vAlign w:val="bottom"/>
            <w:vMerge w:val="continue"/>
            <w:shd w:val="clear" w:color="auto" w:fill="E5E7EF"/>
          </w:tcPr>
          <w:p>
            <w:pPr>
              <w:spacing w:after="0"/>
              <w:rPr>
                <w:sz w:val="15"/>
                <w:szCs w:val="15"/>
                <w:color w:val="auto"/>
              </w:rPr>
            </w:pPr>
          </w:p>
        </w:tc>
        <w:tc>
          <w:tcPr>
            <w:tcW w:w="1100" w:type="dxa"/>
            <w:vAlign w:val="bottom"/>
            <w:vMerge w:val="continue"/>
            <w:shd w:val="clear" w:color="auto" w:fill="E5E7EF"/>
          </w:tcPr>
          <w:p>
            <w:pPr>
              <w:spacing w:after="0"/>
              <w:rPr>
                <w:sz w:val="15"/>
                <w:szCs w:val="15"/>
                <w:color w:val="auto"/>
              </w:rPr>
            </w:pPr>
          </w:p>
        </w:tc>
        <w:tc>
          <w:tcPr>
            <w:tcW w:w="900" w:type="dxa"/>
            <w:vAlign w:val="bottom"/>
            <w:tcBorders>
              <w:right w:val="single" w:sz="8" w:color="002E6D"/>
            </w:tcBorders>
            <w:vMerge w:val="continue"/>
            <w:shd w:val="clear" w:color="auto" w:fill="E5E7EF"/>
          </w:tcPr>
          <w:p>
            <w:pPr>
              <w:spacing w:after="0"/>
              <w:rPr>
                <w:sz w:val="15"/>
                <w:szCs w:val="15"/>
                <w:color w:val="auto"/>
              </w:rPr>
            </w:pPr>
          </w:p>
        </w:tc>
        <w:tc>
          <w:tcPr>
            <w:tcW w:w="960" w:type="dxa"/>
            <w:vAlign w:val="bottom"/>
            <w:tcBorders>
              <w:right w:val="single" w:sz="8" w:color="002E6D"/>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64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2018</w:t>
            </w:r>
          </w:p>
        </w:tc>
        <w:tc>
          <w:tcPr>
            <w:tcW w:w="8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857,500</w:t>
            </w:r>
          </w:p>
        </w:tc>
        <w:tc>
          <w:tcPr>
            <w:tcW w:w="40" w:type="dxa"/>
            <w:vAlign w:val="bottom"/>
            <w:shd w:val="clear" w:color="auto" w:fill="E5E7EF"/>
          </w:tcPr>
          <w:p>
            <w:pPr>
              <w:spacing w:after="0"/>
              <w:rPr>
                <w:sz w:val="16"/>
                <w:szCs w:val="16"/>
                <w:color w:val="auto"/>
              </w:rPr>
            </w:pPr>
          </w:p>
        </w:tc>
        <w:tc>
          <w:tcPr>
            <w:tcW w:w="112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2,880,137</w:t>
            </w:r>
          </w:p>
        </w:tc>
        <w:tc>
          <w:tcPr>
            <w:tcW w:w="116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2,303,783</w:t>
            </w:r>
          </w:p>
        </w:tc>
        <w:tc>
          <w:tcPr>
            <w:tcW w:w="1160" w:type="dxa"/>
            <w:vAlign w:val="bottom"/>
            <w:shd w:val="clear" w:color="auto" w:fill="E5E7EF"/>
          </w:tcPr>
          <w:p>
            <w:pPr>
              <w:jc w:val="right"/>
              <w:ind w:right="152"/>
              <w:spacing w:after="0"/>
              <w:rPr>
                <w:sz w:val="20"/>
                <w:szCs w:val="20"/>
                <w:color w:val="auto"/>
              </w:rPr>
            </w:pPr>
            <w:r>
              <w:rPr>
                <w:rFonts w:ascii="Arial" w:cs="Arial" w:eastAsia="Arial" w:hAnsi="Arial"/>
                <w:sz w:val="14"/>
                <w:szCs w:val="14"/>
                <w:color w:val="auto"/>
              </w:rPr>
              <w:t>138,976</w:t>
            </w:r>
          </w:p>
        </w:tc>
        <w:tc>
          <w:tcPr>
            <w:tcW w:w="1100" w:type="dxa"/>
            <w:vAlign w:val="bottom"/>
            <w:shd w:val="clear" w:color="auto" w:fill="E5E7EF"/>
          </w:tcPr>
          <w:p>
            <w:pPr>
              <w:jc w:val="right"/>
              <w:ind w:right="90"/>
              <w:spacing w:after="0"/>
              <w:rPr>
                <w:sz w:val="20"/>
                <w:szCs w:val="20"/>
                <w:color w:val="auto"/>
              </w:rPr>
            </w:pPr>
            <w:r>
              <w:rPr>
                <w:rFonts w:ascii="Arial" w:cs="Arial" w:eastAsia="Arial" w:hAnsi="Arial"/>
                <w:sz w:val="14"/>
                <w:szCs w:val="14"/>
                <w:color w:val="auto"/>
              </w:rPr>
              <w:t>113,105</w:t>
            </w:r>
          </w:p>
        </w:tc>
        <w:tc>
          <w:tcPr>
            <w:tcW w:w="900" w:type="dxa"/>
            <w:vAlign w:val="bottom"/>
            <w:tcBorders>
              <w:right w:val="single" w:sz="8" w:color="002E6D"/>
            </w:tcBorders>
            <w:shd w:val="clear" w:color="auto" w:fill="E5E7EF"/>
          </w:tcPr>
          <w:p>
            <w:pPr>
              <w:jc w:val="right"/>
              <w:ind w:right="10"/>
              <w:spacing w:after="0"/>
              <w:rPr>
                <w:sz w:val="20"/>
                <w:szCs w:val="20"/>
                <w:color w:val="auto"/>
              </w:rPr>
            </w:pPr>
            <w:r>
              <w:rPr>
                <w:rFonts w:ascii="Arial" w:cs="Arial" w:eastAsia="Arial" w:hAnsi="Arial"/>
                <w:sz w:val="14"/>
                <w:szCs w:val="14"/>
                <w:color w:val="auto"/>
              </w:rPr>
              <w:t>6,293,501</w:t>
            </w:r>
          </w:p>
        </w:tc>
        <w:tc>
          <w:tcPr>
            <w:tcW w:w="960" w:type="dxa"/>
            <w:vAlign w:val="bottom"/>
            <w:tcBorders>
              <w:right w:val="single" w:sz="8" w:color="002E6D"/>
            </w:tcBorders>
          </w:tcPr>
          <w:p>
            <w:pPr>
              <w:jc w:val="right"/>
              <w:ind w:right="10"/>
              <w:spacing w:after="0"/>
              <w:rPr>
                <w:sz w:val="20"/>
                <w:szCs w:val="20"/>
                <w:color w:val="auto"/>
              </w:rPr>
            </w:pPr>
            <w:r>
              <w:rPr>
                <w:rFonts w:ascii="Arial" w:cs="Arial" w:eastAsia="Arial" w:hAnsi="Arial"/>
                <w:sz w:val="14"/>
                <w:szCs w:val="14"/>
                <w:color w:val="auto"/>
              </w:rPr>
              <w:t>6,154,525</w:t>
            </w:r>
          </w:p>
        </w:tc>
        <w:tc>
          <w:tcPr>
            <w:tcW w:w="0" w:type="dxa"/>
            <w:vAlign w:val="bottom"/>
          </w:tcPr>
          <w:p>
            <w:pPr>
              <w:spacing w:after="0"/>
              <w:rPr>
                <w:sz w:val="1"/>
                <w:szCs w:val="1"/>
                <w:color w:val="auto"/>
              </w:rPr>
            </w:pPr>
          </w:p>
        </w:tc>
      </w:tr>
      <w:tr>
        <w:trPr>
          <w:trHeight w:val="66"/>
        </w:trPr>
        <w:tc>
          <w:tcPr>
            <w:tcW w:w="3320" w:type="dxa"/>
            <w:vAlign w:val="bottom"/>
            <w:tcBorders>
              <w:bottom w:val="single" w:sz="8" w:color="959595"/>
            </w:tcBorders>
          </w:tcPr>
          <w:p>
            <w:pPr>
              <w:spacing w:after="0"/>
              <w:rPr>
                <w:sz w:val="5"/>
                <w:szCs w:val="5"/>
                <w:color w:val="auto"/>
              </w:rPr>
            </w:pPr>
          </w:p>
        </w:tc>
        <w:tc>
          <w:tcPr>
            <w:tcW w:w="640" w:type="dxa"/>
            <w:vAlign w:val="bottom"/>
            <w:tcBorders>
              <w:bottom w:val="single" w:sz="8" w:color="959595"/>
            </w:tcBorders>
            <w:shd w:val="clear" w:color="auto" w:fill="E5E7EF"/>
          </w:tcPr>
          <w:p>
            <w:pPr>
              <w:spacing w:after="0"/>
              <w:rPr>
                <w:sz w:val="5"/>
                <w:szCs w:val="5"/>
                <w:color w:val="auto"/>
              </w:rPr>
            </w:pPr>
          </w:p>
        </w:tc>
        <w:tc>
          <w:tcPr>
            <w:tcW w:w="860" w:type="dxa"/>
            <w:vAlign w:val="bottom"/>
            <w:tcBorders>
              <w:bottom w:val="single" w:sz="8" w:color="959595"/>
            </w:tcBorders>
            <w:shd w:val="clear" w:color="auto" w:fill="E5E7EF"/>
          </w:tcPr>
          <w:p>
            <w:pPr>
              <w:spacing w:after="0"/>
              <w:rPr>
                <w:sz w:val="5"/>
                <w:szCs w:val="5"/>
                <w:color w:val="auto"/>
              </w:rPr>
            </w:pPr>
          </w:p>
        </w:tc>
        <w:tc>
          <w:tcPr>
            <w:tcW w:w="40" w:type="dxa"/>
            <w:vAlign w:val="bottom"/>
            <w:tcBorders>
              <w:bottom w:val="single" w:sz="8" w:color="959595"/>
            </w:tcBorders>
            <w:shd w:val="clear" w:color="auto" w:fill="E5E7EF"/>
          </w:tcPr>
          <w:p>
            <w:pPr>
              <w:spacing w:after="0"/>
              <w:rPr>
                <w:sz w:val="5"/>
                <w:szCs w:val="5"/>
                <w:color w:val="auto"/>
              </w:rPr>
            </w:pPr>
          </w:p>
        </w:tc>
        <w:tc>
          <w:tcPr>
            <w:tcW w:w="1120" w:type="dxa"/>
            <w:vAlign w:val="bottom"/>
            <w:tcBorders>
              <w:bottom w:val="single" w:sz="8" w:color="959595"/>
            </w:tcBorders>
            <w:shd w:val="clear" w:color="auto" w:fill="E5E7EF"/>
          </w:tcPr>
          <w:p>
            <w:pPr>
              <w:spacing w:after="0"/>
              <w:rPr>
                <w:sz w:val="5"/>
                <w:szCs w:val="5"/>
                <w:color w:val="auto"/>
              </w:rPr>
            </w:pPr>
          </w:p>
        </w:tc>
        <w:tc>
          <w:tcPr>
            <w:tcW w:w="1160" w:type="dxa"/>
            <w:vAlign w:val="bottom"/>
            <w:tcBorders>
              <w:bottom w:val="single" w:sz="8" w:color="959595"/>
            </w:tcBorders>
            <w:shd w:val="clear" w:color="auto" w:fill="E5E7EF"/>
          </w:tcPr>
          <w:p>
            <w:pPr>
              <w:spacing w:after="0"/>
              <w:rPr>
                <w:sz w:val="5"/>
                <w:szCs w:val="5"/>
                <w:color w:val="auto"/>
              </w:rPr>
            </w:pPr>
          </w:p>
        </w:tc>
        <w:tc>
          <w:tcPr>
            <w:tcW w:w="1160" w:type="dxa"/>
            <w:vAlign w:val="bottom"/>
            <w:tcBorders>
              <w:bottom w:val="single" w:sz="8" w:color="959595"/>
            </w:tcBorders>
            <w:shd w:val="clear" w:color="auto" w:fill="E5E7EF"/>
          </w:tcPr>
          <w:p>
            <w:pPr>
              <w:spacing w:after="0"/>
              <w:rPr>
                <w:sz w:val="5"/>
                <w:szCs w:val="5"/>
                <w:color w:val="auto"/>
              </w:rPr>
            </w:pPr>
          </w:p>
        </w:tc>
        <w:tc>
          <w:tcPr>
            <w:tcW w:w="1100" w:type="dxa"/>
            <w:vAlign w:val="bottom"/>
            <w:tcBorders>
              <w:bottom w:val="single" w:sz="8" w:color="959595"/>
            </w:tcBorders>
            <w:shd w:val="clear" w:color="auto" w:fill="E5E7EF"/>
          </w:tcPr>
          <w:p>
            <w:pPr>
              <w:spacing w:after="0"/>
              <w:rPr>
                <w:sz w:val="5"/>
                <w:szCs w:val="5"/>
                <w:color w:val="auto"/>
              </w:rPr>
            </w:pPr>
          </w:p>
        </w:tc>
        <w:tc>
          <w:tcPr>
            <w:tcW w:w="900" w:type="dxa"/>
            <w:vAlign w:val="bottom"/>
            <w:tcBorders>
              <w:bottom w:val="single" w:sz="8" w:color="959595"/>
              <w:right w:val="single" w:sz="8" w:color="002E6D"/>
            </w:tcBorders>
            <w:shd w:val="clear" w:color="auto" w:fill="E5E7EF"/>
          </w:tcPr>
          <w:p>
            <w:pPr>
              <w:spacing w:after="0"/>
              <w:rPr>
                <w:sz w:val="5"/>
                <w:szCs w:val="5"/>
                <w:color w:val="auto"/>
              </w:rPr>
            </w:pPr>
          </w:p>
        </w:tc>
        <w:tc>
          <w:tcPr>
            <w:tcW w:w="960" w:type="dxa"/>
            <w:vAlign w:val="bottom"/>
            <w:tcBorders>
              <w:bottom w:val="single" w:sz="8" w:color="959595"/>
              <w:right w:val="single" w:sz="8" w:color="002E6D"/>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320" w:type="dxa"/>
            <w:vAlign w:val="bottom"/>
          </w:tcPr>
          <w:p>
            <w:pPr>
              <w:ind w:left="20"/>
              <w:spacing w:after="0" w:line="147" w:lineRule="exact"/>
              <w:rPr>
                <w:sz w:val="20"/>
                <w:szCs w:val="20"/>
                <w:color w:val="auto"/>
              </w:rPr>
            </w:pPr>
            <w:r>
              <w:rPr>
                <w:rFonts w:ascii="Arial" w:cs="Arial" w:eastAsia="Arial" w:hAnsi="Arial"/>
                <w:sz w:val="14"/>
                <w:szCs w:val="14"/>
                <w:b w:val="1"/>
                <w:bCs w:val="1"/>
                <w:color w:val="23255E"/>
              </w:rPr>
              <w:t>Michele A. Evans</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2020</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947,212</w:t>
            </w:r>
          </w:p>
        </w:tc>
        <w:tc>
          <w:tcPr>
            <w:tcW w:w="40" w:type="dxa"/>
            <w:vAlign w:val="bottom"/>
          </w:tcPr>
          <w:p>
            <w:pPr>
              <w:spacing w:after="0"/>
              <w:rPr>
                <w:sz w:val="12"/>
                <w:szCs w:val="12"/>
                <w:color w:val="auto"/>
              </w:rPr>
            </w:pPr>
          </w:p>
        </w:tc>
        <w:tc>
          <w:tcPr>
            <w:tcW w:w="1120" w:type="dxa"/>
            <w:vAlign w:val="bottom"/>
          </w:tcPr>
          <w:p>
            <w:pPr>
              <w:jc w:val="right"/>
              <w:ind w:right="150"/>
              <w:spacing w:after="0" w:line="147" w:lineRule="exact"/>
              <w:rPr>
                <w:sz w:val="20"/>
                <w:szCs w:val="20"/>
                <w:color w:val="auto"/>
              </w:rPr>
            </w:pPr>
            <w:r>
              <w:rPr>
                <w:rFonts w:ascii="Arial" w:cs="Arial" w:eastAsia="Arial" w:hAnsi="Arial"/>
                <w:sz w:val="14"/>
                <w:szCs w:val="14"/>
                <w:color w:val="auto"/>
              </w:rPr>
              <w:t>3,845,716</w:t>
            </w:r>
          </w:p>
        </w:tc>
        <w:tc>
          <w:tcPr>
            <w:tcW w:w="1160" w:type="dxa"/>
            <w:vAlign w:val="bottom"/>
          </w:tcPr>
          <w:p>
            <w:pPr>
              <w:jc w:val="right"/>
              <w:ind w:right="150"/>
              <w:spacing w:after="0" w:line="147" w:lineRule="exact"/>
              <w:rPr>
                <w:sz w:val="20"/>
                <w:szCs w:val="20"/>
                <w:color w:val="auto"/>
              </w:rPr>
            </w:pPr>
            <w:r>
              <w:rPr>
                <w:rFonts w:ascii="Arial" w:cs="Arial" w:eastAsia="Arial" w:hAnsi="Arial"/>
                <w:sz w:val="14"/>
                <w:szCs w:val="14"/>
                <w:color w:val="auto"/>
              </w:rPr>
              <w:t>2,497,700</w:t>
            </w:r>
          </w:p>
        </w:tc>
        <w:tc>
          <w:tcPr>
            <w:tcW w:w="1160" w:type="dxa"/>
            <w:vAlign w:val="bottom"/>
          </w:tcPr>
          <w:p>
            <w:pPr>
              <w:jc w:val="right"/>
              <w:ind w:right="152"/>
              <w:spacing w:after="0" w:line="147" w:lineRule="exact"/>
              <w:rPr>
                <w:sz w:val="20"/>
                <w:szCs w:val="20"/>
                <w:color w:val="auto"/>
              </w:rPr>
            </w:pPr>
            <w:r>
              <w:rPr>
                <w:rFonts w:ascii="Arial" w:cs="Arial" w:eastAsia="Arial" w:hAnsi="Arial"/>
                <w:sz w:val="14"/>
                <w:szCs w:val="14"/>
                <w:color w:val="auto"/>
              </w:rPr>
              <w:t>858,837</w:t>
            </w:r>
          </w:p>
        </w:tc>
        <w:tc>
          <w:tcPr>
            <w:tcW w:w="1100" w:type="dxa"/>
            <w:vAlign w:val="bottom"/>
          </w:tcPr>
          <w:p>
            <w:pPr>
              <w:jc w:val="right"/>
              <w:ind w:right="90"/>
              <w:spacing w:after="0" w:line="147" w:lineRule="exact"/>
              <w:rPr>
                <w:sz w:val="20"/>
                <w:szCs w:val="20"/>
                <w:color w:val="auto"/>
              </w:rPr>
            </w:pPr>
            <w:r>
              <w:rPr>
                <w:rFonts w:ascii="Arial" w:cs="Arial" w:eastAsia="Arial" w:hAnsi="Arial"/>
                <w:sz w:val="14"/>
                <w:szCs w:val="14"/>
                <w:color w:val="auto"/>
              </w:rPr>
              <w:t>218,638</w:t>
            </w:r>
          </w:p>
        </w:tc>
        <w:tc>
          <w:tcPr>
            <w:tcW w:w="900" w:type="dxa"/>
            <w:vAlign w:val="bottom"/>
            <w:tcBorders>
              <w:right w:val="single" w:sz="8" w:color="002E6D"/>
            </w:tcBorders>
          </w:tcPr>
          <w:p>
            <w:pPr>
              <w:jc w:val="right"/>
              <w:ind w:right="10"/>
              <w:spacing w:after="0" w:line="147" w:lineRule="exact"/>
              <w:rPr>
                <w:sz w:val="20"/>
                <w:szCs w:val="20"/>
                <w:color w:val="auto"/>
              </w:rPr>
            </w:pPr>
            <w:r>
              <w:rPr>
                <w:rFonts w:ascii="Arial" w:cs="Arial" w:eastAsia="Arial" w:hAnsi="Arial"/>
                <w:sz w:val="14"/>
                <w:szCs w:val="14"/>
                <w:color w:val="auto"/>
              </w:rPr>
              <w:t>8,368,103</w:t>
            </w:r>
          </w:p>
        </w:tc>
        <w:tc>
          <w:tcPr>
            <w:tcW w:w="960" w:type="dxa"/>
            <w:vAlign w:val="bottom"/>
            <w:tcBorders>
              <w:right w:val="single" w:sz="8" w:color="002E6D"/>
            </w:tcBorders>
          </w:tcPr>
          <w:p>
            <w:pPr>
              <w:jc w:val="right"/>
              <w:ind w:right="10"/>
              <w:spacing w:after="0" w:line="147" w:lineRule="exact"/>
              <w:rPr>
                <w:sz w:val="20"/>
                <w:szCs w:val="20"/>
                <w:color w:val="auto"/>
              </w:rPr>
            </w:pPr>
            <w:r>
              <w:rPr>
                <w:rFonts w:ascii="Arial" w:cs="Arial" w:eastAsia="Arial" w:hAnsi="Arial"/>
                <w:sz w:val="14"/>
                <w:szCs w:val="14"/>
                <w:color w:val="auto"/>
              </w:rPr>
              <w:t>7,509,266</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4"/>
                <w:szCs w:val="14"/>
                <w:color w:val="auto"/>
              </w:rPr>
              <w:t>Former Executive Vice President, Aeronautics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900,673</w:t>
            </w:r>
          </w:p>
        </w:tc>
        <w:tc>
          <w:tcPr>
            <w:tcW w:w="40" w:type="dxa"/>
            <w:vAlign w:val="bottom"/>
          </w:tcPr>
          <w:p>
            <w:pPr>
              <w:spacing w:after="0"/>
              <w:rPr>
                <w:sz w:val="14"/>
                <w:szCs w:val="14"/>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4"/>
                <w:szCs w:val="14"/>
                <w:color w:val="auto"/>
              </w:rPr>
              <w:t>3,122,369</w:t>
            </w:r>
          </w:p>
        </w:tc>
        <w:tc>
          <w:tcPr>
            <w:tcW w:w="1160" w:type="dxa"/>
            <w:vAlign w:val="bottom"/>
            <w:vMerge w:val="restart"/>
          </w:tcPr>
          <w:p>
            <w:pPr>
              <w:jc w:val="right"/>
              <w:ind w:right="150"/>
              <w:spacing w:after="0"/>
              <w:rPr>
                <w:sz w:val="20"/>
                <w:szCs w:val="20"/>
                <w:color w:val="auto"/>
              </w:rPr>
            </w:pPr>
            <w:r>
              <w:rPr>
                <w:rFonts w:ascii="Arial" w:cs="Arial" w:eastAsia="Arial" w:hAnsi="Arial"/>
                <w:sz w:val="14"/>
                <w:szCs w:val="14"/>
                <w:color w:val="auto"/>
              </w:rPr>
              <w:t>2,450,580</w:t>
            </w: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color w:val="auto"/>
              </w:rPr>
              <w:t>1,174,554</w:t>
            </w:r>
          </w:p>
        </w:tc>
        <w:tc>
          <w:tcPr>
            <w:tcW w:w="1100" w:type="dxa"/>
            <w:vAlign w:val="bottom"/>
            <w:vMerge w:val="restart"/>
          </w:tcPr>
          <w:p>
            <w:pPr>
              <w:jc w:val="right"/>
              <w:ind w:right="90"/>
              <w:spacing w:after="0"/>
              <w:rPr>
                <w:sz w:val="20"/>
                <w:szCs w:val="20"/>
                <w:color w:val="auto"/>
              </w:rPr>
            </w:pPr>
            <w:r>
              <w:rPr>
                <w:rFonts w:ascii="Arial" w:cs="Arial" w:eastAsia="Arial" w:hAnsi="Arial"/>
                <w:sz w:val="14"/>
                <w:szCs w:val="14"/>
                <w:color w:val="auto"/>
              </w:rPr>
              <w:t>238,639</w:t>
            </w:r>
          </w:p>
        </w:tc>
        <w:tc>
          <w:tcPr>
            <w:tcW w:w="900" w:type="dxa"/>
            <w:vAlign w:val="bottom"/>
            <w:tcBorders>
              <w:right w:val="single" w:sz="8" w:color="002E6D"/>
            </w:tcBorders>
            <w:vMerge w:val="restart"/>
          </w:tcPr>
          <w:p>
            <w:pPr>
              <w:jc w:val="right"/>
              <w:ind w:right="10"/>
              <w:spacing w:after="0"/>
              <w:rPr>
                <w:sz w:val="20"/>
                <w:szCs w:val="20"/>
                <w:color w:val="auto"/>
              </w:rPr>
            </w:pPr>
            <w:r>
              <w:rPr>
                <w:rFonts w:ascii="Arial" w:cs="Arial" w:eastAsia="Arial" w:hAnsi="Arial"/>
                <w:sz w:val="14"/>
                <w:szCs w:val="14"/>
                <w:color w:val="auto"/>
              </w:rPr>
              <w:t>7,886,815</w:t>
            </w:r>
          </w:p>
        </w:tc>
        <w:tc>
          <w:tcPr>
            <w:tcW w:w="960" w:type="dxa"/>
            <w:vAlign w:val="bottom"/>
            <w:tcBorders>
              <w:right w:val="single" w:sz="8" w:color="002E6D"/>
            </w:tcBorders>
            <w:vMerge w:val="restart"/>
          </w:tcPr>
          <w:p>
            <w:pPr>
              <w:jc w:val="right"/>
              <w:ind w:right="10"/>
              <w:spacing w:after="0"/>
              <w:rPr>
                <w:sz w:val="20"/>
                <w:szCs w:val="20"/>
                <w:color w:val="auto"/>
              </w:rPr>
            </w:pPr>
            <w:r>
              <w:rPr>
                <w:rFonts w:ascii="Arial" w:cs="Arial" w:eastAsia="Arial" w:hAnsi="Arial"/>
                <w:sz w:val="14"/>
                <w:szCs w:val="14"/>
                <w:color w:val="auto"/>
              </w:rPr>
              <w:t>6,712,261</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tcBorders>
              <w:right w:val="single" w:sz="8" w:color="002E6D"/>
            </w:tcBorders>
            <w:vMerge w:val="continue"/>
          </w:tcPr>
          <w:p>
            <w:pPr>
              <w:spacing w:after="0"/>
              <w:rPr>
                <w:sz w:val="9"/>
                <w:szCs w:val="9"/>
                <w:color w:val="auto"/>
              </w:rPr>
            </w:pPr>
          </w:p>
        </w:tc>
        <w:tc>
          <w:tcPr>
            <w:tcW w:w="960" w:type="dxa"/>
            <w:vAlign w:val="bottom"/>
            <w:tcBorders>
              <w:right w:val="single" w:sz="8" w:color="002E6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320" w:type="dxa"/>
            <w:vAlign w:val="bottom"/>
            <w:tcBorders>
              <w:bottom w:val="single" w:sz="8" w:color="939598"/>
            </w:tcBorders>
          </w:tcPr>
          <w:p>
            <w:pPr>
              <w:spacing w:after="0"/>
              <w:rPr>
                <w:sz w:val="5"/>
                <w:szCs w:val="5"/>
                <w:color w:val="auto"/>
              </w:rPr>
            </w:pPr>
          </w:p>
        </w:tc>
        <w:tc>
          <w:tcPr>
            <w:tcW w:w="640" w:type="dxa"/>
            <w:vAlign w:val="bottom"/>
            <w:tcBorders>
              <w:bottom w:val="single" w:sz="8" w:color="959595"/>
            </w:tcBorders>
          </w:tcPr>
          <w:p>
            <w:pPr>
              <w:spacing w:after="0"/>
              <w:rPr>
                <w:sz w:val="5"/>
                <w:szCs w:val="5"/>
                <w:color w:val="auto"/>
              </w:rPr>
            </w:pPr>
          </w:p>
        </w:tc>
        <w:tc>
          <w:tcPr>
            <w:tcW w:w="860" w:type="dxa"/>
            <w:vAlign w:val="bottom"/>
            <w:tcBorders>
              <w:bottom w:val="single" w:sz="8" w:color="959595"/>
            </w:tcBorders>
          </w:tcPr>
          <w:p>
            <w:pPr>
              <w:spacing w:after="0"/>
              <w:rPr>
                <w:sz w:val="5"/>
                <w:szCs w:val="5"/>
                <w:color w:val="auto"/>
              </w:rPr>
            </w:pPr>
          </w:p>
        </w:tc>
        <w:tc>
          <w:tcPr>
            <w:tcW w:w="40" w:type="dxa"/>
            <w:vAlign w:val="bottom"/>
            <w:tcBorders>
              <w:bottom w:val="single" w:sz="8" w:color="959595"/>
            </w:tcBorders>
          </w:tcPr>
          <w:p>
            <w:pPr>
              <w:spacing w:after="0"/>
              <w:rPr>
                <w:sz w:val="5"/>
                <w:szCs w:val="5"/>
                <w:color w:val="auto"/>
              </w:rPr>
            </w:pPr>
          </w:p>
        </w:tc>
        <w:tc>
          <w:tcPr>
            <w:tcW w:w="1120" w:type="dxa"/>
            <w:vAlign w:val="bottom"/>
            <w:tcBorders>
              <w:bottom w:val="single" w:sz="8" w:color="959595"/>
            </w:tcBorders>
          </w:tcPr>
          <w:p>
            <w:pPr>
              <w:spacing w:after="0"/>
              <w:rPr>
                <w:sz w:val="5"/>
                <w:szCs w:val="5"/>
                <w:color w:val="auto"/>
              </w:rPr>
            </w:pPr>
          </w:p>
        </w:tc>
        <w:tc>
          <w:tcPr>
            <w:tcW w:w="1160" w:type="dxa"/>
            <w:vAlign w:val="bottom"/>
            <w:tcBorders>
              <w:bottom w:val="single" w:sz="8" w:color="959595"/>
            </w:tcBorders>
          </w:tcPr>
          <w:p>
            <w:pPr>
              <w:spacing w:after="0"/>
              <w:rPr>
                <w:sz w:val="5"/>
                <w:szCs w:val="5"/>
                <w:color w:val="auto"/>
              </w:rPr>
            </w:pPr>
          </w:p>
        </w:tc>
        <w:tc>
          <w:tcPr>
            <w:tcW w:w="1160" w:type="dxa"/>
            <w:vAlign w:val="bottom"/>
            <w:tcBorders>
              <w:bottom w:val="single" w:sz="8" w:color="959595"/>
            </w:tcBorders>
          </w:tcPr>
          <w:p>
            <w:pPr>
              <w:spacing w:after="0"/>
              <w:rPr>
                <w:sz w:val="5"/>
                <w:szCs w:val="5"/>
                <w:color w:val="auto"/>
              </w:rPr>
            </w:pPr>
          </w:p>
        </w:tc>
        <w:tc>
          <w:tcPr>
            <w:tcW w:w="1100" w:type="dxa"/>
            <w:vAlign w:val="bottom"/>
            <w:tcBorders>
              <w:bottom w:val="single" w:sz="8" w:color="959595"/>
            </w:tcBorders>
          </w:tcPr>
          <w:p>
            <w:pPr>
              <w:spacing w:after="0"/>
              <w:rPr>
                <w:sz w:val="5"/>
                <w:szCs w:val="5"/>
                <w:color w:val="auto"/>
              </w:rPr>
            </w:pPr>
          </w:p>
        </w:tc>
        <w:tc>
          <w:tcPr>
            <w:tcW w:w="900" w:type="dxa"/>
            <w:vAlign w:val="bottom"/>
            <w:tcBorders>
              <w:bottom w:val="single" w:sz="8" w:color="959595"/>
              <w:right w:val="single" w:sz="8" w:color="002E6D"/>
            </w:tcBorders>
          </w:tcPr>
          <w:p>
            <w:pPr>
              <w:spacing w:after="0"/>
              <w:rPr>
                <w:sz w:val="5"/>
                <w:szCs w:val="5"/>
                <w:color w:val="auto"/>
              </w:rPr>
            </w:pPr>
          </w:p>
        </w:tc>
        <w:tc>
          <w:tcPr>
            <w:tcW w:w="960" w:type="dxa"/>
            <w:vAlign w:val="bottom"/>
            <w:tcBorders>
              <w:bottom w:val="single" w:sz="8" w:color="002E60"/>
              <w:right w:val="single" w:sz="8" w:color="002E6D"/>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475C90"/>
        </w:rPr>
        <w:t>Name and Principal Position (Column (a))</w:t>
      </w:r>
    </w:p>
    <w:p>
      <w:pPr>
        <w:spacing w:after="0" w:line="1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Information is provided for Mr. Taiclet for 2020 only and for Mr. Possenriede and Ms. Evans for 2020 and 2019 only because they were not NEOs in prior years. Mr. Taiclet was elected President and Chief Executive Officer effective June 15, 2020 and Chairman effective March 1, 2021. Ms. Hewson transitioned to Executive Chairman effective June 15, 2020, after serving as Chairman, President and Chief Executive Officer and retired as Executive Chairman effective March 1, 2021. Mr. St. John was promoted to Chief Operating Officer effective June 15, 2020, after serving as Executive Vice President, Rotary and Mission Systems since August 2019. Ms. Evans passed away on January 1, 2021.</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475C90"/>
        </w:rPr>
        <w:t>Salary (Column (c))</w:t>
      </w:r>
    </w:p>
    <w:p>
      <w:pPr>
        <w:spacing w:after="0" w:line="123"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Salary is paid weekly in arrears. The amount of salary reported may vary from the approved annual rate of pay because the salary reported in the table is based on the actual number of weekly pay periods in a year. Amounts for 2020 include payment of cash in lieu of vacation for Mr. Possenriede $53,558 (of which $17,981 was then donated under the Corporation's leave donation program) and Mr. St. John $35,577.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262255</wp:posOffset>
            </wp:positionV>
            <wp:extent cx="969010" cy="2228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58</w:t>
      </w:r>
    </w:p>
    <w:p>
      <w:pPr>
        <w:sectPr>
          <w:pgSz w:w="11900" w:h="16838" w:orient="portrait"/>
          <w:cols w:equalWidth="0" w:num="1">
            <w:col w:w="11260"/>
          </w:cols>
          <w:pgMar w:left="320" w:top="609" w:right="319" w:bottom="1440" w:gutter="0" w:footer="0" w:header="0"/>
        </w:sectPr>
      </w:pPr>
    </w:p>
    <w:bookmarkStart w:id="62" w:name="page63"/>
    <w:bookmarkEnd w:id="62"/>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Stock Awards (Column (e))</w:t>
      </w:r>
    </w:p>
    <w:p>
      <w:pPr>
        <w:spacing w:after="0" w:line="12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Represents the aggregate grant date fair value computed in accordance with Financial Accounting Standards Board (FASB) Accounting Standards Codification (ASC) Topic 718 (ASC 718), for RSUs granted in 2020, 2019 and 2018 and PSUs granted in 2020, 2019 and 2018, disregarding potential forfeitures based on service requirements. In 2020, RSUs and PSUs were granted in February 2020 (to Ms. Hewson, Mr. Possenriede, Mr. Ambrose, Ms. Evans and Mr. St. John) and July 2020 (to Mr. Taiclet and Mr. St. John). In addition, Mr. Taiclet's stock awards include an award of 372.7919 stock units made on January 30, 2020 under the Amended and Restated Directors Equity Plan (DEP) for his 2020 service as a non-employee director on our Board. This award had an aggregate grant date fair value computed in accordance with ASC 718 of $162,500 based on the closing price of our stock ($435.90) on the date of grant and was forfeited upon Mr. Taiclet assuming the role of President and Chief Executive Officer on June 15,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00" w:type="dxa"/>
            <w:vAlign w:val="bottom"/>
            <w:shd w:val="clear" w:color="auto" w:fill="E5E7EF"/>
          </w:tcPr>
          <w:p>
            <w:pPr>
              <w:spacing w:after="0"/>
              <w:rPr>
                <w:sz w:val="14"/>
                <w:szCs w:val="14"/>
                <w:color w:val="auto"/>
              </w:rPr>
            </w:pPr>
          </w:p>
        </w:tc>
        <w:tc>
          <w:tcPr>
            <w:tcW w:w="1720" w:type="dxa"/>
            <w:vAlign w:val="bottom"/>
            <w:shd w:val="clear" w:color="auto" w:fill="E5E7EF"/>
          </w:tcPr>
          <w:p>
            <w:pPr>
              <w:jc w:val="right"/>
              <w:ind w:right="192"/>
              <w:spacing w:after="0"/>
              <w:rPr>
                <w:sz w:val="20"/>
                <w:szCs w:val="20"/>
                <w:color w:val="auto"/>
              </w:rPr>
            </w:pPr>
            <w:r>
              <w:rPr>
                <w:rFonts w:ascii="Arial" w:cs="Arial" w:eastAsia="Arial" w:hAnsi="Arial"/>
                <w:sz w:val="13"/>
                <w:szCs w:val="13"/>
                <w:color w:val="auto"/>
              </w:rPr>
              <w:t>2020 Aggregate</w:t>
            </w:r>
          </w:p>
        </w:tc>
        <w:tc>
          <w:tcPr>
            <w:tcW w:w="12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2020 Aggregate</w:t>
            </w:r>
          </w:p>
        </w:tc>
      </w:tr>
      <w:tr>
        <w:trPr>
          <w:trHeight w:val="148"/>
        </w:trPr>
        <w:tc>
          <w:tcPr>
            <w:tcW w:w="8300" w:type="dxa"/>
            <w:vAlign w:val="bottom"/>
            <w:shd w:val="clear" w:color="auto" w:fill="E5E7EF"/>
          </w:tcPr>
          <w:p>
            <w:pPr>
              <w:spacing w:after="0"/>
              <w:rPr>
                <w:sz w:val="12"/>
                <w:szCs w:val="12"/>
                <w:color w:val="auto"/>
              </w:rPr>
            </w:pPr>
          </w:p>
        </w:tc>
        <w:tc>
          <w:tcPr>
            <w:tcW w:w="1720" w:type="dxa"/>
            <w:vAlign w:val="bottom"/>
            <w:shd w:val="clear" w:color="auto" w:fill="E5E7EF"/>
          </w:tcPr>
          <w:p>
            <w:pPr>
              <w:jc w:val="right"/>
              <w:ind w:right="192"/>
              <w:spacing w:after="0"/>
              <w:rPr>
                <w:sz w:val="20"/>
                <w:szCs w:val="20"/>
                <w:color w:val="auto"/>
              </w:rPr>
            </w:pPr>
            <w:r>
              <w:rPr>
                <w:rFonts w:ascii="Arial" w:cs="Arial" w:eastAsia="Arial" w:hAnsi="Arial"/>
                <w:sz w:val="13"/>
                <w:szCs w:val="13"/>
                <w:color w:val="auto"/>
              </w:rPr>
              <w:t>Grant Date</w:t>
            </w:r>
          </w:p>
        </w:tc>
        <w:tc>
          <w:tcPr>
            <w:tcW w:w="12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Grant Date</w:t>
            </w:r>
          </w:p>
        </w:tc>
      </w:tr>
      <w:tr>
        <w:trPr>
          <w:trHeight w:val="152"/>
        </w:trPr>
        <w:tc>
          <w:tcPr>
            <w:tcW w:w="8300" w:type="dxa"/>
            <w:vAlign w:val="bottom"/>
            <w:shd w:val="clear" w:color="auto" w:fill="E5E7EF"/>
          </w:tcPr>
          <w:p>
            <w:pPr>
              <w:spacing w:after="0"/>
              <w:rPr>
                <w:sz w:val="13"/>
                <w:szCs w:val="13"/>
                <w:color w:val="auto"/>
              </w:rPr>
            </w:pPr>
          </w:p>
        </w:tc>
        <w:tc>
          <w:tcPr>
            <w:tcW w:w="1720" w:type="dxa"/>
            <w:vAlign w:val="bottom"/>
            <w:shd w:val="clear" w:color="auto" w:fill="E5E7EF"/>
          </w:tcPr>
          <w:p>
            <w:pPr>
              <w:jc w:val="right"/>
              <w:ind w:right="192"/>
              <w:spacing w:after="0"/>
              <w:rPr>
                <w:sz w:val="20"/>
                <w:szCs w:val="20"/>
                <w:color w:val="auto"/>
              </w:rPr>
            </w:pPr>
            <w:r>
              <w:rPr>
                <w:rFonts w:ascii="Arial" w:cs="Arial" w:eastAsia="Arial" w:hAnsi="Arial"/>
                <w:sz w:val="13"/>
                <w:szCs w:val="13"/>
                <w:color w:val="auto"/>
              </w:rPr>
              <w:t>Fair Value RSUs</w:t>
            </w:r>
          </w:p>
        </w:tc>
        <w:tc>
          <w:tcPr>
            <w:tcW w:w="12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Fair Value PSUs</w:t>
            </w:r>
          </w:p>
        </w:tc>
      </w:tr>
      <w:tr>
        <w:trPr>
          <w:trHeight w:val="237"/>
        </w:trPr>
        <w:tc>
          <w:tcPr>
            <w:tcW w:w="8300" w:type="dxa"/>
            <w:vAlign w:val="bottom"/>
            <w:tcBorders>
              <w:bottom w:val="single" w:sz="8" w:color="E5E7EF"/>
            </w:tcBorders>
            <w:shd w:val="clear" w:color="auto" w:fill="E5E7EF"/>
          </w:tcPr>
          <w:p>
            <w:pPr>
              <w:spacing w:after="0"/>
              <w:rPr>
                <w:sz w:val="20"/>
                <w:szCs w:val="20"/>
                <w:color w:val="auto"/>
              </w:rPr>
            </w:pPr>
          </w:p>
        </w:tc>
        <w:tc>
          <w:tcPr>
            <w:tcW w:w="1720" w:type="dxa"/>
            <w:vAlign w:val="bottom"/>
            <w:tcBorders>
              <w:bottom w:val="single" w:sz="8" w:color="E5E7EF"/>
            </w:tcBorders>
            <w:shd w:val="clear" w:color="auto" w:fill="E5E7EF"/>
          </w:tcPr>
          <w:p>
            <w:pPr>
              <w:jc w:val="right"/>
              <w:ind w:right="192"/>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300" w:type="dxa"/>
            <w:vAlign w:val="bottom"/>
            <w:tcBorders>
              <w:top w:val="single" w:sz="8" w:color="959595"/>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Mr. Taiclet*</w:t>
            </w:r>
          </w:p>
        </w:tc>
        <w:tc>
          <w:tcPr>
            <w:tcW w:w="1720" w:type="dxa"/>
            <w:vAlign w:val="bottom"/>
            <w:tcBorders>
              <w:top w:val="single" w:sz="8" w:color="959595"/>
              <w:bottom w:val="single" w:sz="8" w:color="959595"/>
            </w:tcBorders>
          </w:tcPr>
          <w:p>
            <w:pPr>
              <w:jc w:val="right"/>
              <w:ind w:right="192"/>
              <w:spacing w:after="0"/>
              <w:rPr>
                <w:sz w:val="20"/>
                <w:szCs w:val="20"/>
                <w:color w:val="auto"/>
              </w:rPr>
            </w:pPr>
            <w:r>
              <w:rPr>
                <w:rFonts w:ascii="Arial" w:cs="Arial" w:eastAsia="Arial" w:hAnsi="Arial"/>
                <w:sz w:val="14"/>
                <w:szCs w:val="14"/>
                <w:color w:val="auto"/>
              </w:rPr>
              <w:t>9,880,058</w:t>
            </w:r>
          </w:p>
        </w:tc>
        <w:tc>
          <w:tcPr>
            <w:tcW w:w="122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8,731,792</w:t>
            </w:r>
          </w:p>
        </w:tc>
      </w:tr>
      <w:tr>
        <w:trPr>
          <w:trHeight w:val="183"/>
        </w:trPr>
        <w:tc>
          <w:tcPr>
            <w:tcW w:w="83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Ms. Hewson</w:t>
            </w:r>
          </w:p>
        </w:tc>
        <w:tc>
          <w:tcPr>
            <w:tcW w:w="172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4,494,789</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8,323,551</w:t>
            </w:r>
          </w:p>
        </w:tc>
      </w:tr>
      <w:tr>
        <w:trPr>
          <w:trHeight w:val="183"/>
        </w:trPr>
        <w:tc>
          <w:tcPr>
            <w:tcW w:w="83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Mr. Possenriede</w:t>
            </w:r>
          </w:p>
        </w:tc>
        <w:tc>
          <w:tcPr>
            <w:tcW w:w="172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1,393,385</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2,580,463</w:t>
            </w:r>
          </w:p>
        </w:tc>
      </w:tr>
      <w:tr>
        <w:trPr>
          <w:trHeight w:val="183"/>
        </w:trPr>
        <w:tc>
          <w:tcPr>
            <w:tcW w:w="83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Mr. St. John</w:t>
            </w:r>
          </w:p>
        </w:tc>
        <w:tc>
          <w:tcPr>
            <w:tcW w:w="172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1,393,132</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2,591,645</w:t>
            </w:r>
          </w:p>
        </w:tc>
      </w:tr>
      <w:tr>
        <w:trPr>
          <w:trHeight w:val="183"/>
        </w:trPr>
        <w:tc>
          <w:tcPr>
            <w:tcW w:w="83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Mr. Ambrose</w:t>
            </w:r>
          </w:p>
        </w:tc>
        <w:tc>
          <w:tcPr>
            <w:tcW w:w="172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1,198,610</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2,219,855</w:t>
            </w:r>
          </w:p>
        </w:tc>
      </w:tr>
      <w:tr>
        <w:trPr>
          <w:trHeight w:val="183"/>
        </w:trPr>
        <w:tc>
          <w:tcPr>
            <w:tcW w:w="83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Ms. Evans</w:t>
            </w:r>
          </w:p>
        </w:tc>
        <w:tc>
          <w:tcPr>
            <w:tcW w:w="1720" w:type="dxa"/>
            <w:vAlign w:val="bottom"/>
            <w:tcBorders>
              <w:bottom w:val="single" w:sz="8" w:color="959595"/>
            </w:tcBorders>
          </w:tcPr>
          <w:p>
            <w:pPr>
              <w:jc w:val="right"/>
              <w:ind w:right="192"/>
              <w:spacing w:after="0"/>
              <w:rPr>
                <w:sz w:val="20"/>
                <w:szCs w:val="20"/>
                <w:color w:val="auto"/>
              </w:rPr>
            </w:pPr>
            <w:r>
              <w:rPr>
                <w:rFonts w:ascii="Arial" w:cs="Arial" w:eastAsia="Arial" w:hAnsi="Arial"/>
                <w:sz w:val="14"/>
                <w:szCs w:val="14"/>
                <w:color w:val="auto"/>
              </w:rPr>
              <w:t>1,348,437</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2,497,279</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*Does not include Mr. Taiclet's equity award for his 2020 service as a non-employee director with an ASC 718 aggregate grant date fair value of $162,500.</w:t>
      </w:r>
    </w:p>
    <w:p>
      <w:pPr>
        <w:spacing w:after="0" w:line="1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ASC 718 grant date fair value of one 2020 RSU ($384.17 for grants made in February 2020, $382.07 for Mr. Taiclet's replacement equity award granted in July 2020 and $382.01 for other grants made in July 2020), 2019 RSU ($303.59) and 2018 RSU ($354.60), is the closing price of one share of our stock on the date of grant, discounted to take into account the deferred dividend equivalents that are accrued until vesting.</w:t>
      </w:r>
    </w:p>
    <w:p>
      <w:pPr>
        <w:spacing w:after="0" w:line="96" w:lineRule="exact"/>
        <w:rPr>
          <w:sz w:val="20"/>
          <w:szCs w:val="20"/>
          <w:color w:val="auto"/>
        </w:rPr>
      </w:pPr>
    </w:p>
    <w:p>
      <w:pPr>
        <w:jc w:val="both"/>
        <w:ind w:right="800"/>
        <w:spacing w:after="0" w:line="270" w:lineRule="auto"/>
        <w:rPr>
          <w:sz w:val="20"/>
          <w:szCs w:val="20"/>
          <w:color w:val="auto"/>
        </w:rPr>
      </w:pPr>
      <w:r>
        <w:rPr>
          <w:rFonts w:ascii="Arial" w:cs="Arial" w:eastAsia="Arial" w:hAnsi="Arial"/>
          <w:sz w:val="17"/>
          <w:szCs w:val="17"/>
          <w:color w:val="auto"/>
        </w:rPr>
        <w:t>Values for the PSUs, which are subject to performance conditions, are based on the probable outcome on the grant date of three separate performance conditions (50% of the target shares are earned based upon Relative TSR, 25% of the target shares are earned based upon Performance Cash, and 25% of the target shares are earned based upon ROIC).</w:t>
      </w:r>
    </w:p>
    <w:p>
      <w:pPr>
        <w:spacing w:after="0" w:line="9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grant date fair value of $469.44 for February 2020, $571.15 for July 2020, $301.03 for 2019 and $420.75 for 2018 for the Relative TSR portion of the PSU award was determined using a Monte Carlo simulation model. The value was determined using the historical stock price volatilities of the companies in our comparator group over the most recent 2.84-year period for February 2020, 2.43-year period for July 2020, and 2.86-year period for 2019 and 2018, respectively, assuming dividends for each company are reinvested on a continuous basis and a risk-free rate of interest of 1.08% for February 2020, 0.16% for July 2020, 2.48% for 2019 and 2.38% for 2018, and that deferred dividend equivalents accrued on shares earned will be paid in cash upon vesting. The grant date fair value of $384.17 for February 2020, $382.04 for July 2020, $303.59 for 2019 and $354.60 for 2018 for the Performance Cash and ROIC portions of the awards is based on the closing price of our stock on the date of grant, discounted to take into account the deferred dividend equivalents that are accrued until vesting. In addition to the level of performance achieved, the value of the PSUs earned will be determined by the price of our stock on the date any shares are issued at the end of the performance period, which may be more or less than the grant date fair value.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maximum grant date fair values of the 2020 PSU awards, assuming a 200% maximum payout on all three metrics are as follows: Mr. Taiclet:</w:t>
      </w:r>
    </w:p>
    <w:p>
      <w:pPr>
        <w:spacing w:after="0" w:line="21" w:lineRule="exact"/>
        <w:rPr>
          <w:sz w:val="20"/>
          <w:szCs w:val="20"/>
          <w:color w:val="auto"/>
        </w:rPr>
      </w:pPr>
    </w:p>
    <w:p>
      <w:pPr>
        <w:ind w:right="720"/>
        <w:spacing w:after="0" w:line="276" w:lineRule="auto"/>
        <w:rPr>
          <w:sz w:val="20"/>
          <w:szCs w:val="20"/>
          <w:color w:val="auto"/>
        </w:rPr>
      </w:pPr>
      <w:r>
        <w:rPr>
          <w:rFonts w:ascii="Arial" w:cs="Arial" w:eastAsia="Arial" w:hAnsi="Arial"/>
          <w:sz w:val="17"/>
          <w:szCs w:val="17"/>
          <w:color w:val="auto"/>
        </w:rPr>
        <w:t>$17,463,583; Ms. Hewson: $16,647,102; Mr. Possenriede: $5,160,926; Mr. St. John: $5,183,289; Mr. Ambrose: $4,439,711; and Ms. Evans $4,994,557.</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maximum grant date fair values of the 2019 PSU awards, assuming a 200% maximum payout on all three metrics are as follows: Ms. Hewson: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$14,197,080; Mr. Possenriede: $4,468,142; Mr. St. John: $3,897,381; Mr. Ambrose: $3,897,381; and Ms. Evans $3,897,381.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maximum grant date fair values of the 2018 PSU awards, assuming a 200% maximum payout on all three metrics are as follows: Ms. Hewson: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$12,235,264; Mr. Ambrose: $3,600,760; and Mr. St. John: $3,600,760.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59</w:t>
      </w:r>
    </w:p>
    <w:p>
      <w:pPr>
        <w:sectPr>
          <w:pgSz w:w="11900" w:h="16838" w:orient="portrait"/>
          <w:cols w:equalWidth="0" w:num="1">
            <w:col w:w="11240"/>
          </w:cols>
          <w:pgMar w:left="320" w:top="609" w:right="339" w:bottom="1440" w:gutter="0" w:footer="0" w:header="0"/>
        </w:sectPr>
      </w:pPr>
    </w:p>
    <w:bookmarkStart w:id="63" w:name="page64"/>
    <w:bookmarkEnd w:id="63"/>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Non-Equity Incentive Plan Compensation (Column (g))</w:t>
      </w:r>
    </w:p>
    <w:p>
      <w:pPr>
        <w:spacing w:after="0" w:line="12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Includes the amount paid for annual incentive bonuses paid under the Lockheed Martin Corporation Amended and Restated 2006 Management Incentive Compensation Plan (MICP). The Compensation Committee will continue to use discretion to assess performance against objectives established at the beginning of the year. We also report amounts earned under our LTIP cash awards in the three-year period ending on December 31 of the year reported in Column (g) of the table.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respective 2020 annual incentive bonus and amount earned under the 2018-2020 cash LTIP and reported for each NEO:</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40" w:type="dxa"/>
            <w:vAlign w:val="bottom"/>
            <w:shd w:val="clear" w:color="auto" w:fill="E5E7EF"/>
          </w:tcPr>
          <w:p>
            <w:pPr>
              <w:spacing w:after="0"/>
              <w:rPr>
                <w:sz w:val="14"/>
                <w:szCs w:val="14"/>
                <w:color w:val="auto"/>
              </w:rPr>
            </w:pPr>
          </w:p>
        </w:tc>
        <w:tc>
          <w:tcPr>
            <w:tcW w:w="14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2020 Annual</w:t>
            </w:r>
          </w:p>
        </w:tc>
        <w:tc>
          <w:tcPr>
            <w:tcW w:w="11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2018-2020</w:t>
            </w:r>
          </w:p>
        </w:tc>
      </w:tr>
      <w:tr>
        <w:trPr>
          <w:trHeight w:val="152"/>
        </w:trPr>
        <w:tc>
          <w:tcPr>
            <w:tcW w:w="8640" w:type="dxa"/>
            <w:vAlign w:val="bottom"/>
            <w:shd w:val="clear" w:color="auto" w:fill="E5E7EF"/>
          </w:tcPr>
          <w:p>
            <w:pPr>
              <w:spacing w:after="0"/>
              <w:rPr>
                <w:sz w:val="13"/>
                <w:szCs w:val="13"/>
                <w:color w:val="auto"/>
              </w:rPr>
            </w:pPr>
          </w:p>
        </w:tc>
        <w:tc>
          <w:tcPr>
            <w:tcW w:w="14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Incentive Payout</w:t>
            </w:r>
          </w:p>
        </w:tc>
        <w:tc>
          <w:tcPr>
            <w:tcW w:w="11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LTIP Payout</w:t>
            </w:r>
          </w:p>
        </w:tc>
      </w:tr>
      <w:tr>
        <w:trPr>
          <w:trHeight w:val="237"/>
        </w:trPr>
        <w:tc>
          <w:tcPr>
            <w:tcW w:w="8640" w:type="dxa"/>
            <w:vAlign w:val="bottom"/>
            <w:tcBorders>
              <w:bottom w:val="single" w:sz="8" w:color="E5E7EF"/>
            </w:tcBorders>
            <w:shd w:val="clear" w:color="auto" w:fill="E5E7EF"/>
          </w:tcPr>
          <w:p>
            <w:pPr>
              <w:spacing w:after="0"/>
              <w:rPr>
                <w:sz w:val="20"/>
                <w:szCs w:val="20"/>
                <w:color w:val="auto"/>
              </w:rPr>
            </w:pPr>
          </w:p>
        </w:tc>
        <w:tc>
          <w:tcPr>
            <w:tcW w:w="14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640" w:type="dxa"/>
            <w:vAlign w:val="bottom"/>
            <w:tcBorders>
              <w:top w:val="single" w:sz="8" w:color="959595"/>
              <w:bottom w:val="single" w:sz="8" w:color="929292"/>
            </w:tcBorders>
          </w:tcPr>
          <w:p>
            <w:pPr>
              <w:ind w:left="20"/>
              <w:spacing w:after="0"/>
              <w:rPr>
                <w:sz w:val="20"/>
                <w:szCs w:val="20"/>
                <w:color w:val="auto"/>
              </w:rPr>
            </w:pPr>
            <w:r>
              <w:rPr>
                <w:rFonts w:ascii="Arial" w:cs="Arial" w:eastAsia="Arial" w:hAnsi="Arial"/>
                <w:sz w:val="14"/>
                <w:szCs w:val="14"/>
                <w:b w:val="1"/>
                <w:bCs w:val="1"/>
                <w:color w:val="002E6D"/>
              </w:rPr>
              <w:t>Mr. Taiclet</w:t>
            </w:r>
          </w:p>
        </w:tc>
        <w:tc>
          <w:tcPr>
            <w:tcW w:w="146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2,896,200</w:t>
            </w:r>
          </w:p>
        </w:tc>
        <w:tc>
          <w:tcPr>
            <w:tcW w:w="1120" w:type="dxa"/>
            <w:vAlign w:val="bottom"/>
            <w:tcBorders>
              <w:top w:val="single" w:sz="8" w:color="959595"/>
              <w:bottom w:val="single" w:sz="8" w:color="929292"/>
            </w:tcBorders>
          </w:tcPr>
          <w:p>
            <w:pPr>
              <w:jc w:val="right"/>
              <w:spacing w:after="0"/>
              <w:rPr>
                <w:sz w:val="20"/>
                <w:szCs w:val="20"/>
                <w:color w:val="auto"/>
              </w:rPr>
            </w:pPr>
            <w:r>
              <w:rPr>
                <w:rFonts w:ascii="Arial" w:cs="Arial" w:eastAsia="Arial" w:hAnsi="Arial"/>
                <w:sz w:val="14"/>
                <w:szCs w:val="14"/>
                <w:color w:val="auto"/>
              </w:rPr>
              <w:t>0</w:t>
            </w:r>
          </w:p>
        </w:tc>
      </w:tr>
      <w:tr>
        <w:trPr>
          <w:trHeight w:val="183"/>
        </w:trPr>
        <w:tc>
          <w:tcPr>
            <w:tcW w:w="86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2E6D"/>
              </w:rPr>
              <w:t>Ms. Hewson</w:t>
            </w:r>
          </w:p>
        </w:tc>
        <w:tc>
          <w:tcPr>
            <w:tcW w:w="14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5,745,900</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4,894,000</w:t>
            </w:r>
          </w:p>
        </w:tc>
      </w:tr>
      <w:tr>
        <w:trPr>
          <w:trHeight w:val="183"/>
        </w:trPr>
        <w:tc>
          <w:tcPr>
            <w:tcW w:w="86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2E6D"/>
              </w:rPr>
              <w:t>Mr. Possenriede</w:t>
            </w:r>
          </w:p>
        </w:tc>
        <w:tc>
          <w:tcPr>
            <w:tcW w:w="14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1,737,700</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600,000</w:t>
            </w:r>
          </w:p>
        </w:tc>
      </w:tr>
      <w:tr>
        <w:trPr>
          <w:trHeight w:val="183"/>
        </w:trPr>
        <w:tc>
          <w:tcPr>
            <w:tcW w:w="86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2E6D"/>
              </w:rPr>
              <w:t>Mr. St. John</w:t>
            </w:r>
          </w:p>
        </w:tc>
        <w:tc>
          <w:tcPr>
            <w:tcW w:w="14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1,737,700</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1,440,000</w:t>
            </w:r>
          </w:p>
        </w:tc>
      </w:tr>
      <w:tr>
        <w:trPr>
          <w:trHeight w:val="183"/>
        </w:trPr>
        <w:tc>
          <w:tcPr>
            <w:tcW w:w="86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2E6D"/>
              </w:rPr>
              <w:t>Mr. Ambrose</w:t>
            </w:r>
          </w:p>
        </w:tc>
        <w:tc>
          <w:tcPr>
            <w:tcW w:w="14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1,737,700</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1,440,000</w:t>
            </w:r>
          </w:p>
        </w:tc>
      </w:tr>
      <w:tr>
        <w:trPr>
          <w:trHeight w:val="183"/>
        </w:trPr>
        <w:tc>
          <w:tcPr>
            <w:tcW w:w="864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2E6D"/>
              </w:rPr>
              <w:t>Ms. Evans</w:t>
            </w:r>
          </w:p>
        </w:tc>
        <w:tc>
          <w:tcPr>
            <w:tcW w:w="14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1,737,700</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760,000</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475C90"/>
        </w:rPr>
        <w:t>Change in Pension Value and Nonqualified Deferred Compensation Earnings (Column (h))</w:t>
      </w:r>
    </w:p>
    <w:p>
      <w:pPr>
        <w:spacing w:after="0" w:line="12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Reports the change in the present value of the pension benefit for the NEO for the year reported (for example, from December 31, 2019 to December 31, 2020) and is not the amount that will be paid to the NEO. This column also reports above-market earnings on compensation that was deferred before 2009 by the NEOs under the Interest Investment Option of our Deferred Management Incentive Compensation Plan as follows: Ms. Hewson $6,661; Mr. Ambrose $2,144; and Ms. Evans $125. In 2019, this column also reported above-market earnings on compensation that was deferred before 2009 by the NEOs under the Interest Investment Option as follows: Ms. Hewson $5,259; Mr. Ambrose $1,693; and Ms. Evans $99. In 2018, this column also reported above-market earnings on compensation that was deferred before 2009 by the NEOs under the Interest Investment Option as follows: Ms. Hewson $68 and Mr. Ambrose $22. Above-market earnings represent the difference between the interest rate used to calculate earnings under the Interest Investment Option and 120% of the applicable federal long-term rate prescribed by the Internal Revenue Code. The Interest Investment Option was closed to new deferrals and transfers from other investment options effective July 1, 2009. See the 2020 Nonqualified Deferred Compensation table on page 69 for additional information.</w:t>
      </w:r>
    </w:p>
    <w:p>
      <w:pPr>
        <w:spacing w:after="0" w:line="10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disclosure of the change in present value of the pension benefit is based on the Corporation’s final average compensation formula in its defined benefit plan which multiplies (x) a percentage (1.25% of compensation below the social security wage base and 1.5% above that level) times (y) years of service ending with 2019 times (z) the average of the employee’s highest three years of compensation in the last ten years ending with 2015. This is the same formula used for all participants accruing a pension benefit prior to 2020 and none of the NEOs has been credited with any extra years of service or provided a benefit from a special or enhanced formula. Under a three-year final average compensation formula, increasing service (prior to January 1, 2020), age and compensation (prior to January 1, 2016) resulted in increases in the accrued benefits for years prior to 2020. Effective January 1, 2020, accrued benefits under the qualified and nonqualified defined benefit pension plans for salaried employees were fully frozen.</w:t>
      </w:r>
    </w:p>
    <w:p>
      <w:pPr>
        <w:spacing w:after="0" w:line="103"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The Summary Compensation Table uses the same discount rate and longevity assumptions that we use to report pension liabilities for all pension plan participants in our financial statements. These assumptions are updated annually for the year-end measurements of our pension plans. The amounts reported for 2020, 2019 and 2018 used a discount rate of 2.50%, 3.25% and 4.25%, respectively. The Change in Pension Value for the NEOs reported in Column (h) for 2020 was primarily related to a change in the discount rate assumptions from 3.25% as of December 31, 2019 to 2.50%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485140</wp:posOffset>
            </wp:positionV>
            <wp:extent cx="969010" cy="2228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60</w:t>
      </w:r>
    </w:p>
    <w:p>
      <w:pPr>
        <w:sectPr>
          <w:pgSz w:w="11900" w:h="16838" w:orient="portrait"/>
          <w:cols w:equalWidth="0" w:num="1">
            <w:col w:w="11220"/>
          </w:cols>
          <w:pgMar w:left="320" w:top="609" w:right="359" w:bottom="1440" w:gutter="0" w:footer="0" w:header="0"/>
        </w:sectPr>
      </w:pPr>
    </w:p>
    <w:bookmarkStart w:id="64" w:name="page65"/>
    <w:bookmarkEnd w:id="64"/>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All Other Compensation (Column (i))</w:t>
      </w:r>
    </w:p>
    <w:p>
      <w:pPr>
        <w:spacing w:after="0" w:line="12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Perquisites and other personal benefits provided to the NEOs in 2020 included: security; relocation benefits (when applicable); annual executive physicals; home office support; use of corporate aircraft for personal travel and other related expenses; travel and other expenses for a family member accompanying the NEO while on business travel; and promotional items. Not all of the listed perquisites or personal benefits were provided to each NEO. In addition, the Corporation made available a company-provided car and driver for personal commuting to some of the NEOs in 2020 and may provide event tickets from time to time, but requires the NEOs to reimburse the Corporation for the incremental cost to the Corporation of such items. The cost of any category of the listed perquisites and personal benefits did not exceed the greater of $25,000 or 10% of total perquisites and personal benefits for any NEO, except for: (i) security for Ms. Hewson $141,866; (ii) personal use of the corporate aircraft for Mr. Taiclet $284,175; Ms. Hewson $284,495; Mr. St. John $91,458; Mr. Ambrose $78,514; and Ms. Evans $119,951; and (iii) relocation expenses for Mr. Taiclet $295,281; and Mr. St. John $116,400. The incremental cost for use of corporate aircraft for personal travel and as part of relocation benefits was calculated based on the total personal travel flight hours multiplied by the estimated hourly aircraft operating costs for 2020 (including fuel, maintenance, staff travel expenses, catering and other variable costs, but excluding fixed capital costs for the aircraft, hangar facilities, and staff salaries).</w:t>
      </w:r>
    </w:p>
    <w:p>
      <w:pPr>
        <w:spacing w:after="0" w:line="8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incremental cost for personal security is calculated based on billings for services and equipment from third parties and for overtime and related expenses where the services are provided by the Corporation’s personnel. Given the nature of our business, additional security may be provided for travel in high-risk areas or to address particular situations. We believe that providing personal security in response to concerns arising out of employment by the Corporation is business-related.</w:t>
      </w:r>
    </w:p>
    <w:p>
      <w:pPr>
        <w:spacing w:after="0" w:line="7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addition to perquisites, column (i) also contains items of compensation listed in the following table. All items are paid under broad-based programs for U.S. salaried employees except for the non-employee director fees, tax assistance and the Lockheed Martin Corporation Supplemental Savings Plan (NQSSP) and the Lockheed Martin Corporation Nonqualified Capital Accumulation Plan (NCAP) (together, the Nonqualified Defined Contribution Plans) match or Corporation contributions. Amounts under Matching Gift Programs include matching contributions made to eligible universities, colleges and other non-profit organizations under the Corporation’s matching gift programs generally available to all employees and include contributions to be made in 2021 to match 2020 executive contributions. Amounts under Corporation Contributions to Health Savings Accounts reflect the Corporation's annual $500 contribution to the health savings accounts of all employees who have a high-deductible health insurance plan as of January 1 of a given year. Amounts under Term Life Insurance Opt-Out Credit reflect cash payments made to NEOs who opt out of the Corporation's broad-based employee term life insurance program, which option is available to all salaried employees of the Corporation. As permitted by the disclosure regulations, the premium cost for the NEOs' participation in the Corporation's broad-based employee term life insurance has not been included for 2020. The $73,924 in non-employee director fees that Mr. Taiclet received were for his service as a non-employee director for the period January 1, 2020 through June 14, 2020, prior to becoming President and Chief Executive Officer on June 15, 2020.</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475C90"/>
        </w:rPr>
        <w:t>Other Items of Compensation Included in “All Other Compensation” Column (i)</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shd w:val="clear" w:color="auto" w:fill="E5E7EF"/>
          </w:tcPr>
          <w:p>
            <w:pPr>
              <w:spacing w:after="0"/>
              <w:rPr>
                <w:sz w:val="14"/>
                <w:szCs w:val="14"/>
                <w:color w:val="auto"/>
              </w:rPr>
            </w:pPr>
          </w:p>
        </w:tc>
        <w:tc>
          <w:tcPr>
            <w:tcW w:w="1340" w:type="dxa"/>
            <w:vAlign w:val="bottom"/>
            <w:shd w:val="clear" w:color="auto" w:fill="E5E7EF"/>
          </w:tcPr>
          <w:p>
            <w:pPr>
              <w:spacing w:after="0"/>
              <w:rPr>
                <w:sz w:val="14"/>
                <w:szCs w:val="14"/>
                <w:color w:val="auto"/>
              </w:rPr>
            </w:pPr>
          </w:p>
        </w:tc>
        <w:tc>
          <w:tcPr>
            <w:tcW w:w="140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Corporation</w:t>
            </w:r>
          </w:p>
        </w:tc>
        <w:tc>
          <w:tcPr>
            <w:tcW w:w="13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Corporation</w:t>
            </w:r>
          </w:p>
        </w:tc>
        <w:tc>
          <w:tcPr>
            <w:tcW w:w="138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Corporation</w:t>
            </w:r>
          </w:p>
        </w:tc>
        <w:tc>
          <w:tcPr>
            <w:tcW w:w="980" w:type="dxa"/>
            <w:vAlign w:val="bottom"/>
            <w:shd w:val="clear" w:color="auto" w:fill="E5E7EF"/>
          </w:tcPr>
          <w:p>
            <w:pPr>
              <w:spacing w:after="0"/>
              <w:rPr>
                <w:sz w:val="14"/>
                <w:szCs w:val="14"/>
                <w:color w:val="auto"/>
              </w:rPr>
            </w:pPr>
          </w:p>
        </w:tc>
        <w:tc>
          <w:tcPr>
            <w:tcW w:w="1220" w:type="dxa"/>
            <w:vAlign w:val="bottom"/>
            <w:shd w:val="clear" w:color="auto" w:fill="E5E7EF"/>
          </w:tcPr>
          <w:p>
            <w:pPr>
              <w:spacing w:after="0"/>
              <w:rPr>
                <w:sz w:val="14"/>
                <w:szCs w:val="14"/>
                <w:color w:val="auto"/>
              </w:rPr>
            </w:pPr>
          </w:p>
        </w:tc>
        <w:tc>
          <w:tcPr>
            <w:tcW w:w="1220" w:type="dxa"/>
            <w:vAlign w:val="bottom"/>
            <w:shd w:val="clear" w:color="auto" w:fill="E5E7EF"/>
          </w:tcPr>
          <w:p>
            <w:pPr>
              <w:spacing w:after="0"/>
              <w:rPr>
                <w:sz w:val="14"/>
                <w:szCs w:val="14"/>
                <w:color w:val="auto"/>
              </w:rPr>
            </w:pPr>
          </w:p>
        </w:tc>
      </w:tr>
      <w:tr>
        <w:trPr>
          <w:trHeight w:val="148"/>
        </w:trPr>
        <w:tc>
          <w:tcPr>
            <w:tcW w:w="2360" w:type="dxa"/>
            <w:vAlign w:val="bottom"/>
            <w:shd w:val="clear" w:color="auto" w:fill="E5E7EF"/>
          </w:tcPr>
          <w:p>
            <w:pPr>
              <w:spacing w:after="0"/>
              <w:rPr>
                <w:sz w:val="12"/>
                <w:szCs w:val="12"/>
                <w:color w:val="auto"/>
              </w:rPr>
            </w:pPr>
          </w:p>
        </w:tc>
        <w:tc>
          <w:tcPr>
            <w:tcW w:w="1340" w:type="dxa"/>
            <w:vAlign w:val="bottom"/>
            <w:shd w:val="clear" w:color="auto" w:fill="E5E7EF"/>
          </w:tcPr>
          <w:p>
            <w:pPr>
              <w:jc w:val="right"/>
              <w:ind w:right="152"/>
              <w:spacing w:after="0"/>
              <w:rPr>
                <w:sz w:val="20"/>
                <w:szCs w:val="20"/>
                <w:color w:val="auto"/>
              </w:rPr>
            </w:pPr>
            <w:r>
              <w:rPr>
                <w:rFonts w:ascii="Arial" w:cs="Arial" w:eastAsia="Arial" w:hAnsi="Arial"/>
                <w:sz w:val="13"/>
                <w:szCs w:val="13"/>
                <w:color w:val="auto"/>
              </w:rPr>
              <w:t>Tax Assistance</w:t>
            </w:r>
          </w:p>
        </w:tc>
        <w:tc>
          <w:tcPr>
            <w:tcW w:w="140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Contributions to</w:t>
            </w:r>
          </w:p>
        </w:tc>
        <w:tc>
          <w:tcPr>
            <w:tcW w:w="13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Contributions to</w:t>
            </w:r>
          </w:p>
        </w:tc>
        <w:tc>
          <w:tcPr>
            <w:tcW w:w="138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Contributions to</w:t>
            </w:r>
          </w:p>
        </w:tc>
        <w:tc>
          <w:tcPr>
            <w:tcW w:w="9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Term Life</w:t>
            </w:r>
          </w:p>
        </w:tc>
        <w:tc>
          <w:tcPr>
            <w:tcW w:w="1220" w:type="dxa"/>
            <w:vAlign w:val="bottom"/>
            <w:shd w:val="clear" w:color="auto" w:fill="E5E7EF"/>
          </w:tcPr>
          <w:p>
            <w:pPr>
              <w:spacing w:after="0"/>
              <w:rPr>
                <w:sz w:val="12"/>
                <w:szCs w:val="12"/>
                <w:color w:val="auto"/>
              </w:rPr>
            </w:pPr>
          </w:p>
        </w:tc>
        <w:tc>
          <w:tcPr>
            <w:tcW w:w="1220" w:type="dxa"/>
            <w:vAlign w:val="bottom"/>
            <w:shd w:val="clear" w:color="auto" w:fill="E5E7EF"/>
          </w:tcPr>
          <w:p>
            <w:pPr>
              <w:spacing w:after="0"/>
              <w:rPr>
                <w:sz w:val="12"/>
                <w:szCs w:val="12"/>
                <w:color w:val="auto"/>
              </w:rPr>
            </w:pPr>
          </w:p>
        </w:tc>
      </w:tr>
      <w:tr>
        <w:trPr>
          <w:trHeight w:val="149"/>
        </w:trPr>
        <w:tc>
          <w:tcPr>
            <w:tcW w:w="2360" w:type="dxa"/>
            <w:vAlign w:val="bottom"/>
            <w:shd w:val="clear" w:color="auto" w:fill="E5E7EF"/>
          </w:tcPr>
          <w:p>
            <w:pPr>
              <w:spacing w:after="0"/>
              <w:rPr>
                <w:sz w:val="12"/>
                <w:szCs w:val="12"/>
                <w:color w:val="auto"/>
              </w:rPr>
            </w:pPr>
          </w:p>
        </w:tc>
        <w:tc>
          <w:tcPr>
            <w:tcW w:w="1340" w:type="dxa"/>
            <w:vAlign w:val="bottom"/>
            <w:shd w:val="clear" w:color="auto" w:fill="E5E7EF"/>
          </w:tcPr>
          <w:p>
            <w:pPr>
              <w:jc w:val="right"/>
              <w:ind w:right="152"/>
              <w:spacing w:after="0"/>
              <w:rPr>
                <w:sz w:val="20"/>
                <w:szCs w:val="20"/>
                <w:color w:val="auto"/>
              </w:rPr>
            </w:pPr>
            <w:r>
              <w:rPr>
                <w:rFonts w:ascii="Arial" w:cs="Arial" w:eastAsia="Arial" w:hAnsi="Arial"/>
                <w:sz w:val="13"/>
                <w:szCs w:val="13"/>
                <w:color w:val="auto"/>
              </w:rPr>
              <w:t>for Business-</w:t>
            </w:r>
          </w:p>
        </w:tc>
        <w:tc>
          <w:tcPr>
            <w:tcW w:w="140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Qualified Defined</w:t>
            </w:r>
          </w:p>
        </w:tc>
        <w:tc>
          <w:tcPr>
            <w:tcW w:w="13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Nonqualified Defined</w:t>
            </w:r>
          </w:p>
        </w:tc>
        <w:tc>
          <w:tcPr>
            <w:tcW w:w="138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Health Savings</w:t>
            </w:r>
          </w:p>
        </w:tc>
        <w:tc>
          <w:tcPr>
            <w:tcW w:w="9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Insurance</w:t>
            </w:r>
          </w:p>
        </w:tc>
        <w:tc>
          <w:tcPr>
            <w:tcW w:w="12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Matching Gift</w:t>
            </w:r>
          </w:p>
        </w:tc>
        <w:tc>
          <w:tcPr>
            <w:tcW w:w="12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Non-Employee</w:t>
            </w:r>
          </w:p>
        </w:tc>
      </w:tr>
      <w:tr>
        <w:trPr>
          <w:trHeight w:val="152"/>
        </w:trPr>
        <w:tc>
          <w:tcPr>
            <w:tcW w:w="2360" w:type="dxa"/>
            <w:vAlign w:val="bottom"/>
            <w:shd w:val="clear" w:color="auto" w:fill="E5E7EF"/>
          </w:tcPr>
          <w:p>
            <w:pPr>
              <w:spacing w:after="0"/>
              <w:rPr>
                <w:sz w:val="13"/>
                <w:szCs w:val="13"/>
                <w:color w:val="auto"/>
              </w:rPr>
            </w:pPr>
          </w:p>
        </w:tc>
        <w:tc>
          <w:tcPr>
            <w:tcW w:w="1340" w:type="dxa"/>
            <w:vAlign w:val="bottom"/>
            <w:shd w:val="clear" w:color="auto" w:fill="E5E7EF"/>
          </w:tcPr>
          <w:p>
            <w:pPr>
              <w:jc w:val="right"/>
              <w:ind w:right="152"/>
              <w:spacing w:after="0"/>
              <w:rPr>
                <w:sz w:val="20"/>
                <w:szCs w:val="20"/>
                <w:color w:val="auto"/>
              </w:rPr>
            </w:pPr>
            <w:r>
              <w:rPr>
                <w:rFonts w:ascii="Arial" w:cs="Arial" w:eastAsia="Arial" w:hAnsi="Arial"/>
                <w:sz w:val="13"/>
                <w:szCs w:val="13"/>
                <w:color w:val="auto"/>
              </w:rPr>
              <w:t>Related Items</w:t>
            </w:r>
          </w:p>
        </w:tc>
        <w:tc>
          <w:tcPr>
            <w:tcW w:w="140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Contribution Plans</w:t>
            </w:r>
          </w:p>
        </w:tc>
        <w:tc>
          <w:tcPr>
            <w:tcW w:w="13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Contribution Plans</w:t>
            </w:r>
          </w:p>
        </w:tc>
        <w:tc>
          <w:tcPr>
            <w:tcW w:w="138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Accounts</w:t>
            </w:r>
          </w:p>
        </w:tc>
        <w:tc>
          <w:tcPr>
            <w:tcW w:w="9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Opt-Out Credit</w:t>
            </w:r>
          </w:p>
        </w:tc>
        <w:tc>
          <w:tcPr>
            <w:tcW w:w="12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Programs</w:t>
            </w:r>
          </w:p>
        </w:tc>
        <w:tc>
          <w:tcPr>
            <w:tcW w:w="12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Director Fees</w:t>
            </w:r>
          </w:p>
        </w:tc>
      </w:tr>
      <w:tr>
        <w:trPr>
          <w:trHeight w:val="237"/>
        </w:trPr>
        <w:tc>
          <w:tcPr>
            <w:tcW w:w="236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340" w:type="dxa"/>
            <w:vAlign w:val="bottom"/>
            <w:tcBorders>
              <w:bottom w:val="single" w:sz="8" w:color="E5E7EF"/>
            </w:tcBorders>
            <w:shd w:val="clear" w:color="auto" w:fill="E5E7EF"/>
          </w:tcPr>
          <w:p>
            <w:pPr>
              <w:jc w:val="right"/>
              <w:ind w:right="152"/>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E5E7EF"/>
            </w:tcBorders>
            <w:shd w:val="clear" w:color="auto" w:fill="E5E7EF"/>
          </w:tcPr>
          <w:p>
            <w:pPr>
              <w:jc w:val="right"/>
              <w:ind w:right="72"/>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E5E7EF"/>
            </w:tcBorders>
            <w:shd w:val="clear" w:color="auto" w:fill="E5E7EF"/>
          </w:tcPr>
          <w:p>
            <w:pPr>
              <w:jc w:val="right"/>
              <w:ind w:right="72"/>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360" w:type="dxa"/>
            <w:vAlign w:val="bottom"/>
            <w:tcBorders>
              <w:top w:val="single" w:sz="8" w:color="959595"/>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Mr. Taiclet</w:t>
            </w:r>
          </w:p>
        </w:tc>
        <w:tc>
          <w:tcPr>
            <w:tcW w:w="1340" w:type="dxa"/>
            <w:vAlign w:val="bottom"/>
            <w:tcBorders>
              <w:top w:val="single" w:sz="8" w:color="959595"/>
              <w:bottom w:val="single" w:sz="8" w:color="959595"/>
            </w:tcBorders>
          </w:tcPr>
          <w:p>
            <w:pPr>
              <w:jc w:val="right"/>
              <w:ind w:right="152"/>
              <w:spacing w:after="0"/>
              <w:rPr>
                <w:sz w:val="20"/>
                <w:szCs w:val="20"/>
                <w:color w:val="auto"/>
              </w:rPr>
            </w:pPr>
            <w:r>
              <w:rPr>
                <w:rFonts w:ascii="Arial" w:cs="Arial" w:eastAsia="Arial" w:hAnsi="Arial"/>
                <w:sz w:val="14"/>
                <w:szCs w:val="14"/>
                <w:color w:val="auto"/>
              </w:rPr>
              <w:t>174,136</w:t>
            </w:r>
          </w:p>
        </w:tc>
        <w:tc>
          <w:tcPr>
            <w:tcW w:w="1400" w:type="dxa"/>
            <w:vAlign w:val="bottom"/>
            <w:tcBorders>
              <w:top w:val="single" w:sz="8" w:color="959595"/>
              <w:bottom w:val="single" w:sz="8" w:color="959595"/>
            </w:tcBorders>
          </w:tcPr>
          <w:p>
            <w:pPr>
              <w:jc w:val="right"/>
              <w:ind w:right="132"/>
              <w:spacing w:after="0"/>
              <w:rPr>
                <w:sz w:val="20"/>
                <w:szCs w:val="20"/>
                <w:color w:val="auto"/>
              </w:rPr>
            </w:pPr>
            <w:r>
              <w:rPr>
                <w:rFonts w:ascii="Arial" w:cs="Arial" w:eastAsia="Arial" w:hAnsi="Arial"/>
                <w:sz w:val="14"/>
                <w:szCs w:val="14"/>
                <w:color w:val="auto"/>
              </w:rPr>
              <w:t>22,146</w:t>
            </w:r>
          </w:p>
        </w:tc>
        <w:tc>
          <w:tcPr>
            <w:tcW w:w="134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35,862</w:t>
            </w:r>
          </w:p>
        </w:tc>
        <w:tc>
          <w:tcPr>
            <w:tcW w:w="1380" w:type="dxa"/>
            <w:vAlign w:val="bottom"/>
            <w:tcBorders>
              <w:top w:val="single" w:sz="8" w:color="929292"/>
              <w:bottom w:val="single" w:sz="8" w:color="929292"/>
            </w:tcBorders>
          </w:tcPr>
          <w:p>
            <w:pPr>
              <w:jc w:val="right"/>
              <w:ind w:right="72"/>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1220" w:type="dxa"/>
            <w:vAlign w:val="bottom"/>
            <w:tcBorders>
              <w:top w:val="single" w:sz="8" w:color="959595"/>
              <w:bottom w:val="single" w:sz="8" w:color="929292"/>
            </w:tcBorders>
          </w:tcPr>
          <w:p>
            <w:pPr>
              <w:jc w:val="right"/>
              <w:spacing w:after="0"/>
              <w:rPr>
                <w:sz w:val="20"/>
                <w:szCs w:val="20"/>
                <w:color w:val="auto"/>
              </w:rPr>
            </w:pPr>
            <w:r>
              <w:rPr>
                <w:rFonts w:ascii="Arial" w:cs="Arial" w:eastAsia="Arial" w:hAnsi="Arial"/>
                <w:sz w:val="14"/>
                <w:szCs w:val="14"/>
                <w:color w:val="auto"/>
              </w:rPr>
              <w:t>73,924</w:t>
            </w:r>
          </w:p>
        </w:tc>
      </w:tr>
      <w:tr>
        <w:trPr>
          <w:trHeight w:val="183"/>
        </w:trPr>
        <w:tc>
          <w:tcPr>
            <w:tcW w:w="23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Ms. Hewson</w:t>
            </w:r>
          </w:p>
        </w:tc>
        <w:tc>
          <w:tcPr>
            <w:tcW w:w="134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92,227</w:t>
            </w:r>
          </w:p>
        </w:tc>
        <w:tc>
          <w:tcPr>
            <w:tcW w:w="140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21,000</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163,403</w:t>
            </w:r>
          </w:p>
        </w:tc>
        <w:tc>
          <w:tcPr>
            <w:tcW w:w="1380" w:type="dxa"/>
            <w:vAlign w:val="bottom"/>
            <w:tcBorders>
              <w:bottom w:val="single" w:sz="8" w:color="929292"/>
            </w:tcBorders>
          </w:tcPr>
          <w:p>
            <w:pPr>
              <w:jc w:val="right"/>
              <w:ind w:right="72"/>
              <w:spacing w:after="0"/>
              <w:rPr>
                <w:sz w:val="20"/>
                <w:szCs w:val="20"/>
                <w:color w:val="auto"/>
              </w:rPr>
            </w:pPr>
            <w:r>
              <w:rPr>
                <w:rFonts w:ascii="Arial" w:cs="Arial" w:eastAsia="Arial" w:hAnsi="Arial"/>
                <w:sz w:val="14"/>
                <w:szCs w:val="14"/>
                <w:color w:val="auto"/>
              </w:rPr>
              <w:t>500</w:t>
            </w: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11,100</w:t>
            </w:r>
          </w:p>
        </w:tc>
        <w:tc>
          <w:tcPr>
            <w:tcW w:w="12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3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Mr. Possenriede</w:t>
            </w:r>
          </w:p>
        </w:tc>
        <w:tc>
          <w:tcPr>
            <w:tcW w:w="134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31,641</w:t>
            </w:r>
          </w:p>
        </w:tc>
        <w:tc>
          <w:tcPr>
            <w:tcW w:w="140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20,350</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72,573</w:t>
            </w:r>
          </w:p>
        </w:tc>
        <w:tc>
          <w:tcPr>
            <w:tcW w:w="1380" w:type="dxa"/>
            <w:vAlign w:val="bottom"/>
            <w:tcBorders>
              <w:bottom w:val="single" w:sz="8" w:color="929292"/>
            </w:tcBorders>
          </w:tcPr>
          <w:p>
            <w:pPr>
              <w:jc w:val="right"/>
              <w:ind w:right="72"/>
              <w:spacing w:after="0"/>
              <w:rPr>
                <w:sz w:val="20"/>
                <w:szCs w:val="20"/>
                <w:color w:val="auto"/>
              </w:rPr>
            </w:pPr>
            <w:r>
              <w:rPr>
                <w:rFonts w:ascii="Arial" w:cs="Arial" w:eastAsia="Arial" w:hAnsi="Arial"/>
                <w:sz w:val="14"/>
                <w:szCs w:val="14"/>
                <w:color w:val="auto"/>
              </w:rPr>
              <w:t>500</w:t>
            </w: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9,600</w:t>
            </w:r>
          </w:p>
        </w:tc>
        <w:tc>
          <w:tcPr>
            <w:tcW w:w="12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3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Mr. St. John</w:t>
            </w:r>
          </w:p>
        </w:tc>
        <w:tc>
          <w:tcPr>
            <w:tcW w:w="1340" w:type="dxa"/>
            <w:vAlign w:val="bottom"/>
            <w:tcBorders>
              <w:bottom w:val="single" w:sz="8" w:color="939598"/>
            </w:tcBorders>
          </w:tcPr>
          <w:p>
            <w:pPr>
              <w:jc w:val="right"/>
              <w:ind w:right="152"/>
              <w:spacing w:after="0"/>
              <w:rPr>
                <w:sz w:val="20"/>
                <w:szCs w:val="20"/>
                <w:color w:val="auto"/>
              </w:rPr>
            </w:pPr>
            <w:r>
              <w:rPr>
                <w:rFonts w:ascii="Arial" w:cs="Arial" w:eastAsia="Arial" w:hAnsi="Arial"/>
                <w:sz w:val="14"/>
                <w:szCs w:val="14"/>
                <w:color w:val="auto"/>
              </w:rPr>
              <w:t>79,807</w:t>
            </w:r>
          </w:p>
        </w:tc>
        <w:tc>
          <w:tcPr>
            <w:tcW w:w="1400" w:type="dxa"/>
            <w:vAlign w:val="bottom"/>
            <w:tcBorders>
              <w:bottom w:val="single" w:sz="8" w:color="939598"/>
            </w:tcBorders>
          </w:tcPr>
          <w:p>
            <w:pPr>
              <w:jc w:val="right"/>
              <w:ind w:right="132"/>
              <w:spacing w:after="0"/>
              <w:rPr>
                <w:sz w:val="20"/>
                <w:szCs w:val="20"/>
                <w:color w:val="auto"/>
              </w:rPr>
            </w:pPr>
            <w:r>
              <w:rPr>
                <w:rFonts w:ascii="Arial" w:cs="Arial" w:eastAsia="Arial" w:hAnsi="Arial"/>
                <w:sz w:val="14"/>
                <w:szCs w:val="14"/>
                <w:color w:val="auto"/>
              </w:rPr>
              <w:t>20,350</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72,573</w:t>
            </w:r>
          </w:p>
        </w:tc>
        <w:tc>
          <w:tcPr>
            <w:tcW w:w="1380" w:type="dxa"/>
            <w:vAlign w:val="bottom"/>
            <w:tcBorders>
              <w:bottom w:val="single" w:sz="8" w:color="939598"/>
            </w:tcBorders>
          </w:tcPr>
          <w:p>
            <w:pPr>
              <w:jc w:val="right"/>
              <w:ind w:right="72"/>
              <w:spacing w:after="0"/>
              <w:rPr>
                <w:sz w:val="20"/>
                <w:szCs w:val="20"/>
                <w:color w:val="auto"/>
              </w:rPr>
            </w:pPr>
            <w:r>
              <w:rPr>
                <w:rFonts w:ascii="Arial" w:cs="Arial" w:eastAsia="Arial" w:hAnsi="Arial"/>
                <w:sz w:val="14"/>
                <w:szCs w:val="14"/>
                <w:color w:val="auto"/>
              </w:rPr>
              <w:t>500</w:t>
            </w: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1,992</w:t>
            </w:r>
          </w:p>
        </w:tc>
        <w:tc>
          <w:tcPr>
            <w:tcW w:w="12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11,000</w:t>
            </w:r>
          </w:p>
        </w:tc>
        <w:tc>
          <w:tcPr>
            <w:tcW w:w="12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3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Mr. Ambrose</w:t>
            </w:r>
          </w:p>
        </w:tc>
        <w:tc>
          <w:tcPr>
            <w:tcW w:w="134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7,522</w:t>
            </w:r>
          </w:p>
        </w:tc>
        <w:tc>
          <w:tcPr>
            <w:tcW w:w="140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20,400</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72,523</w:t>
            </w:r>
          </w:p>
        </w:tc>
        <w:tc>
          <w:tcPr>
            <w:tcW w:w="1380" w:type="dxa"/>
            <w:vAlign w:val="bottom"/>
            <w:tcBorders>
              <w:bottom w:val="single" w:sz="8" w:color="929292"/>
            </w:tcBorders>
          </w:tcPr>
          <w:p>
            <w:pPr>
              <w:jc w:val="right"/>
              <w:ind w:right="72"/>
              <w:spacing w:after="0"/>
              <w:rPr>
                <w:sz w:val="20"/>
                <w:szCs w:val="20"/>
                <w:color w:val="auto"/>
              </w:rPr>
            </w:pPr>
            <w:r>
              <w:rPr>
                <w:rFonts w:ascii="Arial" w:cs="Arial" w:eastAsia="Arial" w:hAnsi="Arial"/>
                <w:sz w:val="14"/>
                <w:szCs w:val="14"/>
                <w:color w:val="auto"/>
              </w:rPr>
              <w:t>500</w:t>
            </w: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1,256</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12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36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auto"/>
              </w:rPr>
              <w:t>Ms. Evans</w:t>
            </w:r>
          </w:p>
        </w:tc>
        <w:tc>
          <w:tcPr>
            <w:tcW w:w="1340" w:type="dxa"/>
            <w:vAlign w:val="bottom"/>
            <w:tcBorders>
              <w:bottom w:val="single" w:sz="8" w:color="929292"/>
            </w:tcBorders>
          </w:tcPr>
          <w:p>
            <w:pPr>
              <w:jc w:val="right"/>
              <w:ind w:right="152"/>
              <w:spacing w:after="0"/>
              <w:rPr>
                <w:sz w:val="20"/>
                <w:szCs w:val="20"/>
                <w:color w:val="auto"/>
              </w:rPr>
            </w:pPr>
            <w:r>
              <w:rPr>
                <w:rFonts w:ascii="Arial" w:cs="Arial" w:eastAsia="Arial" w:hAnsi="Arial"/>
                <w:sz w:val="14"/>
                <w:szCs w:val="14"/>
                <w:color w:val="auto"/>
              </w:rPr>
              <w:t>3,228</w:t>
            </w:r>
          </w:p>
        </w:tc>
        <w:tc>
          <w:tcPr>
            <w:tcW w:w="1400" w:type="dxa"/>
            <w:vAlign w:val="bottom"/>
            <w:tcBorders>
              <w:bottom w:val="single" w:sz="8" w:color="929292"/>
            </w:tcBorders>
          </w:tcPr>
          <w:p>
            <w:pPr>
              <w:jc w:val="right"/>
              <w:ind w:right="132"/>
              <w:spacing w:after="0"/>
              <w:rPr>
                <w:sz w:val="20"/>
                <w:szCs w:val="20"/>
                <w:color w:val="auto"/>
              </w:rPr>
            </w:pPr>
            <w:r>
              <w:rPr>
                <w:rFonts w:ascii="Arial" w:cs="Arial" w:eastAsia="Arial" w:hAnsi="Arial"/>
                <w:sz w:val="14"/>
                <w:szCs w:val="14"/>
                <w:color w:val="auto"/>
              </w:rPr>
              <w:t>20,350</w:t>
            </w:r>
          </w:p>
        </w:tc>
        <w:tc>
          <w:tcPr>
            <w:tcW w:w="13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72,573</w:t>
            </w:r>
          </w:p>
        </w:tc>
        <w:tc>
          <w:tcPr>
            <w:tcW w:w="1380" w:type="dxa"/>
            <w:vAlign w:val="bottom"/>
            <w:tcBorders>
              <w:bottom w:val="single" w:sz="8" w:color="929292"/>
            </w:tcBorders>
          </w:tcPr>
          <w:p>
            <w:pPr>
              <w:jc w:val="right"/>
              <w:ind w:right="72"/>
              <w:spacing w:after="0"/>
              <w:rPr>
                <w:sz w:val="20"/>
                <w:szCs w:val="20"/>
                <w:color w:val="auto"/>
              </w:rPr>
            </w:pPr>
            <w:r>
              <w:rPr>
                <w:rFonts w:ascii="Arial" w:cs="Arial" w:eastAsia="Arial" w:hAnsi="Arial"/>
                <w:sz w:val="14"/>
                <w:szCs w:val="14"/>
                <w:color w:val="auto"/>
              </w:rPr>
              <w:t>500</w:t>
            </w: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1,100</w:t>
            </w:r>
          </w:p>
        </w:tc>
        <w:tc>
          <w:tcPr>
            <w:tcW w:w="12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w:t>
            </w:r>
          </w:p>
        </w:tc>
      </w:tr>
    </w:tbl>
    <w:p>
      <w:pPr>
        <w:spacing w:after="0" w:line="210"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In 2020, the Corporation provided tax assistance on business-related items associated with taxable security expenses, relocation related expenses (when applicable), non-resident state income taxes on business travel and travel expenses for a family member accompanying the NEO while on business travel. For Ms. Hewson the total tax assistance amount reported for 2020 included a $29,334 payment attributable to security expenses and a $61,256 payment attributable to non-resident state income taxes, including payment associated with long-term incentive awards, which was incurred as a result of business travel to a state other than her state of residence; and for Mr. Taiclet and Mr. St. John, the total tax assistance amounts reported for 2020 included $174,136 and $68,204, respectively, associated with their relocation expenses incurred pursuant to our relocation policy. Tax assistance was provided for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61</w:t>
      </w:r>
    </w:p>
    <w:p>
      <w:pPr>
        <w:sectPr>
          <w:pgSz w:w="11900" w:h="16838" w:orient="portrait"/>
          <w:cols w:equalWidth="0" w:num="1">
            <w:col w:w="11240"/>
          </w:cols>
          <w:pgMar w:left="320" w:top="609" w:right="339" w:bottom="1440" w:gutter="0" w:footer="0" w:header="0"/>
        </w:sectPr>
      </w:pPr>
    </w:p>
    <w:bookmarkStart w:id="65" w:name="page66"/>
    <w:bookmarkEnd w:id="65"/>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these items because the associated tax liability imposed on the executive would not have been incurred unless business reasons required the items to be provided or the executive to travel to the non-resident state or to be relocated.</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color w:val="475C90"/>
        </w:rPr>
        <w:t>*Total Without Change In Pension Value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separate column labeled “Total Without Change in Pension Value” shows total compensation as required to be disclosed by the SEC in column</w:t>
      </w:r>
    </w:p>
    <w:p>
      <w:pPr>
        <w:spacing w:after="0" w:line="21" w:lineRule="exact"/>
        <w:rPr>
          <w:sz w:val="20"/>
          <w:szCs w:val="20"/>
          <w:color w:val="auto"/>
        </w:rPr>
      </w:pPr>
    </w:p>
    <w:p>
      <w:pPr>
        <w:ind w:right="80" w:firstLine="8"/>
        <w:spacing w:after="0" w:line="267" w:lineRule="auto"/>
        <w:tabs>
          <w:tab w:leader="none" w:pos="19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less the amount shown in Change in Pension Value and Nonqualified Deferred Compensation Earnings in column (h). We provided this column because the amount reported in column (h) for Change in Pension Value is not current compensation and represents the change in present value of an estimated stream of payments to be made following retirement. The methodology used to report the Change in Pension Value under applicable accounting rules is sensitive to assumptions about life expectancy and changes in the discount rate determined at each year end, which are functions of economic factors and actuarial calculations that are outside of the control of the Compensation Committee. The amounts shown in the separate column are not a substitute for the amounts reported in the Total column.</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color w:val="002E6D"/>
        </w:rPr>
        <w:t>2020 Grants of Plan-Based Awards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shd w:val="clear" w:color="auto" w:fill="E5E7EF"/>
          </w:tcPr>
          <w:p>
            <w:pPr>
              <w:spacing w:after="0"/>
              <w:rPr>
                <w:sz w:val="18"/>
                <w:szCs w:val="18"/>
                <w:color w:val="auto"/>
              </w:rPr>
            </w:pPr>
          </w:p>
        </w:tc>
        <w:tc>
          <w:tcPr>
            <w:tcW w:w="880" w:type="dxa"/>
            <w:vAlign w:val="bottom"/>
            <w:shd w:val="clear" w:color="auto" w:fill="E5E7EF"/>
          </w:tcPr>
          <w:p>
            <w:pPr>
              <w:spacing w:after="0"/>
              <w:rPr>
                <w:sz w:val="18"/>
                <w:szCs w:val="18"/>
                <w:color w:val="auto"/>
              </w:rPr>
            </w:pPr>
          </w:p>
        </w:tc>
        <w:tc>
          <w:tcPr>
            <w:tcW w:w="880" w:type="dxa"/>
            <w:vAlign w:val="bottom"/>
            <w:shd w:val="clear" w:color="auto" w:fill="E5E7EF"/>
          </w:tcPr>
          <w:p>
            <w:pPr>
              <w:spacing w:after="0"/>
              <w:rPr>
                <w:sz w:val="18"/>
                <w:szCs w:val="18"/>
                <w:color w:val="auto"/>
              </w:rPr>
            </w:pPr>
          </w:p>
        </w:tc>
        <w:tc>
          <w:tcPr>
            <w:tcW w:w="560" w:type="dxa"/>
            <w:vAlign w:val="bottom"/>
            <w:shd w:val="clear" w:color="auto" w:fill="E5E7EF"/>
          </w:tcPr>
          <w:p>
            <w:pPr>
              <w:spacing w:after="0"/>
              <w:rPr>
                <w:sz w:val="18"/>
                <w:szCs w:val="18"/>
                <w:color w:val="auto"/>
              </w:rPr>
            </w:pPr>
          </w:p>
        </w:tc>
        <w:tc>
          <w:tcPr>
            <w:tcW w:w="100" w:type="dxa"/>
            <w:vAlign w:val="bottom"/>
            <w:shd w:val="clear" w:color="auto" w:fill="E5E7EF"/>
          </w:tcPr>
          <w:p>
            <w:pPr>
              <w:spacing w:after="0"/>
              <w:rPr>
                <w:sz w:val="18"/>
                <w:szCs w:val="18"/>
                <w:color w:val="auto"/>
              </w:rPr>
            </w:pPr>
          </w:p>
        </w:tc>
        <w:tc>
          <w:tcPr>
            <w:tcW w:w="820" w:type="dxa"/>
            <w:vAlign w:val="bottom"/>
            <w:shd w:val="clear" w:color="auto" w:fill="E5E7EF"/>
          </w:tcPr>
          <w:p>
            <w:pPr>
              <w:spacing w:after="0"/>
              <w:rPr>
                <w:sz w:val="18"/>
                <w:szCs w:val="18"/>
                <w:color w:val="auto"/>
              </w:rPr>
            </w:pPr>
          </w:p>
        </w:tc>
        <w:tc>
          <w:tcPr>
            <w:tcW w:w="980" w:type="dxa"/>
            <w:vAlign w:val="bottom"/>
            <w:shd w:val="clear" w:color="auto" w:fill="E5E7EF"/>
          </w:tcPr>
          <w:p>
            <w:pPr>
              <w:spacing w:after="0"/>
              <w:rPr>
                <w:sz w:val="18"/>
                <w:szCs w:val="18"/>
                <w:color w:val="auto"/>
              </w:rPr>
            </w:pPr>
          </w:p>
        </w:tc>
        <w:tc>
          <w:tcPr>
            <w:tcW w:w="760" w:type="dxa"/>
            <w:vAlign w:val="bottom"/>
            <w:shd w:val="clear" w:color="auto" w:fill="E5E7EF"/>
          </w:tcPr>
          <w:p>
            <w:pPr>
              <w:spacing w:after="0"/>
              <w:rPr>
                <w:sz w:val="18"/>
                <w:szCs w:val="18"/>
                <w:color w:val="auto"/>
              </w:rPr>
            </w:pPr>
          </w:p>
        </w:tc>
        <w:tc>
          <w:tcPr>
            <w:tcW w:w="100" w:type="dxa"/>
            <w:vAlign w:val="bottom"/>
            <w:shd w:val="clear" w:color="auto" w:fill="E5E7EF"/>
          </w:tcPr>
          <w:p>
            <w:pPr>
              <w:spacing w:after="0"/>
              <w:rPr>
                <w:sz w:val="18"/>
                <w:szCs w:val="18"/>
                <w:color w:val="auto"/>
              </w:rPr>
            </w:pPr>
          </w:p>
        </w:tc>
        <w:tc>
          <w:tcPr>
            <w:tcW w:w="980" w:type="dxa"/>
            <w:vAlign w:val="bottom"/>
            <w:shd w:val="clear" w:color="auto" w:fill="E5E7EF"/>
          </w:tcPr>
          <w:p>
            <w:pPr>
              <w:spacing w:after="0"/>
              <w:rPr>
                <w:sz w:val="18"/>
                <w:szCs w:val="18"/>
                <w:color w:val="auto"/>
              </w:rPr>
            </w:pPr>
          </w:p>
        </w:tc>
        <w:tc>
          <w:tcPr>
            <w:tcW w:w="760" w:type="dxa"/>
            <w:vAlign w:val="bottom"/>
            <w:shd w:val="clear" w:color="auto" w:fill="E5E7EF"/>
          </w:tcPr>
          <w:p>
            <w:pPr>
              <w:spacing w:after="0"/>
              <w:rPr>
                <w:sz w:val="18"/>
                <w:szCs w:val="18"/>
                <w:color w:val="auto"/>
              </w:rPr>
            </w:pPr>
          </w:p>
        </w:tc>
        <w:tc>
          <w:tcPr>
            <w:tcW w:w="720" w:type="dxa"/>
            <w:vAlign w:val="bottom"/>
            <w:shd w:val="clear" w:color="auto" w:fill="E5E7EF"/>
          </w:tcPr>
          <w:p>
            <w:pPr>
              <w:spacing w:after="0"/>
              <w:rPr>
                <w:sz w:val="18"/>
                <w:szCs w:val="18"/>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All Other</w:t>
            </w:r>
          </w:p>
        </w:tc>
        <w:tc>
          <w:tcPr>
            <w:tcW w:w="1100" w:type="dxa"/>
            <w:vAlign w:val="bottom"/>
            <w:shd w:val="clear" w:color="auto" w:fill="E5E7E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E5E7EF"/>
          </w:tcPr>
          <w:p>
            <w:pPr>
              <w:spacing w:after="0"/>
              <w:rPr>
                <w:sz w:val="12"/>
                <w:szCs w:val="12"/>
                <w:color w:val="auto"/>
              </w:rPr>
            </w:pPr>
          </w:p>
        </w:tc>
        <w:tc>
          <w:tcPr>
            <w:tcW w:w="880" w:type="dxa"/>
            <w:vAlign w:val="bottom"/>
            <w:shd w:val="clear" w:color="auto" w:fill="E5E7EF"/>
          </w:tcPr>
          <w:p>
            <w:pPr>
              <w:spacing w:after="0"/>
              <w:rPr>
                <w:sz w:val="12"/>
                <w:szCs w:val="12"/>
                <w:color w:val="auto"/>
              </w:rPr>
            </w:pPr>
          </w:p>
        </w:tc>
        <w:tc>
          <w:tcPr>
            <w:tcW w:w="880" w:type="dxa"/>
            <w:vAlign w:val="bottom"/>
            <w:shd w:val="clear" w:color="auto" w:fill="E5E7EF"/>
          </w:tcPr>
          <w:p>
            <w:pPr>
              <w:spacing w:after="0"/>
              <w:rPr>
                <w:sz w:val="12"/>
                <w:szCs w:val="12"/>
                <w:color w:val="auto"/>
              </w:rPr>
            </w:pPr>
          </w:p>
        </w:tc>
        <w:tc>
          <w:tcPr>
            <w:tcW w:w="560" w:type="dxa"/>
            <w:vAlign w:val="bottom"/>
            <w:shd w:val="clear" w:color="auto" w:fill="E5E7EF"/>
          </w:tcPr>
          <w:p>
            <w:pPr>
              <w:spacing w:after="0"/>
              <w:rPr>
                <w:sz w:val="12"/>
                <w:szCs w:val="12"/>
                <w:color w:val="auto"/>
              </w:rPr>
            </w:pPr>
          </w:p>
        </w:tc>
        <w:tc>
          <w:tcPr>
            <w:tcW w:w="100" w:type="dxa"/>
            <w:vAlign w:val="bottom"/>
            <w:shd w:val="clear" w:color="auto" w:fill="E5E7EF"/>
          </w:tcPr>
          <w:p>
            <w:pPr>
              <w:spacing w:after="0"/>
              <w:rPr>
                <w:sz w:val="12"/>
                <w:szCs w:val="12"/>
                <w:color w:val="auto"/>
              </w:rPr>
            </w:pPr>
          </w:p>
        </w:tc>
        <w:tc>
          <w:tcPr>
            <w:tcW w:w="2660" w:type="dxa"/>
            <w:vAlign w:val="bottom"/>
            <w:gridSpan w:val="4"/>
            <w:vMerge w:val="restart"/>
            <w:shd w:val="clear" w:color="auto" w:fill="E5E7EF"/>
          </w:tcPr>
          <w:p>
            <w:pPr>
              <w:jc w:val="center"/>
              <w:ind w:right="100"/>
              <w:spacing w:after="0"/>
              <w:rPr>
                <w:sz w:val="20"/>
                <w:szCs w:val="20"/>
                <w:color w:val="auto"/>
              </w:rPr>
            </w:pPr>
            <w:r>
              <w:rPr>
                <w:rFonts w:ascii="Arial" w:cs="Arial" w:eastAsia="Arial" w:hAnsi="Arial"/>
                <w:sz w:val="13"/>
                <w:szCs w:val="13"/>
                <w:color w:val="auto"/>
                <w:w w:val="97"/>
              </w:rPr>
              <w:t>Estimated Future Payouts Under</w:t>
            </w:r>
          </w:p>
        </w:tc>
        <w:tc>
          <w:tcPr>
            <w:tcW w:w="2460" w:type="dxa"/>
            <w:vAlign w:val="bottom"/>
            <w:gridSpan w:val="3"/>
            <w:vMerge w:val="restart"/>
            <w:shd w:val="clear" w:color="auto" w:fill="E5E7EF"/>
          </w:tcPr>
          <w:p>
            <w:pPr>
              <w:jc w:val="right"/>
              <w:ind w:right="249"/>
              <w:spacing w:after="0"/>
              <w:rPr>
                <w:sz w:val="20"/>
                <w:szCs w:val="20"/>
                <w:color w:val="auto"/>
              </w:rPr>
            </w:pPr>
            <w:r>
              <w:rPr>
                <w:rFonts w:ascii="Arial" w:cs="Arial" w:eastAsia="Arial" w:hAnsi="Arial"/>
                <w:sz w:val="13"/>
                <w:szCs w:val="13"/>
                <w:color w:val="auto"/>
              </w:rPr>
              <w:t>Estimated Future Payouts Under</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Stock</w:t>
            </w:r>
          </w:p>
        </w:tc>
        <w:tc>
          <w:tcPr>
            <w:tcW w:w="110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20" w:type="dxa"/>
            <w:vAlign w:val="bottom"/>
            <w:shd w:val="clear" w:color="auto" w:fill="E5E7EF"/>
          </w:tcPr>
          <w:p>
            <w:pPr>
              <w:spacing w:after="0"/>
              <w:rPr>
                <w:sz w:val="9"/>
                <w:szCs w:val="9"/>
                <w:color w:val="auto"/>
              </w:rPr>
            </w:pPr>
          </w:p>
        </w:tc>
        <w:tc>
          <w:tcPr>
            <w:tcW w:w="880" w:type="dxa"/>
            <w:vAlign w:val="bottom"/>
            <w:shd w:val="clear" w:color="auto" w:fill="E5E7EF"/>
          </w:tcPr>
          <w:p>
            <w:pPr>
              <w:spacing w:after="0"/>
              <w:rPr>
                <w:sz w:val="9"/>
                <w:szCs w:val="9"/>
                <w:color w:val="auto"/>
              </w:rPr>
            </w:pPr>
          </w:p>
        </w:tc>
        <w:tc>
          <w:tcPr>
            <w:tcW w:w="880" w:type="dxa"/>
            <w:vAlign w:val="bottom"/>
            <w:shd w:val="clear" w:color="auto" w:fill="E5E7EF"/>
          </w:tcPr>
          <w:p>
            <w:pPr>
              <w:spacing w:after="0"/>
              <w:rPr>
                <w:sz w:val="9"/>
                <w:szCs w:val="9"/>
                <w:color w:val="auto"/>
              </w:rPr>
            </w:pPr>
          </w:p>
        </w:tc>
        <w:tc>
          <w:tcPr>
            <w:tcW w:w="560" w:type="dxa"/>
            <w:vAlign w:val="bottom"/>
            <w:shd w:val="clear" w:color="auto" w:fill="E5E7EF"/>
          </w:tcPr>
          <w:p>
            <w:pPr>
              <w:spacing w:after="0"/>
              <w:rPr>
                <w:sz w:val="9"/>
                <w:szCs w:val="9"/>
                <w:color w:val="auto"/>
              </w:rPr>
            </w:pPr>
          </w:p>
        </w:tc>
        <w:tc>
          <w:tcPr>
            <w:tcW w:w="100" w:type="dxa"/>
            <w:vAlign w:val="bottom"/>
            <w:shd w:val="clear" w:color="auto" w:fill="E5E7EF"/>
          </w:tcPr>
          <w:p>
            <w:pPr>
              <w:spacing w:after="0"/>
              <w:rPr>
                <w:sz w:val="9"/>
                <w:szCs w:val="9"/>
                <w:color w:val="auto"/>
              </w:rPr>
            </w:pPr>
          </w:p>
        </w:tc>
        <w:tc>
          <w:tcPr>
            <w:tcW w:w="2660" w:type="dxa"/>
            <w:vAlign w:val="bottom"/>
            <w:gridSpan w:val="4"/>
            <w:vMerge w:val="continue"/>
            <w:shd w:val="clear" w:color="auto" w:fill="E5E7EF"/>
          </w:tcPr>
          <w:p>
            <w:pPr>
              <w:spacing w:after="0"/>
              <w:rPr>
                <w:sz w:val="9"/>
                <w:szCs w:val="9"/>
                <w:color w:val="auto"/>
              </w:rPr>
            </w:pPr>
          </w:p>
        </w:tc>
        <w:tc>
          <w:tcPr>
            <w:tcW w:w="2460" w:type="dxa"/>
            <w:vAlign w:val="bottom"/>
            <w:gridSpan w:val="3"/>
            <w:vMerge w:val="continue"/>
            <w:shd w:val="clear" w:color="auto" w:fill="E5E7EF"/>
          </w:tcPr>
          <w:p>
            <w:pPr>
              <w:spacing w:after="0"/>
              <w:rPr>
                <w:sz w:val="9"/>
                <w:szCs w:val="9"/>
                <w:color w:val="auto"/>
              </w:rPr>
            </w:pPr>
          </w:p>
        </w:tc>
        <w:tc>
          <w:tcPr>
            <w:tcW w:w="88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Awards:</w:t>
            </w:r>
          </w:p>
        </w:tc>
        <w:tc>
          <w:tcPr>
            <w:tcW w:w="1100" w:type="dxa"/>
            <w:vAlign w:val="bottom"/>
            <w:shd w:val="clear" w:color="auto" w:fill="E5E7EF"/>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720" w:type="dxa"/>
            <w:vAlign w:val="bottom"/>
            <w:shd w:val="clear" w:color="auto" w:fill="E5E7EF"/>
          </w:tcPr>
          <w:p>
            <w:pPr>
              <w:spacing w:after="0"/>
              <w:rPr>
                <w:sz w:val="3"/>
                <w:szCs w:val="3"/>
                <w:color w:val="auto"/>
              </w:rPr>
            </w:pPr>
          </w:p>
        </w:tc>
        <w:tc>
          <w:tcPr>
            <w:tcW w:w="880" w:type="dxa"/>
            <w:vAlign w:val="bottom"/>
            <w:shd w:val="clear" w:color="auto" w:fill="E5E7EF"/>
          </w:tcPr>
          <w:p>
            <w:pPr>
              <w:spacing w:after="0"/>
              <w:rPr>
                <w:sz w:val="3"/>
                <w:szCs w:val="3"/>
                <w:color w:val="auto"/>
              </w:rPr>
            </w:pPr>
          </w:p>
        </w:tc>
        <w:tc>
          <w:tcPr>
            <w:tcW w:w="880" w:type="dxa"/>
            <w:vAlign w:val="bottom"/>
            <w:shd w:val="clear" w:color="auto" w:fill="E5E7EF"/>
          </w:tcPr>
          <w:p>
            <w:pPr>
              <w:spacing w:after="0"/>
              <w:rPr>
                <w:sz w:val="3"/>
                <w:szCs w:val="3"/>
                <w:color w:val="auto"/>
              </w:rPr>
            </w:pPr>
          </w:p>
        </w:tc>
        <w:tc>
          <w:tcPr>
            <w:tcW w:w="560" w:type="dxa"/>
            <w:vAlign w:val="bottom"/>
            <w:shd w:val="clear" w:color="auto" w:fill="E5E7EF"/>
          </w:tcPr>
          <w:p>
            <w:pPr>
              <w:spacing w:after="0"/>
              <w:rPr>
                <w:sz w:val="3"/>
                <w:szCs w:val="3"/>
                <w:color w:val="auto"/>
              </w:rPr>
            </w:pPr>
          </w:p>
        </w:tc>
        <w:tc>
          <w:tcPr>
            <w:tcW w:w="100" w:type="dxa"/>
            <w:vAlign w:val="bottom"/>
            <w:shd w:val="clear" w:color="auto" w:fill="E5E7EF"/>
          </w:tcPr>
          <w:p>
            <w:pPr>
              <w:spacing w:after="0"/>
              <w:rPr>
                <w:sz w:val="3"/>
                <w:szCs w:val="3"/>
                <w:color w:val="auto"/>
              </w:rPr>
            </w:pPr>
          </w:p>
        </w:tc>
        <w:tc>
          <w:tcPr>
            <w:tcW w:w="2660" w:type="dxa"/>
            <w:vAlign w:val="bottom"/>
            <w:gridSpan w:val="4"/>
            <w:vMerge w:val="restart"/>
            <w:shd w:val="clear" w:color="auto" w:fill="E5E7EF"/>
          </w:tcPr>
          <w:p>
            <w:pPr>
              <w:jc w:val="center"/>
              <w:ind w:right="80"/>
              <w:spacing w:after="0"/>
              <w:rPr>
                <w:sz w:val="20"/>
                <w:szCs w:val="20"/>
                <w:color w:val="auto"/>
              </w:rPr>
            </w:pPr>
            <w:r>
              <w:rPr>
                <w:rFonts w:ascii="Arial" w:cs="Arial" w:eastAsia="Arial" w:hAnsi="Arial"/>
                <w:sz w:val="13"/>
                <w:szCs w:val="13"/>
                <w:color w:val="auto"/>
                <w:w w:val="96"/>
              </w:rPr>
              <w:t>Non-Equity Incentive Plan Awards</w:t>
            </w:r>
          </w:p>
        </w:tc>
        <w:tc>
          <w:tcPr>
            <w:tcW w:w="2460" w:type="dxa"/>
            <w:vAlign w:val="bottom"/>
            <w:gridSpan w:val="3"/>
            <w:vMerge w:val="restart"/>
            <w:shd w:val="clear" w:color="auto" w:fill="E5E7EF"/>
          </w:tcPr>
          <w:p>
            <w:pPr>
              <w:jc w:val="right"/>
              <w:ind w:right="349"/>
              <w:spacing w:after="0"/>
              <w:rPr>
                <w:sz w:val="20"/>
                <w:szCs w:val="20"/>
                <w:color w:val="auto"/>
              </w:rPr>
            </w:pPr>
            <w:r>
              <w:rPr>
                <w:rFonts w:ascii="Arial" w:cs="Arial" w:eastAsia="Arial" w:hAnsi="Arial"/>
                <w:sz w:val="13"/>
                <w:szCs w:val="13"/>
                <w:color w:val="auto"/>
              </w:rPr>
              <w:t>Equity Incentive Plan Awards</w:t>
            </w:r>
          </w:p>
        </w:tc>
        <w:tc>
          <w:tcPr>
            <w:tcW w:w="880" w:type="dxa"/>
            <w:vAlign w:val="bottom"/>
            <w:vMerge w:val="continue"/>
            <w:shd w:val="clear" w:color="auto" w:fill="E5E7EF"/>
          </w:tcPr>
          <w:p>
            <w:pPr>
              <w:spacing w:after="0"/>
              <w:rPr>
                <w:sz w:val="3"/>
                <w:szCs w:val="3"/>
                <w:color w:val="auto"/>
              </w:rPr>
            </w:pPr>
          </w:p>
        </w:tc>
        <w:tc>
          <w:tcPr>
            <w:tcW w:w="1100" w:type="dxa"/>
            <w:vAlign w:val="bottom"/>
            <w:shd w:val="clear" w:color="auto" w:fill="E5E7EF"/>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1720" w:type="dxa"/>
            <w:vAlign w:val="bottom"/>
            <w:tcBorders>
              <w:bottom w:val="single" w:sz="8" w:color="E5E7EF"/>
            </w:tcBorders>
            <w:shd w:val="clear" w:color="auto" w:fill="E5E7EF"/>
          </w:tcPr>
          <w:p>
            <w:pPr>
              <w:spacing w:after="0"/>
              <w:rPr>
                <w:sz w:val="12"/>
                <w:szCs w:val="12"/>
                <w:color w:val="auto"/>
              </w:rPr>
            </w:pPr>
          </w:p>
        </w:tc>
        <w:tc>
          <w:tcPr>
            <w:tcW w:w="880" w:type="dxa"/>
            <w:vAlign w:val="bottom"/>
            <w:tcBorders>
              <w:bottom w:val="single" w:sz="8" w:color="E5E7EF"/>
            </w:tcBorders>
            <w:shd w:val="clear" w:color="auto" w:fill="E5E7EF"/>
          </w:tcPr>
          <w:p>
            <w:pPr>
              <w:spacing w:after="0"/>
              <w:rPr>
                <w:sz w:val="12"/>
                <w:szCs w:val="12"/>
                <w:color w:val="auto"/>
              </w:rPr>
            </w:pPr>
          </w:p>
        </w:tc>
        <w:tc>
          <w:tcPr>
            <w:tcW w:w="880" w:type="dxa"/>
            <w:vAlign w:val="bottom"/>
            <w:tcBorders>
              <w:bottom w:val="single" w:sz="8" w:color="E5E7EF"/>
            </w:tcBorders>
            <w:shd w:val="clear" w:color="auto" w:fill="E5E7EF"/>
          </w:tcPr>
          <w:p>
            <w:pPr>
              <w:spacing w:after="0"/>
              <w:rPr>
                <w:sz w:val="12"/>
                <w:szCs w:val="12"/>
                <w:color w:val="auto"/>
              </w:rPr>
            </w:pPr>
          </w:p>
        </w:tc>
        <w:tc>
          <w:tcPr>
            <w:tcW w:w="560" w:type="dxa"/>
            <w:vAlign w:val="bottom"/>
            <w:tcBorders>
              <w:bottom w:val="single" w:sz="8" w:color="E5E7EF"/>
            </w:tcBorders>
            <w:shd w:val="clear" w:color="auto" w:fill="E5E7EF"/>
          </w:tcPr>
          <w:p>
            <w:pPr>
              <w:spacing w:after="0"/>
              <w:rPr>
                <w:sz w:val="12"/>
                <w:szCs w:val="12"/>
                <w:color w:val="auto"/>
              </w:rPr>
            </w:pPr>
          </w:p>
        </w:tc>
        <w:tc>
          <w:tcPr>
            <w:tcW w:w="100" w:type="dxa"/>
            <w:vAlign w:val="bottom"/>
            <w:tcBorders>
              <w:bottom w:val="single" w:sz="8" w:color="E5E7EF"/>
            </w:tcBorders>
            <w:shd w:val="clear" w:color="auto" w:fill="E5E7EF"/>
          </w:tcPr>
          <w:p>
            <w:pPr>
              <w:spacing w:after="0"/>
              <w:rPr>
                <w:sz w:val="12"/>
                <w:szCs w:val="12"/>
                <w:color w:val="auto"/>
              </w:rPr>
            </w:pPr>
          </w:p>
        </w:tc>
        <w:tc>
          <w:tcPr>
            <w:tcW w:w="2660" w:type="dxa"/>
            <w:vAlign w:val="bottom"/>
            <w:tcBorders>
              <w:bottom w:val="single" w:sz="8" w:color="E5E7EF"/>
            </w:tcBorders>
            <w:gridSpan w:val="4"/>
            <w:vMerge w:val="continue"/>
            <w:shd w:val="clear" w:color="auto" w:fill="E5E7EF"/>
          </w:tcPr>
          <w:p>
            <w:pPr>
              <w:spacing w:after="0"/>
              <w:rPr>
                <w:sz w:val="12"/>
                <w:szCs w:val="12"/>
                <w:color w:val="auto"/>
              </w:rPr>
            </w:pPr>
          </w:p>
        </w:tc>
        <w:tc>
          <w:tcPr>
            <w:tcW w:w="2460" w:type="dxa"/>
            <w:vAlign w:val="bottom"/>
            <w:tcBorders>
              <w:bottom w:val="single" w:sz="8" w:color="E5E7EF"/>
            </w:tcBorders>
            <w:gridSpan w:val="3"/>
            <w:vMerge w:val="continue"/>
            <w:shd w:val="clear" w:color="auto" w:fill="E5E7EF"/>
          </w:tcPr>
          <w:p>
            <w:pPr>
              <w:spacing w:after="0"/>
              <w:rPr>
                <w:sz w:val="12"/>
                <w:szCs w:val="12"/>
                <w:color w:val="auto"/>
              </w:rPr>
            </w:pPr>
          </w:p>
        </w:tc>
        <w:tc>
          <w:tcPr>
            <w:tcW w:w="880" w:type="dxa"/>
            <w:vAlign w:val="bottom"/>
            <w:tcBorders>
              <w:bottom w:val="single" w:sz="8" w:color="E5E7EF"/>
            </w:tcBorders>
            <w:shd w:val="clear" w:color="auto" w:fill="E5E7EF"/>
          </w:tcPr>
          <w:p>
            <w:pPr>
              <w:jc w:val="right"/>
              <w:spacing w:after="0" w:line="141" w:lineRule="exact"/>
              <w:rPr>
                <w:sz w:val="20"/>
                <w:szCs w:val="20"/>
                <w:color w:val="auto"/>
              </w:rPr>
            </w:pPr>
            <w:r>
              <w:rPr>
                <w:rFonts w:ascii="Arial" w:cs="Arial" w:eastAsia="Arial" w:hAnsi="Arial"/>
                <w:sz w:val="13"/>
                <w:szCs w:val="13"/>
                <w:color w:val="auto"/>
              </w:rPr>
              <w:t>Number of</w:t>
            </w:r>
          </w:p>
        </w:tc>
        <w:tc>
          <w:tcPr>
            <w:tcW w:w="1100" w:type="dxa"/>
            <w:vAlign w:val="bottom"/>
            <w:tcBorders>
              <w:bottom w:val="single" w:sz="8" w:color="E5E7EF"/>
            </w:tcBorders>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Borders>
              <w:top w:val="single" w:sz="8" w:color="E5E7EF"/>
            </w:tcBorders>
            <w:shd w:val="clear" w:color="auto" w:fill="E5E7EF"/>
          </w:tcPr>
          <w:p>
            <w:pPr>
              <w:spacing w:after="0"/>
              <w:rPr>
                <w:sz w:val="11"/>
                <w:szCs w:val="11"/>
                <w:color w:val="auto"/>
              </w:rPr>
            </w:pPr>
          </w:p>
        </w:tc>
        <w:tc>
          <w:tcPr>
            <w:tcW w:w="880" w:type="dxa"/>
            <w:vAlign w:val="bottom"/>
            <w:tcBorders>
              <w:top w:val="single" w:sz="8" w:color="E5E7EF"/>
            </w:tcBorders>
            <w:shd w:val="clear" w:color="auto" w:fill="E5E7EF"/>
          </w:tcPr>
          <w:p>
            <w:pPr>
              <w:spacing w:after="0"/>
              <w:rPr>
                <w:sz w:val="11"/>
                <w:szCs w:val="11"/>
                <w:color w:val="auto"/>
              </w:rPr>
            </w:pPr>
          </w:p>
        </w:tc>
        <w:tc>
          <w:tcPr>
            <w:tcW w:w="880" w:type="dxa"/>
            <w:vAlign w:val="bottom"/>
            <w:tcBorders>
              <w:top w:val="single" w:sz="8" w:color="E5E7EF"/>
            </w:tcBorders>
            <w:shd w:val="clear" w:color="auto" w:fill="E5E7EF"/>
          </w:tcPr>
          <w:p>
            <w:pPr>
              <w:spacing w:after="0"/>
              <w:rPr>
                <w:sz w:val="11"/>
                <w:szCs w:val="11"/>
                <w:color w:val="auto"/>
              </w:rPr>
            </w:pPr>
          </w:p>
        </w:tc>
        <w:tc>
          <w:tcPr>
            <w:tcW w:w="560" w:type="dxa"/>
            <w:vAlign w:val="bottom"/>
            <w:tcBorders>
              <w:top w:val="single" w:sz="8" w:color="E5E7EF"/>
            </w:tcBorders>
            <w:shd w:val="clear" w:color="auto" w:fill="E5E7EF"/>
          </w:tcPr>
          <w:p>
            <w:pPr>
              <w:spacing w:after="0"/>
              <w:rPr>
                <w:sz w:val="11"/>
                <w:szCs w:val="11"/>
                <w:color w:val="auto"/>
              </w:rPr>
            </w:pPr>
          </w:p>
        </w:tc>
        <w:tc>
          <w:tcPr>
            <w:tcW w:w="100" w:type="dxa"/>
            <w:vAlign w:val="bottom"/>
            <w:tcBorders>
              <w:top w:val="single" w:sz="8" w:color="E5E7EF"/>
            </w:tcBorders>
            <w:shd w:val="clear" w:color="auto" w:fill="E5E7EF"/>
          </w:tcPr>
          <w:p>
            <w:pPr>
              <w:spacing w:after="0"/>
              <w:rPr>
                <w:sz w:val="11"/>
                <w:szCs w:val="11"/>
                <w:color w:val="auto"/>
              </w:rPr>
            </w:pPr>
          </w:p>
        </w:tc>
        <w:tc>
          <w:tcPr>
            <w:tcW w:w="820" w:type="dxa"/>
            <w:vAlign w:val="bottom"/>
            <w:tcBorders>
              <w:top w:val="single" w:sz="8" w:color="959595"/>
            </w:tcBorders>
            <w:shd w:val="clear" w:color="auto" w:fill="E5E7EF"/>
          </w:tcPr>
          <w:p>
            <w:pPr>
              <w:spacing w:after="0"/>
              <w:rPr>
                <w:sz w:val="11"/>
                <w:szCs w:val="11"/>
                <w:color w:val="auto"/>
              </w:rPr>
            </w:pPr>
          </w:p>
        </w:tc>
        <w:tc>
          <w:tcPr>
            <w:tcW w:w="980" w:type="dxa"/>
            <w:vAlign w:val="bottom"/>
            <w:tcBorders>
              <w:top w:val="single" w:sz="8" w:color="959595"/>
            </w:tcBorders>
            <w:shd w:val="clear" w:color="auto" w:fill="E5E7EF"/>
          </w:tcPr>
          <w:p>
            <w:pPr>
              <w:spacing w:after="0"/>
              <w:rPr>
                <w:sz w:val="11"/>
                <w:szCs w:val="11"/>
                <w:color w:val="auto"/>
              </w:rPr>
            </w:pPr>
          </w:p>
        </w:tc>
        <w:tc>
          <w:tcPr>
            <w:tcW w:w="760" w:type="dxa"/>
            <w:vAlign w:val="bottom"/>
            <w:tcBorders>
              <w:top w:val="single" w:sz="8" w:color="959595"/>
            </w:tcBorders>
            <w:shd w:val="clear" w:color="auto" w:fill="E5E7EF"/>
          </w:tcPr>
          <w:p>
            <w:pPr>
              <w:spacing w:after="0"/>
              <w:rPr>
                <w:sz w:val="11"/>
                <w:szCs w:val="11"/>
                <w:color w:val="auto"/>
              </w:rPr>
            </w:pPr>
          </w:p>
        </w:tc>
        <w:tc>
          <w:tcPr>
            <w:tcW w:w="100" w:type="dxa"/>
            <w:vAlign w:val="bottom"/>
            <w:tcBorders>
              <w:top w:val="single" w:sz="8" w:color="E5E7EF"/>
            </w:tcBorders>
            <w:shd w:val="clear" w:color="auto" w:fill="E5E7EF"/>
          </w:tcPr>
          <w:p>
            <w:pPr>
              <w:spacing w:after="0"/>
              <w:rPr>
                <w:sz w:val="11"/>
                <w:szCs w:val="11"/>
                <w:color w:val="auto"/>
              </w:rPr>
            </w:pPr>
          </w:p>
        </w:tc>
        <w:tc>
          <w:tcPr>
            <w:tcW w:w="980" w:type="dxa"/>
            <w:vAlign w:val="bottom"/>
            <w:tcBorders>
              <w:top w:val="single" w:sz="8" w:color="959595"/>
            </w:tcBorders>
            <w:shd w:val="clear" w:color="auto" w:fill="E5E7EF"/>
          </w:tcPr>
          <w:p>
            <w:pPr>
              <w:spacing w:after="0"/>
              <w:rPr>
                <w:sz w:val="11"/>
                <w:szCs w:val="11"/>
                <w:color w:val="auto"/>
              </w:rPr>
            </w:pPr>
          </w:p>
        </w:tc>
        <w:tc>
          <w:tcPr>
            <w:tcW w:w="760" w:type="dxa"/>
            <w:vAlign w:val="bottom"/>
            <w:tcBorders>
              <w:top w:val="single" w:sz="8" w:color="959595"/>
            </w:tcBorders>
            <w:shd w:val="clear" w:color="auto" w:fill="E5E7EF"/>
          </w:tcPr>
          <w:p>
            <w:pPr>
              <w:spacing w:after="0"/>
              <w:rPr>
                <w:sz w:val="11"/>
                <w:szCs w:val="11"/>
                <w:color w:val="auto"/>
              </w:rPr>
            </w:pPr>
          </w:p>
        </w:tc>
        <w:tc>
          <w:tcPr>
            <w:tcW w:w="720" w:type="dxa"/>
            <w:vAlign w:val="bottom"/>
            <w:tcBorders>
              <w:top w:val="single" w:sz="8" w:color="959595"/>
            </w:tcBorders>
            <w:shd w:val="clear" w:color="auto" w:fill="E5E7EF"/>
          </w:tcPr>
          <w:p>
            <w:pPr>
              <w:spacing w:after="0"/>
              <w:rPr>
                <w:sz w:val="11"/>
                <w:szCs w:val="11"/>
                <w:color w:val="auto"/>
              </w:rPr>
            </w:pPr>
          </w:p>
        </w:tc>
        <w:tc>
          <w:tcPr>
            <w:tcW w:w="880" w:type="dxa"/>
            <w:vAlign w:val="bottom"/>
            <w:tcBorders>
              <w:top w:val="single" w:sz="8" w:color="E5E7EF"/>
            </w:tcBorders>
            <w:shd w:val="clear" w:color="auto" w:fill="E5E7EF"/>
          </w:tcPr>
          <w:p>
            <w:pPr>
              <w:jc w:val="right"/>
              <w:spacing w:after="0" w:line="136" w:lineRule="exact"/>
              <w:rPr>
                <w:sz w:val="20"/>
                <w:szCs w:val="20"/>
                <w:color w:val="auto"/>
              </w:rPr>
            </w:pPr>
            <w:r>
              <w:rPr>
                <w:rFonts w:ascii="Arial" w:cs="Arial" w:eastAsia="Arial" w:hAnsi="Arial"/>
                <w:sz w:val="13"/>
                <w:szCs w:val="13"/>
                <w:color w:val="auto"/>
              </w:rPr>
              <w:t>Shares of</w:t>
            </w:r>
          </w:p>
        </w:tc>
        <w:tc>
          <w:tcPr>
            <w:tcW w:w="1100" w:type="dxa"/>
            <w:vAlign w:val="bottom"/>
            <w:tcBorders>
              <w:top w:val="single" w:sz="8" w:color="E5E7EF"/>
            </w:tcBorders>
            <w:shd w:val="clear" w:color="auto" w:fill="E5E7EF"/>
          </w:tcPr>
          <w:p>
            <w:pPr>
              <w:jc w:val="right"/>
              <w:spacing w:after="0" w:line="136" w:lineRule="exact"/>
              <w:rPr>
                <w:sz w:val="20"/>
                <w:szCs w:val="20"/>
                <w:color w:val="auto"/>
              </w:rPr>
            </w:pPr>
            <w:r>
              <w:rPr>
                <w:rFonts w:ascii="Arial" w:cs="Arial" w:eastAsia="Arial" w:hAnsi="Arial"/>
                <w:sz w:val="13"/>
                <w:szCs w:val="13"/>
                <w:color w:val="auto"/>
              </w:rPr>
              <w:t>Grant Date</w:t>
            </w:r>
          </w:p>
        </w:tc>
        <w:tc>
          <w:tcPr>
            <w:tcW w:w="0" w:type="dxa"/>
            <w:vAlign w:val="bottom"/>
          </w:tcPr>
          <w:p>
            <w:pPr>
              <w:spacing w:after="0"/>
              <w:rPr>
                <w:sz w:val="1"/>
                <w:szCs w:val="1"/>
                <w:color w:val="auto"/>
              </w:rPr>
            </w:pPr>
          </w:p>
        </w:tc>
      </w:tr>
      <w:tr>
        <w:trPr>
          <w:trHeight w:val="149"/>
        </w:trPr>
        <w:tc>
          <w:tcPr>
            <w:tcW w:w="1720" w:type="dxa"/>
            <w:vAlign w:val="bottom"/>
            <w:shd w:val="clear" w:color="auto" w:fill="E5E7EF"/>
          </w:tcPr>
          <w:p>
            <w:pPr>
              <w:spacing w:after="0"/>
              <w:rPr>
                <w:sz w:val="12"/>
                <w:szCs w:val="12"/>
                <w:color w:val="auto"/>
              </w:rPr>
            </w:pPr>
          </w:p>
        </w:tc>
        <w:tc>
          <w:tcPr>
            <w:tcW w:w="880" w:type="dxa"/>
            <w:vAlign w:val="bottom"/>
            <w:shd w:val="clear" w:color="auto" w:fill="E5E7EF"/>
          </w:tcPr>
          <w:p>
            <w:pPr>
              <w:spacing w:after="0"/>
              <w:rPr>
                <w:sz w:val="12"/>
                <w:szCs w:val="12"/>
                <w:color w:val="auto"/>
              </w:rPr>
            </w:pPr>
          </w:p>
        </w:tc>
        <w:tc>
          <w:tcPr>
            <w:tcW w:w="880" w:type="dxa"/>
            <w:vAlign w:val="bottom"/>
            <w:shd w:val="clear" w:color="auto" w:fill="E5E7EF"/>
          </w:tcPr>
          <w:p>
            <w:pPr>
              <w:spacing w:after="0"/>
              <w:rPr>
                <w:sz w:val="12"/>
                <w:szCs w:val="12"/>
                <w:color w:val="auto"/>
              </w:rPr>
            </w:pPr>
          </w:p>
        </w:tc>
        <w:tc>
          <w:tcPr>
            <w:tcW w:w="560" w:type="dxa"/>
            <w:vAlign w:val="bottom"/>
            <w:shd w:val="clear" w:color="auto" w:fill="E5E7EF"/>
          </w:tcPr>
          <w:p>
            <w:pPr>
              <w:spacing w:after="0"/>
              <w:rPr>
                <w:sz w:val="12"/>
                <w:szCs w:val="12"/>
                <w:color w:val="auto"/>
              </w:rPr>
            </w:pPr>
          </w:p>
        </w:tc>
        <w:tc>
          <w:tcPr>
            <w:tcW w:w="100" w:type="dxa"/>
            <w:vAlign w:val="bottom"/>
            <w:shd w:val="clear" w:color="auto" w:fill="E5E7EF"/>
          </w:tcPr>
          <w:p>
            <w:pPr>
              <w:spacing w:after="0"/>
              <w:rPr>
                <w:sz w:val="12"/>
                <w:szCs w:val="12"/>
                <w:color w:val="auto"/>
              </w:rPr>
            </w:pPr>
          </w:p>
        </w:tc>
        <w:tc>
          <w:tcPr>
            <w:tcW w:w="820" w:type="dxa"/>
            <w:vAlign w:val="bottom"/>
            <w:shd w:val="clear" w:color="auto" w:fill="E5E7EF"/>
          </w:tcPr>
          <w:p>
            <w:pPr>
              <w:spacing w:after="0"/>
              <w:rPr>
                <w:sz w:val="12"/>
                <w:szCs w:val="12"/>
                <w:color w:val="auto"/>
              </w:rPr>
            </w:pPr>
          </w:p>
        </w:tc>
        <w:tc>
          <w:tcPr>
            <w:tcW w:w="980" w:type="dxa"/>
            <w:vAlign w:val="bottom"/>
            <w:shd w:val="clear" w:color="auto" w:fill="E5E7EF"/>
          </w:tcPr>
          <w:p>
            <w:pPr>
              <w:spacing w:after="0"/>
              <w:rPr>
                <w:sz w:val="12"/>
                <w:szCs w:val="12"/>
                <w:color w:val="auto"/>
              </w:rPr>
            </w:pPr>
          </w:p>
        </w:tc>
        <w:tc>
          <w:tcPr>
            <w:tcW w:w="760" w:type="dxa"/>
            <w:vAlign w:val="bottom"/>
            <w:shd w:val="clear" w:color="auto" w:fill="E5E7EF"/>
          </w:tcPr>
          <w:p>
            <w:pPr>
              <w:spacing w:after="0"/>
              <w:rPr>
                <w:sz w:val="12"/>
                <w:szCs w:val="12"/>
                <w:color w:val="auto"/>
              </w:rPr>
            </w:pPr>
          </w:p>
        </w:tc>
        <w:tc>
          <w:tcPr>
            <w:tcW w:w="100" w:type="dxa"/>
            <w:vAlign w:val="bottom"/>
            <w:shd w:val="clear" w:color="auto" w:fill="E5E7EF"/>
          </w:tcPr>
          <w:p>
            <w:pPr>
              <w:spacing w:after="0"/>
              <w:rPr>
                <w:sz w:val="12"/>
                <w:szCs w:val="12"/>
                <w:color w:val="auto"/>
              </w:rPr>
            </w:pPr>
          </w:p>
        </w:tc>
        <w:tc>
          <w:tcPr>
            <w:tcW w:w="980" w:type="dxa"/>
            <w:vAlign w:val="bottom"/>
            <w:shd w:val="clear" w:color="auto" w:fill="E5E7EF"/>
          </w:tcPr>
          <w:p>
            <w:pPr>
              <w:spacing w:after="0"/>
              <w:rPr>
                <w:sz w:val="12"/>
                <w:szCs w:val="12"/>
                <w:color w:val="auto"/>
              </w:rPr>
            </w:pPr>
          </w:p>
        </w:tc>
        <w:tc>
          <w:tcPr>
            <w:tcW w:w="760" w:type="dxa"/>
            <w:vAlign w:val="bottom"/>
            <w:shd w:val="clear" w:color="auto" w:fill="E5E7EF"/>
          </w:tcPr>
          <w:p>
            <w:pPr>
              <w:spacing w:after="0"/>
              <w:rPr>
                <w:sz w:val="12"/>
                <w:szCs w:val="12"/>
                <w:color w:val="auto"/>
              </w:rPr>
            </w:pPr>
          </w:p>
        </w:tc>
        <w:tc>
          <w:tcPr>
            <w:tcW w:w="720" w:type="dxa"/>
            <w:vAlign w:val="bottom"/>
            <w:shd w:val="clear" w:color="auto" w:fill="E5E7EF"/>
          </w:tcPr>
          <w:p>
            <w:pPr>
              <w:spacing w:after="0"/>
              <w:rPr>
                <w:sz w:val="12"/>
                <w:szCs w:val="12"/>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Stock or</w:t>
            </w:r>
          </w:p>
        </w:tc>
        <w:tc>
          <w:tcPr>
            <w:tcW w:w="11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Fair Value of</w:t>
            </w:r>
          </w:p>
        </w:tc>
        <w:tc>
          <w:tcPr>
            <w:tcW w:w="0" w:type="dxa"/>
            <w:vAlign w:val="bottom"/>
          </w:tcPr>
          <w:p>
            <w:pPr>
              <w:spacing w:after="0"/>
              <w:rPr>
                <w:sz w:val="1"/>
                <w:szCs w:val="1"/>
                <w:color w:val="auto"/>
              </w:rPr>
            </w:pPr>
          </w:p>
        </w:tc>
      </w:tr>
      <w:tr>
        <w:trPr>
          <w:trHeight w:val="152"/>
        </w:trPr>
        <w:tc>
          <w:tcPr>
            <w:tcW w:w="1720" w:type="dxa"/>
            <w:vAlign w:val="bottom"/>
            <w:shd w:val="clear" w:color="auto" w:fill="E5E7EF"/>
          </w:tcPr>
          <w:p>
            <w:pPr>
              <w:spacing w:after="0"/>
              <w:rPr>
                <w:sz w:val="13"/>
                <w:szCs w:val="13"/>
                <w:color w:val="auto"/>
              </w:rPr>
            </w:pPr>
          </w:p>
        </w:tc>
        <w:tc>
          <w:tcPr>
            <w:tcW w:w="88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Grant</w:t>
            </w:r>
          </w:p>
        </w:tc>
        <w:tc>
          <w:tcPr>
            <w:tcW w:w="880" w:type="dxa"/>
            <w:vAlign w:val="bottom"/>
            <w:shd w:val="clear" w:color="auto" w:fill="E5E7EF"/>
          </w:tcPr>
          <w:p>
            <w:pPr>
              <w:spacing w:after="0"/>
              <w:rPr>
                <w:sz w:val="13"/>
                <w:szCs w:val="13"/>
                <w:color w:val="auto"/>
              </w:rPr>
            </w:pPr>
          </w:p>
        </w:tc>
        <w:tc>
          <w:tcPr>
            <w:tcW w:w="56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Award</w:t>
            </w:r>
          </w:p>
        </w:tc>
        <w:tc>
          <w:tcPr>
            <w:tcW w:w="100" w:type="dxa"/>
            <w:vAlign w:val="bottom"/>
            <w:shd w:val="clear" w:color="auto" w:fill="E5E7EF"/>
          </w:tcPr>
          <w:p>
            <w:pPr>
              <w:spacing w:after="0"/>
              <w:rPr>
                <w:sz w:val="13"/>
                <w:szCs w:val="13"/>
                <w:color w:val="auto"/>
              </w:rPr>
            </w:pPr>
          </w:p>
        </w:tc>
        <w:tc>
          <w:tcPr>
            <w:tcW w:w="8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Threshold</w:t>
            </w:r>
          </w:p>
        </w:tc>
        <w:tc>
          <w:tcPr>
            <w:tcW w:w="980" w:type="dxa"/>
            <w:vAlign w:val="bottom"/>
            <w:shd w:val="clear" w:color="auto" w:fill="E5E7EF"/>
          </w:tcPr>
          <w:p>
            <w:pPr>
              <w:jc w:val="right"/>
              <w:ind w:right="49"/>
              <w:spacing w:after="0"/>
              <w:rPr>
                <w:sz w:val="20"/>
                <w:szCs w:val="20"/>
                <w:color w:val="auto"/>
              </w:rPr>
            </w:pPr>
            <w:r>
              <w:rPr>
                <w:rFonts w:ascii="Arial" w:cs="Arial" w:eastAsia="Arial" w:hAnsi="Arial"/>
                <w:sz w:val="13"/>
                <w:szCs w:val="13"/>
                <w:color w:val="auto"/>
              </w:rPr>
              <w:t>Target</w:t>
            </w:r>
          </w:p>
        </w:tc>
        <w:tc>
          <w:tcPr>
            <w:tcW w:w="860" w:type="dxa"/>
            <w:vAlign w:val="bottom"/>
            <w:gridSpan w:val="2"/>
            <w:shd w:val="clear" w:color="auto" w:fill="E5E7EF"/>
          </w:tcPr>
          <w:p>
            <w:pPr>
              <w:jc w:val="right"/>
              <w:ind w:right="120"/>
              <w:spacing w:after="0"/>
              <w:rPr>
                <w:sz w:val="20"/>
                <w:szCs w:val="20"/>
                <w:color w:val="auto"/>
              </w:rPr>
            </w:pPr>
            <w:r>
              <w:rPr>
                <w:rFonts w:ascii="Arial" w:cs="Arial" w:eastAsia="Arial" w:hAnsi="Arial"/>
                <w:sz w:val="13"/>
                <w:szCs w:val="13"/>
                <w:color w:val="auto"/>
              </w:rPr>
              <w:t>Maximum</w:t>
            </w:r>
          </w:p>
        </w:tc>
        <w:tc>
          <w:tcPr>
            <w:tcW w:w="98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Threshold</w:t>
            </w:r>
          </w:p>
        </w:tc>
        <w:tc>
          <w:tcPr>
            <w:tcW w:w="76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Target</w:t>
            </w:r>
          </w:p>
        </w:tc>
        <w:tc>
          <w:tcPr>
            <w:tcW w:w="7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Maximum</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Units</w:t>
            </w:r>
          </w:p>
        </w:tc>
        <w:tc>
          <w:tcPr>
            <w:tcW w:w="11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Stock Awards</w:t>
            </w:r>
          </w:p>
        </w:tc>
        <w:tc>
          <w:tcPr>
            <w:tcW w:w="0" w:type="dxa"/>
            <w:vAlign w:val="bottom"/>
          </w:tcPr>
          <w:p>
            <w:pPr>
              <w:spacing w:after="0"/>
              <w:rPr>
                <w:sz w:val="1"/>
                <w:szCs w:val="1"/>
                <w:color w:val="auto"/>
              </w:rPr>
            </w:pPr>
          </w:p>
        </w:tc>
      </w:tr>
      <w:tr>
        <w:trPr>
          <w:trHeight w:val="64"/>
        </w:trPr>
        <w:tc>
          <w:tcPr>
            <w:tcW w:w="1720" w:type="dxa"/>
            <w:vAlign w:val="bottom"/>
            <w:shd w:val="clear" w:color="auto" w:fill="E5E7EF"/>
          </w:tcPr>
          <w:p>
            <w:pPr>
              <w:spacing w:after="0"/>
              <w:rPr>
                <w:sz w:val="5"/>
                <w:szCs w:val="5"/>
                <w:color w:val="auto"/>
              </w:rPr>
            </w:pPr>
          </w:p>
        </w:tc>
        <w:tc>
          <w:tcPr>
            <w:tcW w:w="880" w:type="dxa"/>
            <w:vAlign w:val="bottom"/>
            <w:vMerge w:val="continue"/>
            <w:shd w:val="clear" w:color="auto" w:fill="E5E7EF"/>
          </w:tcPr>
          <w:p>
            <w:pPr>
              <w:spacing w:after="0"/>
              <w:rPr>
                <w:sz w:val="5"/>
                <w:szCs w:val="5"/>
                <w:color w:val="auto"/>
              </w:rPr>
            </w:pPr>
          </w:p>
        </w:tc>
        <w:tc>
          <w:tcPr>
            <w:tcW w:w="880" w:type="dxa"/>
            <w:vAlign w:val="bottom"/>
            <w:shd w:val="clear" w:color="auto" w:fill="E5E7EF"/>
          </w:tcPr>
          <w:p>
            <w:pPr>
              <w:spacing w:after="0"/>
              <w:rPr>
                <w:sz w:val="5"/>
                <w:szCs w:val="5"/>
                <w:color w:val="auto"/>
              </w:rPr>
            </w:pPr>
          </w:p>
        </w:tc>
        <w:tc>
          <w:tcPr>
            <w:tcW w:w="560" w:type="dxa"/>
            <w:vAlign w:val="bottom"/>
            <w:vMerge w:val="continue"/>
            <w:shd w:val="clear" w:color="auto" w:fill="E5E7EF"/>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820" w:type="dxa"/>
            <w:vAlign w:val="bottom"/>
            <w:shd w:val="clear" w:color="auto" w:fill="E5E7EF"/>
          </w:tcPr>
          <w:p>
            <w:pPr>
              <w:spacing w:after="0"/>
              <w:rPr>
                <w:sz w:val="5"/>
                <w:szCs w:val="5"/>
                <w:color w:val="auto"/>
              </w:rPr>
            </w:pPr>
          </w:p>
        </w:tc>
        <w:tc>
          <w:tcPr>
            <w:tcW w:w="980" w:type="dxa"/>
            <w:vAlign w:val="bottom"/>
            <w:shd w:val="clear" w:color="auto" w:fill="E5E7EF"/>
          </w:tcPr>
          <w:p>
            <w:pPr>
              <w:spacing w:after="0"/>
              <w:rPr>
                <w:sz w:val="5"/>
                <w:szCs w:val="5"/>
                <w:color w:val="auto"/>
              </w:rPr>
            </w:pPr>
          </w:p>
        </w:tc>
        <w:tc>
          <w:tcPr>
            <w:tcW w:w="760" w:type="dxa"/>
            <w:vAlign w:val="bottom"/>
            <w:shd w:val="clear" w:color="auto" w:fill="E5E7EF"/>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980" w:type="dxa"/>
            <w:vAlign w:val="bottom"/>
            <w:shd w:val="clear" w:color="auto" w:fill="E5E7EF"/>
          </w:tcPr>
          <w:p>
            <w:pPr>
              <w:spacing w:after="0"/>
              <w:rPr>
                <w:sz w:val="5"/>
                <w:szCs w:val="5"/>
                <w:color w:val="auto"/>
              </w:rPr>
            </w:pPr>
          </w:p>
        </w:tc>
        <w:tc>
          <w:tcPr>
            <w:tcW w:w="760" w:type="dxa"/>
            <w:vAlign w:val="bottom"/>
            <w:shd w:val="clear" w:color="auto" w:fill="E5E7EF"/>
          </w:tcPr>
          <w:p>
            <w:pPr>
              <w:spacing w:after="0"/>
              <w:rPr>
                <w:sz w:val="5"/>
                <w:szCs w:val="5"/>
                <w:color w:val="auto"/>
              </w:rPr>
            </w:pPr>
          </w:p>
        </w:tc>
        <w:tc>
          <w:tcPr>
            <w:tcW w:w="720" w:type="dxa"/>
            <w:vAlign w:val="bottom"/>
            <w:shd w:val="clear" w:color="auto" w:fill="E5E7EF"/>
          </w:tcPr>
          <w:p>
            <w:pPr>
              <w:spacing w:after="0"/>
              <w:rPr>
                <w:sz w:val="5"/>
                <w:szCs w:val="5"/>
                <w:color w:val="auto"/>
              </w:rPr>
            </w:pPr>
          </w:p>
        </w:tc>
        <w:tc>
          <w:tcPr>
            <w:tcW w:w="880" w:type="dxa"/>
            <w:vAlign w:val="bottom"/>
            <w:shd w:val="clear" w:color="auto" w:fill="E5E7EF"/>
          </w:tcPr>
          <w:p>
            <w:pPr>
              <w:spacing w:after="0"/>
              <w:rPr>
                <w:sz w:val="5"/>
                <w:szCs w:val="5"/>
                <w:color w:val="auto"/>
              </w:rPr>
            </w:pPr>
          </w:p>
        </w:tc>
        <w:tc>
          <w:tcPr>
            <w:tcW w:w="1100" w:type="dxa"/>
            <w:vAlign w:val="bottom"/>
            <w:shd w:val="clear" w:color="auto" w:fill="E5E7E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7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Date</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Approval Date</w:t>
            </w:r>
          </w:p>
        </w:tc>
        <w:tc>
          <w:tcPr>
            <w:tcW w:w="5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Type</w:t>
            </w:r>
          </w:p>
        </w:tc>
        <w:tc>
          <w:tcPr>
            <w:tcW w:w="100" w:type="dxa"/>
            <w:vAlign w:val="bottom"/>
            <w:tcBorders>
              <w:bottom w:val="single" w:sz="8" w:color="E5E7EF"/>
            </w:tcBorders>
            <w:shd w:val="clear" w:color="auto" w:fill="E5E7EF"/>
          </w:tcPr>
          <w:p>
            <w:pPr>
              <w:spacing w:after="0"/>
              <w:rPr>
                <w:sz w:val="15"/>
                <w:szCs w:val="15"/>
                <w:color w:val="auto"/>
              </w:rPr>
            </w:pPr>
          </w:p>
        </w:tc>
        <w:tc>
          <w:tcPr>
            <w:tcW w:w="8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E5E7EF"/>
            </w:tcBorders>
            <w:shd w:val="clear" w:color="auto" w:fill="E5E7EF"/>
          </w:tcPr>
          <w:p>
            <w:pPr>
              <w:jc w:val="right"/>
              <w:ind w:right="49"/>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5E7EF"/>
            </w:tcBorders>
            <w:shd w:val="clear" w:color="auto" w:fill="E5E7EF"/>
          </w:tcPr>
          <w:p>
            <w:pPr>
              <w:spacing w:after="0"/>
              <w:rPr>
                <w:sz w:val="15"/>
                <w:szCs w:val="15"/>
                <w:color w:val="auto"/>
              </w:rPr>
            </w:pPr>
          </w:p>
        </w:tc>
        <w:tc>
          <w:tcPr>
            <w:tcW w:w="980" w:type="dxa"/>
            <w:vAlign w:val="bottom"/>
            <w:tcBorders>
              <w:bottom w:val="single" w:sz="8" w:color="E5E7EF"/>
            </w:tcBorders>
            <w:shd w:val="clear" w:color="auto" w:fill="E5E7EF"/>
          </w:tcPr>
          <w:p>
            <w:pPr>
              <w:jc w:val="right"/>
              <w:ind w:right="109"/>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5E7EF"/>
            </w:tcBorders>
            <w:shd w:val="clear" w:color="auto" w:fill="E5E7EF"/>
          </w:tcPr>
          <w:p>
            <w:pPr>
              <w:jc w:val="right"/>
              <w:ind w:right="89"/>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1720" w:type="dxa"/>
            <w:vAlign w:val="bottom"/>
            <w:tcBorders>
              <w:top w:val="single" w:sz="8" w:color="959595"/>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880" w:type="dxa"/>
            <w:vAlign w:val="bottom"/>
            <w:tcBorders>
              <w:top w:val="single" w:sz="8" w:color="959595"/>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880" w:type="dxa"/>
            <w:vAlign w:val="bottom"/>
            <w:tcBorders>
              <w:top w:val="single" w:sz="8" w:color="959595"/>
              <w:bottom w:val="single" w:sz="8" w:color="E5E7EF"/>
            </w:tcBorders>
            <w:shd w:val="clear" w:color="auto" w:fill="E5E7EF"/>
          </w:tcPr>
          <w:p>
            <w:pPr>
              <w:spacing w:after="0"/>
              <w:rPr>
                <w:sz w:val="17"/>
                <w:szCs w:val="17"/>
                <w:color w:val="auto"/>
              </w:rPr>
            </w:pPr>
          </w:p>
        </w:tc>
        <w:tc>
          <w:tcPr>
            <w:tcW w:w="560" w:type="dxa"/>
            <w:vAlign w:val="bottom"/>
            <w:tcBorders>
              <w:top w:val="single" w:sz="8" w:color="959595"/>
              <w:bottom w:val="single" w:sz="8" w:color="E5E7EF"/>
            </w:tcBorders>
            <w:shd w:val="clear" w:color="auto" w:fill="E5E7EF"/>
          </w:tcPr>
          <w:p>
            <w:pPr>
              <w:spacing w:after="0"/>
              <w:rPr>
                <w:sz w:val="17"/>
                <w:szCs w:val="17"/>
                <w:color w:val="auto"/>
              </w:rPr>
            </w:pPr>
          </w:p>
        </w:tc>
        <w:tc>
          <w:tcPr>
            <w:tcW w:w="100" w:type="dxa"/>
            <w:vAlign w:val="bottom"/>
            <w:tcBorders>
              <w:top w:val="single" w:sz="8" w:color="959595"/>
              <w:bottom w:val="single" w:sz="8" w:color="E5E7EF"/>
            </w:tcBorders>
            <w:shd w:val="clear" w:color="auto" w:fill="E5E7EF"/>
          </w:tcPr>
          <w:p>
            <w:pPr>
              <w:spacing w:after="0"/>
              <w:rPr>
                <w:sz w:val="17"/>
                <w:szCs w:val="17"/>
                <w:color w:val="auto"/>
              </w:rPr>
            </w:pPr>
          </w:p>
        </w:tc>
        <w:tc>
          <w:tcPr>
            <w:tcW w:w="820" w:type="dxa"/>
            <w:vAlign w:val="bottom"/>
            <w:tcBorders>
              <w:top w:val="single" w:sz="8" w:color="959595"/>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(c)</w:t>
            </w:r>
          </w:p>
        </w:tc>
        <w:tc>
          <w:tcPr>
            <w:tcW w:w="980" w:type="dxa"/>
            <w:vAlign w:val="bottom"/>
            <w:tcBorders>
              <w:top w:val="single" w:sz="8" w:color="959595"/>
              <w:bottom w:val="single" w:sz="8" w:color="E5E7EF"/>
            </w:tcBorders>
            <w:shd w:val="clear" w:color="auto" w:fill="E5E7EF"/>
          </w:tcPr>
          <w:p>
            <w:pPr>
              <w:jc w:val="right"/>
              <w:ind w:right="49"/>
              <w:spacing w:after="0"/>
              <w:rPr>
                <w:sz w:val="20"/>
                <w:szCs w:val="20"/>
                <w:color w:val="auto"/>
              </w:rPr>
            </w:pPr>
            <w:r>
              <w:rPr>
                <w:rFonts w:ascii="Arial" w:cs="Arial" w:eastAsia="Arial" w:hAnsi="Arial"/>
                <w:sz w:val="13"/>
                <w:szCs w:val="13"/>
                <w:color w:val="auto"/>
              </w:rPr>
              <w:t>(d)</w:t>
            </w:r>
          </w:p>
        </w:tc>
        <w:tc>
          <w:tcPr>
            <w:tcW w:w="860" w:type="dxa"/>
            <w:vAlign w:val="bottom"/>
            <w:tcBorders>
              <w:top w:val="single" w:sz="8" w:color="959595"/>
              <w:bottom w:val="single" w:sz="8" w:color="E5E7EF"/>
            </w:tcBorders>
            <w:gridSpan w:val="2"/>
            <w:shd w:val="clear" w:color="auto" w:fill="E5E7EF"/>
          </w:tcPr>
          <w:p>
            <w:pPr>
              <w:jc w:val="right"/>
              <w:ind w:right="120"/>
              <w:spacing w:after="0"/>
              <w:rPr>
                <w:sz w:val="20"/>
                <w:szCs w:val="20"/>
                <w:color w:val="auto"/>
              </w:rPr>
            </w:pPr>
            <w:r>
              <w:rPr>
                <w:rFonts w:ascii="Arial" w:cs="Arial" w:eastAsia="Arial" w:hAnsi="Arial"/>
                <w:sz w:val="13"/>
                <w:szCs w:val="13"/>
                <w:color w:val="auto"/>
              </w:rPr>
              <w:t>(e)</w:t>
            </w:r>
          </w:p>
        </w:tc>
        <w:tc>
          <w:tcPr>
            <w:tcW w:w="980" w:type="dxa"/>
            <w:vAlign w:val="bottom"/>
            <w:tcBorders>
              <w:top w:val="single" w:sz="8" w:color="959595"/>
              <w:bottom w:val="single" w:sz="8" w:color="E5E7EF"/>
            </w:tcBorders>
            <w:shd w:val="clear" w:color="auto" w:fill="E5E7EF"/>
          </w:tcPr>
          <w:p>
            <w:pPr>
              <w:jc w:val="right"/>
              <w:ind w:right="109"/>
              <w:spacing w:after="0"/>
              <w:rPr>
                <w:sz w:val="20"/>
                <w:szCs w:val="20"/>
                <w:color w:val="auto"/>
              </w:rPr>
            </w:pPr>
            <w:r>
              <w:rPr>
                <w:rFonts w:ascii="Arial" w:cs="Arial" w:eastAsia="Arial" w:hAnsi="Arial"/>
                <w:sz w:val="13"/>
                <w:szCs w:val="13"/>
                <w:color w:val="auto"/>
              </w:rPr>
              <w:t>(f)</w:t>
            </w:r>
          </w:p>
        </w:tc>
        <w:tc>
          <w:tcPr>
            <w:tcW w:w="760" w:type="dxa"/>
            <w:vAlign w:val="bottom"/>
            <w:tcBorders>
              <w:top w:val="single" w:sz="8" w:color="959595"/>
              <w:bottom w:val="single" w:sz="8" w:color="E5E7EF"/>
            </w:tcBorders>
            <w:shd w:val="clear" w:color="auto" w:fill="E5E7EF"/>
          </w:tcPr>
          <w:p>
            <w:pPr>
              <w:jc w:val="right"/>
              <w:ind w:right="89"/>
              <w:spacing w:after="0"/>
              <w:rPr>
                <w:sz w:val="20"/>
                <w:szCs w:val="20"/>
                <w:color w:val="auto"/>
              </w:rPr>
            </w:pPr>
            <w:r>
              <w:rPr>
                <w:rFonts w:ascii="Arial" w:cs="Arial" w:eastAsia="Arial" w:hAnsi="Arial"/>
                <w:sz w:val="13"/>
                <w:szCs w:val="13"/>
                <w:color w:val="auto"/>
              </w:rPr>
              <w:t>(g)</w:t>
            </w:r>
          </w:p>
        </w:tc>
        <w:tc>
          <w:tcPr>
            <w:tcW w:w="720" w:type="dxa"/>
            <w:vAlign w:val="bottom"/>
            <w:tcBorders>
              <w:top w:val="single" w:sz="8" w:color="959595"/>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(h)</w:t>
            </w:r>
          </w:p>
        </w:tc>
        <w:tc>
          <w:tcPr>
            <w:tcW w:w="880" w:type="dxa"/>
            <w:vAlign w:val="bottom"/>
            <w:tcBorders>
              <w:top w:val="single" w:sz="8" w:color="959595"/>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(i)</w:t>
            </w:r>
          </w:p>
        </w:tc>
        <w:tc>
          <w:tcPr>
            <w:tcW w:w="1100" w:type="dxa"/>
            <w:vAlign w:val="bottom"/>
            <w:tcBorders>
              <w:top w:val="single" w:sz="8" w:color="959595"/>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(l)</w:t>
            </w:r>
          </w:p>
        </w:tc>
        <w:tc>
          <w:tcPr>
            <w:tcW w:w="0" w:type="dxa"/>
            <w:vAlign w:val="bottom"/>
          </w:tcPr>
          <w:p>
            <w:pPr>
              <w:spacing w:after="0"/>
              <w:rPr>
                <w:sz w:val="1"/>
                <w:szCs w:val="1"/>
                <w:color w:val="auto"/>
              </w:rPr>
            </w:pPr>
          </w:p>
        </w:tc>
      </w:tr>
      <w:tr>
        <w:trPr>
          <w:trHeight w:val="183"/>
        </w:trPr>
        <w:tc>
          <w:tcPr>
            <w:tcW w:w="1720" w:type="dxa"/>
            <w:vAlign w:val="bottom"/>
            <w:tcBorders>
              <w:top w:val="single" w:sz="8" w:color="929292"/>
            </w:tcBorders>
          </w:tcPr>
          <w:p>
            <w:pPr>
              <w:ind w:left="20"/>
              <w:spacing w:after="0"/>
              <w:rPr>
                <w:sz w:val="20"/>
                <w:szCs w:val="20"/>
                <w:color w:val="auto"/>
              </w:rPr>
            </w:pPr>
            <w:r>
              <w:rPr>
                <w:rFonts w:ascii="Arial" w:cs="Arial" w:eastAsia="Arial" w:hAnsi="Arial"/>
                <w:sz w:val="14"/>
                <w:szCs w:val="14"/>
                <w:b w:val="1"/>
                <w:bCs w:val="1"/>
                <w:color w:val="auto"/>
              </w:rPr>
              <w:t>James D. Taiclet</w:t>
            </w:r>
          </w:p>
        </w:tc>
        <w:tc>
          <w:tcPr>
            <w:tcW w:w="8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1/30/2020</w:t>
            </w:r>
          </w:p>
        </w:tc>
        <w:tc>
          <w:tcPr>
            <w:tcW w:w="880" w:type="dxa"/>
            <w:vAlign w:val="bottom"/>
            <w:tcBorders>
              <w:top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DEP</w:t>
            </w:r>
          </w:p>
        </w:tc>
        <w:tc>
          <w:tcPr>
            <w:tcW w:w="100" w:type="dxa"/>
            <w:vAlign w:val="bottom"/>
            <w:tcBorders>
              <w:top w:val="single" w:sz="8" w:color="929292"/>
            </w:tcBorders>
          </w:tcPr>
          <w:p>
            <w:pPr>
              <w:spacing w:after="0"/>
              <w:rPr>
                <w:sz w:val="15"/>
                <w:szCs w:val="15"/>
                <w:color w:val="auto"/>
              </w:rPr>
            </w:pPr>
          </w:p>
        </w:tc>
        <w:tc>
          <w:tcPr>
            <w:tcW w:w="8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929292"/>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929292"/>
            </w:tcBorders>
            <w:gridSpan w:val="2"/>
          </w:tcPr>
          <w:p>
            <w:pPr>
              <w:ind w:left="56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929292"/>
            </w:tcBorders>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Borders>
              <w:top w:val="single" w:sz="8" w:color="929292"/>
            </w:tcBorders>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Borders>
              <w:top w:val="single" w:sz="8" w:color="929292"/>
            </w:tcBorders>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373</w:t>
            </w:r>
          </w:p>
        </w:tc>
        <w:tc>
          <w:tcPr>
            <w:tcW w:w="11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162,500</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MICP</w:t>
            </w:r>
          </w:p>
        </w:tc>
        <w:tc>
          <w:tcPr>
            <w:tcW w:w="92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114,538</w:t>
            </w:r>
          </w:p>
        </w:tc>
        <w:tc>
          <w:tcPr>
            <w:tcW w:w="980" w:type="dxa"/>
            <w:vAlign w:val="bottom"/>
            <w:shd w:val="clear" w:color="auto" w:fill="E5E7EF"/>
          </w:tcPr>
          <w:p>
            <w:pPr>
              <w:jc w:val="right"/>
              <w:ind w:right="49"/>
              <w:spacing w:after="0"/>
              <w:rPr>
                <w:sz w:val="20"/>
                <w:szCs w:val="20"/>
                <w:color w:val="auto"/>
              </w:rPr>
            </w:pPr>
            <w:r>
              <w:rPr>
                <w:rFonts w:ascii="Arial" w:cs="Arial" w:eastAsia="Arial" w:hAnsi="Arial"/>
                <w:sz w:val="14"/>
                <w:szCs w:val="14"/>
                <w:color w:val="auto"/>
              </w:rPr>
              <w:t>1,636,250</w:t>
            </w:r>
          </w:p>
        </w:tc>
        <w:tc>
          <w:tcPr>
            <w:tcW w:w="7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3,272,500</w:t>
            </w:r>
          </w:p>
        </w:tc>
        <w:tc>
          <w:tcPr>
            <w:tcW w:w="100" w:type="dxa"/>
            <w:vAlign w:val="bottom"/>
            <w:shd w:val="clear" w:color="auto" w:fill="E5E7EF"/>
          </w:tcPr>
          <w:p>
            <w:pPr>
              <w:spacing w:after="0"/>
              <w:rPr>
                <w:sz w:val="16"/>
                <w:szCs w:val="16"/>
                <w:color w:val="auto"/>
              </w:rPr>
            </w:pPr>
          </w:p>
        </w:tc>
        <w:tc>
          <w:tcPr>
            <w:tcW w:w="980" w:type="dxa"/>
            <w:vAlign w:val="bottom"/>
            <w:shd w:val="clear" w:color="auto" w:fill="E5E7EF"/>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E5E7EF"/>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7EF"/>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7/27/2020</w:t>
            </w:r>
          </w:p>
        </w:tc>
        <w:tc>
          <w:tcPr>
            <w:tcW w:w="880" w:type="dxa"/>
            <w:vAlign w:val="bottom"/>
          </w:tcPr>
          <w:p>
            <w:pPr>
              <w:jc w:val="right"/>
              <w:spacing w:after="0"/>
              <w:rPr>
                <w:sz w:val="20"/>
                <w:szCs w:val="20"/>
                <w:color w:val="auto"/>
              </w:rPr>
            </w:pPr>
            <w:r>
              <w:rPr>
                <w:rFonts w:ascii="Arial" w:cs="Arial" w:eastAsia="Arial" w:hAnsi="Arial"/>
                <w:sz w:val="14"/>
                <w:szCs w:val="14"/>
                <w:color w:val="auto"/>
              </w:rPr>
              <w:t>6/25/2020</w:t>
            </w:r>
          </w:p>
        </w:tc>
        <w:tc>
          <w:tcPr>
            <w:tcW w:w="560" w:type="dxa"/>
            <w:vAlign w:val="bottom"/>
          </w:tcPr>
          <w:p>
            <w:pPr>
              <w:jc w:val="right"/>
              <w:spacing w:after="0"/>
              <w:rPr>
                <w:sz w:val="20"/>
                <w:szCs w:val="20"/>
                <w:color w:val="auto"/>
              </w:rPr>
            </w:pPr>
            <w:r>
              <w:rPr>
                <w:rFonts w:ascii="Arial" w:cs="Arial" w:eastAsia="Arial" w:hAnsi="Arial"/>
                <w:sz w:val="14"/>
                <w:szCs w:val="14"/>
                <w:color w:val="auto"/>
              </w:rPr>
              <w:t>RSU</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80" w:type="dxa"/>
            <w:vAlign w:val="bottom"/>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10,992</w:t>
            </w:r>
          </w:p>
        </w:tc>
        <w:tc>
          <w:tcPr>
            <w:tcW w:w="1100" w:type="dxa"/>
            <w:vAlign w:val="bottom"/>
          </w:tcPr>
          <w:p>
            <w:pPr>
              <w:jc w:val="right"/>
              <w:spacing w:after="0"/>
              <w:rPr>
                <w:sz w:val="20"/>
                <w:szCs w:val="20"/>
                <w:color w:val="auto"/>
              </w:rPr>
            </w:pPr>
            <w:r>
              <w:rPr>
                <w:rFonts w:ascii="Arial" w:cs="Arial" w:eastAsia="Arial" w:hAnsi="Arial"/>
                <w:sz w:val="14"/>
                <w:szCs w:val="14"/>
                <w:color w:val="auto"/>
              </w:rPr>
              <w:t>4,199,054</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7/27/2020</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6/25/2020</w:t>
            </w:r>
          </w:p>
        </w:tc>
        <w:tc>
          <w:tcPr>
            <w:tcW w:w="5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RSU</w:t>
            </w:r>
          </w:p>
        </w:tc>
        <w:tc>
          <w:tcPr>
            <w:tcW w:w="100" w:type="dxa"/>
            <w:vAlign w:val="bottom"/>
            <w:shd w:val="clear" w:color="auto" w:fill="E5E7EF"/>
          </w:tcPr>
          <w:p>
            <w:pPr>
              <w:spacing w:after="0"/>
              <w:rPr>
                <w:sz w:val="16"/>
                <w:szCs w:val="16"/>
                <w:color w:val="auto"/>
              </w:rPr>
            </w:pPr>
          </w:p>
        </w:tc>
        <w:tc>
          <w:tcPr>
            <w:tcW w:w="82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7E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5E7EF"/>
          </w:tcPr>
          <w:p>
            <w:pPr>
              <w:ind w:left="56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7EF"/>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E5E7EF"/>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7EF"/>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14,869</w:t>
            </w:r>
          </w:p>
        </w:tc>
        <w:tc>
          <w:tcPr>
            <w:tcW w:w="1100" w:type="dxa"/>
            <w:vAlign w:val="bottom"/>
            <w:shd w:val="clear" w:color="auto" w:fill="E5E7EF"/>
          </w:tcPr>
          <w:p>
            <w:pPr>
              <w:jc w:val="right"/>
              <w:spacing w:after="0"/>
              <w:rPr>
                <w:sz w:val="20"/>
                <w:szCs w:val="20"/>
                <w:color w:val="auto"/>
              </w:rPr>
            </w:pPr>
            <w:r>
              <w:rPr>
                <w:rFonts w:ascii="Arial" w:cs="Arial" w:eastAsia="Arial" w:hAnsi="Arial"/>
                <w:sz w:val="14"/>
                <w:szCs w:val="14"/>
                <w:color w:val="auto"/>
              </w:rPr>
              <w:t>5,681,004</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175,000</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2,800,000</w:t>
            </w:r>
          </w:p>
        </w:tc>
        <w:tc>
          <w:tcPr>
            <w:tcW w:w="760" w:type="dxa"/>
            <w:vAlign w:val="bottom"/>
          </w:tcPr>
          <w:p>
            <w:pPr>
              <w:jc w:val="right"/>
              <w:spacing w:after="0"/>
              <w:rPr>
                <w:sz w:val="20"/>
                <w:szCs w:val="20"/>
                <w:color w:val="auto"/>
              </w:rPr>
            </w:pPr>
            <w:r>
              <w:rPr>
                <w:rFonts w:ascii="Arial" w:cs="Arial" w:eastAsia="Arial" w:hAnsi="Arial"/>
                <w:sz w:val="14"/>
                <w:szCs w:val="14"/>
                <w:color w:val="auto"/>
              </w:rPr>
              <w:t>5,600,000</w:t>
            </w:r>
          </w:p>
        </w:tc>
        <w:tc>
          <w:tcPr>
            <w:tcW w:w="100" w:type="dxa"/>
            <w:vAlign w:val="bottom"/>
          </w:tcPr>
          <w:p>
            <w:pPr>
              <w:spacing w:after="0"/>
              <w:rPr>
                <w:sz w:val="16"/>
                <w:szCs w:val="16"/>
                <w:color w:val="auto"/>
              </w:rPr>
            </w:pPr>
          </w:p>
        </w:tc>
        <w:tc>
          <w:tcPr>
            <w:tcW w:w="980" w:type="dxa"/>
            <w:vAlign w:val="bottom"/>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959595"/>
            </w:tcBorders>
          </w:tcPr>
          <w:p>
            <w:pPr>
              <w:spacing w:after="0"/>
              <w:rPr>
                <w:sz w:val="16"/>
                <w:szCs w:val="16"/>
                <w:color w:val="auto"/>
              </w:rPr>
            </w:pP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7/27/2020</w:t>
            </w: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6/25/2020</w:t>
            </w:r>
          </w:p>
        </w:tc>
        <w:tc>
          <w:tcPr>
            <w:tcW w:w="56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PSU</w:t>
            </w:r>
          </w:p>
        </w:tc>
        <w:tc>
          <w:tcPr>
            <w:tcW w:w="100" w:type="dxa"/>
            <w:vAlign w:val="bottom"/>
            <w:tcBorders>
              <w:bottom w:val="single" w:sz="8" w:color="959595"/>
            </w:tcBorders>
            <w:shd w:val="clear" w:color="auto" w:fill="E5E7EF"/>
          </w:tcPr>
          <w:p>
            <w:pPr>
              <w:spacing w:after="0"/>
              <w:rPr>
                <w:sz w:val="16"/>
                <w:szCs w:val="16"/>
                <w:color w:val="auto"/>
              </w:rPr>
            </w:pPr>
          </w:p>
        </w:tc>
        <w:tc>
          <w:tcPr>
            <w:tcW w:w="82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shd w:val="clear" w:color="auto" w:fill="E5E7E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gridSpan w:val="2"/>
            <w:shd w:val="clear" w:color="auto" w:fill="E5E7EF"/>
          </w:tcPr>
          <w:p>
            <w:pPr>
              <w:ind w:left="5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shd w:val="clear" w:color="auto" w:fill="E5E7EF"/>
          </w:tcPr>
          <w:p>
            <w:pPr>
              <w:jc w:val="right"/>
              <w:ind w:right="109"/>
              <w:spacing w:after="0"/>
              <w:rPr>
                <w:sz w:val="20"/>
                <w:szCs w:val="20"/>
                <w:color w:val="auto"/>
              </w:rPr>
            </w:pPr>
            <w:r>
              <w:rPr>
                <w:rFonts w:ascii="Arial" w:cs="Arial" w:eastAsia="Arial" w:hAnsi="Arial"/>
                <w:sz w:val="14"/>
                <w:szCs w:val="14"/>
                <w:color w:val="auto"/>
              </w:rPr>
              <w:t>1,146</w:t>
            </w:r>
          </w:p>
        </w:tc>
        <w:tc>
          <w:tcPr>
            <w:tcW w:w="760" w:type="dxa"/>
            <w:vAlign w:val="bottom"/>
            <w:tcBorders>
              <w:bottom w:val="single" w:sz="8" w:color="959595"/>
            </w:tcBorders>
            <w:shd w:val="clear" w:color="auto" w:fill="E5E7EF"/>
          </w:tcPr>
          <w:p>
            <w:pPr>
              <w:jc w:val="right"/>
              <w:ind w:right="89"/>
              <w:spacing w:after="0"/>
              <w:rPr>
                <w:sz w:val="20"/>
                <w:szCs w:val="20"/>
                <w:color w:val="auto"/>
              </w:rPr>
            </w:pPr>
            <w:r>
              <w:rPr>
                <w:rFonts w:ascii="Arial" w:cs="Arial" w:eastAsia="Arial" w:hAnsi="Arial"/>
                <w:sz w:val="14"/>
                <w:szCs w:val="14"/>
                <w:color w:val="auto"/>
              </w:rPr>
              <w:t>18,321</w:t>
            </w:r>
          </w:p>
        </w:tc>
        <w:tc>
          <w:tcPr>
            <w:tcW w:w="72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36,642</w:t>
            </w: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8,731,792</w:t>
            </w: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Marillyn A. Hewson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MICP</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227,238</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3,246,250</w:t>
            </w:r>
          </w:p>
        </w:tc>
        <w:tc>
          <w:tcPr>
            <w:tcW w:w="760" w:type="dxa"/>
            <w:vAlign w:val="bottom"/>
          </w:tcPr>
          <w:p>
            <w:pPr>
              <w:jc w:val="right"/>
              <w:spacing w:after="0"/>
              <w:rPr>
                <w:sz w:val="20"/>
                <w:szCs w:val="20"/>
                <w:color w:val="auto"/>
              </w:rPr>
            </w:pPr>
            <w:r>
              <w:rPr>
                <w:rFonts w:ascii="Arial" w:cs="Arial" w:eastAsia="Arial" w:hAnsi="Arial"/>
                <w:sz w:val="14"/>
                <w:szCs w:val="14"/>
                <w:color w:val="auto"/>
              </w:rPr>
              <w:t>6,492,500</w:t>
            </w:r>
          </w:p>
        </w:tc>
        <w:tc>
          <w:tcPr>
            <w:tcW w:w="100" w:type="dxa"/>
            <w:vAlign w:val="bottom"/>
          </w:tcPr>
          <w:p>
            <w:pPr>
              <w:spacing w:after="0"/>
              <w:rPr>
                <w:sz w:val="15"/>
                <w:szCs w:val="15"/>
                <w:color w:val="auto"/>
              </w:rPr>
            </w:pPr>
          </w:p>
        </w:tc>
        <w:tc>
          <w:tcPr>
            <w:tcW w:w="980" w:type="dxa"/>
            <w:vAlign w:val="bottom"/>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5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RSU</w:t>
            </w:r>
          </w:p>
        </w:tc>
        <w:tc>
          <w:tcPr>
            <w:tcW w:w="100" w:type="dxa"/>
            <w:vAlign w:val="bottom"/>
            <w:shd w:val="clear" w:color="auto" w:fill="E5E7EF"/>
          </w:tcPr>
          <w:p>
            <w:pPr>
              <w:spacing w:after="0"/>
              <w:rPr>
                <w:sz w:val="16"/>
                <w:szCs w:val="16"/>
                <w:color w:val="auto"/>
              </w:rPr>
            </w:pPr>
          </w:p>
        </w:tc>
        <w:tc>
          <w:tcPr>
            <w:tcW w:w="82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7E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5E7EF"/>
          </w:tcPr>
          <w:p>
            <w:pPr>
              <w:ind w:left="56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7EF"/>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E5E7EF"/>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7EF"/>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11,700</w:t>
            </w:r>
          </w:p>
        </w:tc>
        <w:tc>
          <w:tcPr>
            <w:tcW w:w="1100" w:type="dxa"/>
            <w:vAlign w:val="bottom"/>
            <w:shd w:val="clear" w:color="auto" w:fill="E5E7EF"/>
          </w:tcPr>
          <w:p>
            <w:pPr>
              <w:jc w:val="right"/>
              <w:spacing w:after="0"/>
              <w:rPr>
                <w:sz w:val="20"/>
                <w:szCs w:val="20"/>
                <w:color w:val="auto"/>
              </w:rPr>
            </w:pPr>
            <w:r>
              <w:rPr>
                <w:rFonts w:ascii="Arial" w:cs="Arial" w:eastAsia="Arial" w:hAnsi="Arial"/>
                <w:sz w:val="14"/>
                <w:szCs w:val="14"/>
                <w:color w:val="auto"/>
              </w:rPr>
              <w:t>4,494,789</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187,500</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3,000,000</w:t>
            </w:r>
          </w:p>
        </w:tc>
        <w:tc>
          <w:tcPr>
            <w:tcW w:w="760" w:type="dxa"/>
            <w:vAlign w:val="bottom"/>
          </w:tcPr>
          <w:p>
            <w:pPr>
              <w:jc w:val="right"/>
              <w:spacing w:after="0"/>
              <w:rPr>
                <w:sz w:val="20"/>
                <w:szCs w:val="20"/>
                <w:color w:val="auto"/>
              </w:rPr>
            </w:pPr>
            <w:r>
              <w:rPr>
                <w:rFonts w:ascii="Arial" w:cs="Arial" w:eastAsia="Arial" w:hAnsi="Arial"/>
                <w:sz w:val="14"/>
                <w:szCs w:val="14"/>
                <w:color w:val="auto"/>
              </w:rPr>
              <w:t>6,000,000</w:t>
            </w:r>
          </w:p>
        </w:tc>
        <w:tc>
          <w:tcPr>
            <w:tcW w:w="100" w:type="dxa"/>
            <w:vAlign w:val="bottom"/>
          </w:tcPr>
          <w:p>
            <w:pPr>
              <w:spacing w:after="0"/>
              <w:rPr>
                <w:sz w:val="16"/>
                <w:szCs w:val="16"/>
                <w:color w:val="auto"/>
              </w:rPr>
            </w:pPr>
          </w:p>
        </w:tc>
        <w:tc>
          <w:tcPr>
            <w:tcW w:w="980" w:type="dxa"/>
            <w:vAlign w:val="bottom"/>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959595"/>
            </w:tcBorders>
          </w:tcPr>
          <w:p>
            <w:pPr>
              <w:spacing w:after="0"/>
              <w:rPr>
                <w:sz w:val="16"/>
                <w:szCs w:val="16"/>
                <w:color w:val="auto"/>
              </w:rPr>
            </w:pP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56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PSU</w:t>
            </w:r>
          </w:p>
        </w:tc>
        <w:tc>
          <w:tcPr>
            <w:tcW w:w="100" w:type="dxa"/>
            <w:vAlign w:val="bottom"/>
            <w:tcBorders>
              <w:bottom w:val="single" w:sz="8" w:color="959595"/>
            </w:tcBorders>
            <w:shd w:val="clear" w:color="auto" w:fill="E5E7EF"/>
          </w:tcPr>
          <w:p>
            <w:pPr>
              <w:spacing w:after="0"/>
              <w:rPr>
                <w:sz w:val="16"/>
                <w:szCs w:val="16"/>
                <w:color w:val="auto"/>
              </w:rPr>
            </w:pPr>
          </w:p>
        </w:tc>
        <w:tc>
          <w:tcPr>
            <w:tcW w:w="82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shd w:val="clear" w:color="auto" w:fill="E5E7E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gridSpan w:val="2"/>
            <w:shd w:val="clear" w:color="auto" w:fill="E5E7EF"/>
          </w:tcPr>
          <w:p>
            <w:pPr>
              <w:ind w:left="5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shd w:val="clear" w:color="auto" w:fill="E5E7EF"/>
          </w:tcPr>
          <w:p>
            <w:pPr>
              <w:jc w:val="right"/>
              <w:ind w:right="109"/>
              <w:spacing w:after="0"/>
              <w:rPr>
                <w:sz w:val="20"/>
                <w:szCs w:val="20"/>
                <w:color w:val="auto"/>
              </w:rPr>
            </w:pPr>
            <w:r>
              <w:rPr>
                <w:rFonts w:ascii="Arial" w:cs="Arial" w:eastAsia="Arial" w:hAnsi="Arial"/>
                <w:sz w:val="14"/>
                <w:szCs w:val="14"/>
                <w:color w:val="auto"/>
              </w:rPr>
              <w:t>1,219</w:t>
            </w:r>
          </w:p>
        </w:tc>
        <w:tc>
          <w:tcPr>
            <w:tcW w:w="760" w:type="dxa"/>
            <w:vAlign w:val="bottom"/>
            <w:tcBorders>
              <w:bottom w:val="single" w:sz="8" w:color="959595"/>
            </w:tcBorders>
            <w:shd w:val="clear" w:color="auto" w:fill="E5E7EF"/>
          </w:tcPr>
          <w:p>
            <w:pPr>
              <w:jc w:val="right"/>
              <w:ind w:right="89"/>
              <w:spacing w:after="0"/>
              <w:rPr>
                <w:sz w:val="20"/>
                <w:szCs w:val="20"/>
                <w:color w:val="auto"/>
              </w:rPr>
            </w:pPr>
            <w:r>
              <w:rPr>
                <w:rFonts w:ascii="Arial" w:cs="Arial" w:eastAsia="Arial" w:hAnsi="Arial"/>
                <w:sz w:val="14"/>
                <w:szCs w:val="14"/>
                <w:color w:val="auto"/>
              </w:rPr>
              <w:t>19,502</w:t>
            </w:r>
          </w:p>
        </w:tc>
        <w:tc>
          <w:tcPr>
            <w:tcW w:w="72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39,004</w:t>
            </w: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8,323,551</w:t>
            </w: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Kenneth R. Possenriede</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MICP</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68,723</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981,750</w:t>
            </w:r>
          </w:p>
        </w:tc>
        <w:tc>
          <w:tcPr>
            <w:tcW w:w="760" w:type="dxa"/>
            <w:vAlign w:val="bottom"/>
          </w:tcPr>
          <w:p>
            <w:pPr>
              <w:jc w:val="right"/>
              <w:spacing w:after="0"/>
              <w:rPr>
                <w:sz w:val="20"/>
                <w:szCs w:val="20"/>
                <w:color w:val="auto"/>
              </w:rPr>
            </w:pPr>
            <w:r>
              <w:rPr>
                <w:rFonts w:ascii="Arial" w:cs="Arial" w:eastAsia="Arial" w:hAnsi="Arial"/>
                <w:sz w:val="14"/>
                <w:szCs w:val="14"/>
                <w:color w:val="auto"/>
              </w:rPr>
              <w:t>1,963,500</w:t>
            </w:r>
          </w:p>
        </w:tc>
        <w:tc>
          <w:tcPr>
            <w:tcW w:w="100" w:type="dxa"/>
            <w:vAlign w:val="bottom"/>
          </w:tcPr>
          <w:p>
            <w:pPr>
              <w:spacing w:after="0"/>
              <w:rPr>
                <w:sz w:val="15"/>
                <w:szCs w:val="15"/>
                <w:color w:val="auto"/>
              </w:rPr>
            </w:pPr>
          </w:p>
        </w:tc>
        <w:tc>
          <w:tcPr>
            <w:tcW w:w="980" w:type="dxa"/>
            <w:vAlign w:val="bottom"/>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5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RSU</w:t>
            </w:r>
          </w:p>
        </w:tc>
        <w:tc>
          <w:tcPr>
            <w:tcW w:w="100" w:type="dxa"/>
            <w:vAlign w:val="bottom"/>
            <w:shd w:val="clear" w:color="auto" w:fill="E5E7EF"/>
          </w:tcPr>
          <w:p>
            <w:pPr>
              <w:spacing w:after="0"/>
              <w:rPr>
                <w:sz w:val="16"/>
                <w:szCs w:val="16"/>
                <w:color w:val="auto"/>
              </w:rPr>
            </w:pPr>
          </w:p>
        </w:tc>
        <w:tc>
          <w:tcPr>
            <w:tcW w:w="82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7E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5E7EF"/>
          </w:tcPr>
          <w:p>
            <w:pPr>
              <w:ind w:left="56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7EF"/>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E5E7EF"/>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7EF"/>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3,627</w:t>
            </w:r>
          </w:p>
        </w:tc>
        <w:tc>
          <w:tcPr>
            <w:tcW w:w="110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1,393,385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58,125</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930,000</w:t>
            </w:r>
          </w:p>
        </w:tc>
        <w:tc>
          <w:tcPr>
            <w:tcW w:w="760" w:type="dxa"/>
            <w:vAlign w:val="bottom"/>
          </w:tcPr>
          <w:p>
            <w:pPr>
              <w:jc w:val="right"/>
              <w:spacing w:after="0"/>
              <w:rPr>
                <w:sz w:val="20"/>
                <w:szCs w:val="20"/>
                <w:color w:val="auto"/>
              </w:rPr>
            </w:pPr>
            <w:r>
              <w:rPr>
                <w:rFonts w:ascii="Arial" w:cs="Arial" w:eastAsia="Arial" w:hAnsi="Arial"/>
                <w:sz w:val="14"/>
                <w:szCs w:val="14"/>
                <w:color w:val="auto"/>
              </w:rPr>
              <w:t>1,860,000</w:t>
            </w:r>
          </w:p>
        </w:tc>
        <w:tc>
          <w:tcPr>
            <w:tcW w:w="100" w:type="dxa"/>
            <w:vAlign w:val="bottom"/>
          </w:tcPr>
          <w:p>
            <w:pPr>
              <w:spacing w:after="0"/>
              <w:rPr>
                <w:sz w:val="16"/>
                <w:szCs w:val="16"/>
                <w:color w:val="auto"/>
              </w:rPr>
            </w:pPr>
          </w:p>
        </w:tc>
        <w:tc>
          <w:tcPr>
            <w:tcW w:w="980" w:type="dxa"/>
            <w:vAlign w:val="bottom"/>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959595"/>
            </w:tcBorders>
          </w:tcPr>
          <w:p>
            <w:pPr>
              <w:spacing w:after="0"/>
              <w:rPr>
                <w:sz w:val="16"/>
                <w:szCs w:val="16"/>
                <w:color w:val="auto"/>
              </w:rPr>
            </w:pP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56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PSU</w:t>
            </w:r>
          </w:p>
        </w:tc>
        <w:tc>
          <w:tcPr>
            <w:tcW w:w="100" w:type="dxa"/>
            <w:vAlign w:val="bottom"/>
            <w:tcBorders>
              <w:bottom w:val="single" w:sz="8" w:color="959595"/>
            </w:tcBorders>
            <w:shd w:val="clear" w:color="auto" w:fill="E5E7EF"/>
          </w:tcPr>
          <w:p>
            <w:pPr>
              <w:spacing w:after="0"/>
              <w:rPr>
                <w:sz w:val="16"/>
                <w:szCs w:val="16"/>
                <w:color w:val="auto"/>
              </w:rPr>
            </w:pPr>
          </w:p>
        </w:tc>
        <w:tc>
          <w:tcPr>
            <w:tcW w:w="82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shd w:val="clear" w:color="auto" w:fill="E5E7E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gridSpan w:val="2"/>
            <w:shd w:val="clear" w:color="auto" w:fill="E5E7EF"/>
          </w:tcPr>
          <w:p>
            <w:pPr>
              <w:ind w:left="5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shd w:val="clear" w:color="auto" w:fill="E5E7EF"/>
          </w:tcPr>
          <w:p>
            <w:pPr>
              <w:jc w:val="center"/>
              <w:ind w:left="309"/>
              <w:spacing w:after="0"/>
              <w:rPr>
                <w:sz w:val="20"/>
                <w:szCs w:val="20"/>
                <w:color w:val="auto"/>
              </w:rPr>
            </w:pPr>
            <w:r>
              <w:rPr>
                <w:rFonts w:ascii="Arial" w:cs="Arial" w:eastAsia="Arial" w:hAnsi="Arial"/>
                <w:sz w:val="14"/>
                <w:szCs w:val="14"/>
                <w:color w:val="auto"/>
              </w:rPr>
              <w:t>378</w:t>
            </w:r>
          </w:p>
        </w:tc>
        <w:tc>
          <w:tcPr>
            <w:tcW w:w="760" w:type="dxa"/>
            <w:vAlign w:val="bottom"/>
            <w:tcBorders>
              <w:bottom w:val="single" w:sz="8" w:color="959595"/>
            </w:tcBorders>
            <w:shd w:val="clear" w:color="auto" w:fill="E5E7EF"/>
          </w:tcPr>
          <w:p>
            <w:pPr>
              <w:jc w:val="right"/>
              <w:ind w:right="89"/>
              <w:spacing w:after="0"/>
              <w:rPr>
                <w:sz w:val="20"/>
                <w:szCs w:val="20"/>
                <w:color w:val="auto"/>
              </w:rPr>
            </w:pPr>
            <w:r>
              <w:rPr>
                <w:rFonts w:ascii="Arial" w:cs="Arial" w:eastAsia="Arial" w:hAnsi="Arial"/>
                <w:sz w:val="14"/>
                <w:szCs w:val="14"/>
                <w:color w:val="auto"/>
              </w:rPr>
              <w:t>6,046</w:t>
            </w:r>
          </w:p>
        </w:tc>
        <w:tc>
          <w:tcPr>
            <w:tcW w:w="72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12,092</w:t>
            </w: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2,580,463</w:t>
            </w: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Frank A. St. John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MICP</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68,723</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981,750</w:t>
            </w:r>
          </w:p>
        </w:tc>
        <w:tc>
          <w:tcPr>
            <w:tcW w:w="760" w:type="dxa"/>
            <w:vAlign w:val="bottom"/>
          </w:tcPr>
          <w:p>
            <w:pPr>
              <w:jc w:val="right"/>
              <w:spacing w:after="0"/>
              <w:rPr>
                <w:sz w:val="20"/>
                <w:szCs w:val="20"/>
                <w:color w:val="auto"/>
              </w:rPr>
            </w:pPr>
            <w:r>
              <w:rPr>
                <w:rFonts w:ascii="Arial" w:cs="Arial" w:eastAsia="Arial" w:hAnsi="Arial"/>
                <w:sz w:val="14"/>
                <w:szCs w:val="14"/>
                <w:color w:val="auto"/>
              </w:rPr>
              <w:t>1,963,500</w:t>
            </w:r>
          </w:p>
        </w:tc>
        <w:tc>
          <w:tcPr>
            <w:tcW w:w="100" w:type="dxa"/>
            <w:vAlign w:val="bottom"/>
          </w:tcPr>
          <w:p>
            <w:pPr>
              <w:spacing w:after="0"/>
              <w:rPr>
                <w:sz w:val="15"/>
                <w:szCs w:val="15"/>
                <w:color w:val="auto"/>
              </w:rPr>
            </w:pPr>
          </w:p>
        </w:tc>
        <w:tc>
          <w:tcPr>
            <w:tcW w:w="980" w:type="dxa"/>
            <w:vAlign w:val="bottom"/>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5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RSU</w:t>
            </w:r>
          </w:p>
        </w:tc>
        <w:tc>
          <w:tcPr>
            <w:tcW w:w="100" w:type="dxa"/>
            <w:vAlign w:val="bottom"/>
            <w:shd w:val="clear" w:color="auto" w:fill="E5E7EF"/>
          </w:tcPr>
          <w:p>
            <w:pPr>
              <w:spacing w:after="0"/>
              <w:rPr>
                <w:sz w:val="16"/>
                <w:szCs w:val="16"/>
                <w:color w:val="auto"/>
              </w:rPr>
            </w:pPr>
          </w:p>
        </w:tc>
        <w:tc>
          <w:tcPr>
            <w:tcW w:w="82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7E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5E7EF"/>
          </w:tcPr>
          <w:p>
            <w:pPr>
              <w:ind w:left="56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7EF"/>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E5E7EF"/>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7EF"/>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3,510</w:t>
            </w:r>
          </w:p>
        </w:tc>
        <w:tc>
          <w:tcPr>
            <w:tcW w:w="110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1,348,437</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7/27/2020</w:t>
            </w:r>
          </w:p>
        </w:tc>
        <w:tc>
          <w:tcPr>
            <w:tcW w:w="880" w:type="dxa"/>
            <w:vAlign w:val="bottom"/>
          </w:tcPr>
          <w:p>
            <w:pPr>
              <w:jc w:val="right"/>
              <w:spacing w:after="0"/>
              <w:rPr>
                <w:sz w:val="20"/>
                <w:szCs w:val="20"/>
                <w:color w:val="auto"/>
              </w:rPr>
            </w:pPr>
            <w:r>
              <w:rPr>
                <w:rFonts w:ascii="Arial" w:cs="Arial" w:eastAsia="Arial" w:hAnsi="Arial"/>
                <w:sz w:val="14"/>
                <w:szCs w:val="14"/>
                <w:color w:val="auto"/>
              </w:rPr>
              <w:t>6/25/2020</w:t>
            </w:r>
          </w:p>
        </w:tc>
        <w:tc>
          <w:tcPr>
            <w:tcW w:w="560" w:type="dxa"/>
            <w:vAlign w:val="bottom"/>
          </w:tcPr>
          <w:p>
            <w:pPr>
              <w:jc w:val="right"/>
              <w:spacing w:after="0"/>
              <w:rPr>
                <w:sz w:val="20"/>
                <w:szCs w:val="20"/>
                <w:color w:val="auto"/>
              </w:rPr>
            </w:pPr>
            <w:r>
              <w:rPr>
                <w:rFonts w:ascii="Arial" w:cs="Arial" w:eastAsia="Arial" w:hAnsi="Arial"/>
                <w:sz w:val="14"/>
                <w:szCs w:val="14"/>
                <w:color w:val="auto"/>
              </w:rPr>
              <w:t>RSU</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80" w:type="dxa"/>
            <w:vAlign w:val="bottom"/>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1100" w:type="dxa"/>
            <w:vAlign w:val="bottom"/>
          </w:tcPr>
          <w:p>
            <w:pPr>
              <w:jc w:val="right"/>
              <w:spacing w:after="0"/>
              <w:rPr>
                <w:sz w:val="20"/>
                <w:szCs w:val="20"/>
                <w:color w:val="auto"/>
              </w:rPr>
            </w:pPr>
            <w:r>
              <w:rPr>
                <w:rFonts w:ascii="Arial" w:cs="Arial" w:eastAsia="Arial" w:hAnsi="Arial"/>
                <w:sz w:val="14"/>
                <w:szCs w:val="14"/>
                <w:color w:val="auto"/>
              </w:rPr>
              <w:t>44,695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56,250</w:t>
            </w:r>
          </w:p>
        </w:tc>
        <w:tc>
          <w:tcPr>
            <w:tcW w:w="980" w:type="dxa"/>
            <w:vAlign w:val="bottom"/>
            <w:shd w:val="clear" w:color="auto" w:fill="E5E7EF"/>
          </w:tcPr>
          <w:p>
            <w:pPr>
              <w:jc w:val="right"/>
              <w:ind w:right="49"/>
              <w:spacing w:after="0"/>
              <w:rPr>
                <w:sz w:val="20"/>
                <w:szCs w:val="20"/>
                <w:color w:val="auto"/>
              </w:rPr>
            </w:pPr>
            <w:r>
              <w:rPr>
                <w:rFonts w:ascii="Arial" w:cs="Arial" w:eastAsia="Arial" w:hAnsi="Arial"/>
                <w:sz w:val="14"/>
                <w:szCs w:val="14"/>
                <w:color w:val="auto"/>
              </w:rPr>
              <w:t>900,000</w:t>
            </w:r>
          </w:p>
        </w:tc>
        <w:tc>
          <w:tcPr>
            <w:tcW w:w="7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1,800,000</w:t>
            </w:r>
          </w:p>
        </w:tc>
        <w:tc>
          <w:tcPr>
            <w:tcW w:w="100" w:type="dxa"/>
            <w:vAlign w:val="bottom"/>
            <w:shd w:val="clear" w:color="auto" w:fill="E5E7EF"/>
          </w:tcPr>
          <w:p>
            <w:pPr>
              <w:spacing w:after="0"/>
              <w:rPr>
                <w:sz w:val="16"/>
                <w:szCs w:val="16"/>
                <w:color w:val="auto"/>
              </w:rPr>
            </w:pPr>
          </w:p>
        </w:tc>
        <w:tc>
          <w:tcPr>
            <w:tcW w:w="980" w:type="dxa"/>
            <w:vAlign w:val="bottom"/>
            <w:shd w:val="clear" w:color="auto" w:fill="E5E7EF"/>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E5E7EF"/>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7EF"/>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1,875</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30,000</w:t>
            </w:r>
          </w:p>
        </w:tc>
        <w:tc>
          <w:tcPr>
            <w:tcW w:w="760" w:type="dxa"/>
            <w:vAlign w:val="bottom"/>
          </w:tcPr>
          <w:p>
            <w:pPr>
              <w:jc w:val="right"/>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16"/>
                <w:szCs w:val="16"/>
                <w:color w:val="auto"/>
              </w:rPr>
            </w:pPr>
          </w:p>
        </w:tc>
        <w:tc>
          <w:tcPr>
            <w:tcW w:w="980" w:type="dxa"/>
            <w:vAlign w:val="bottom"/>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2/27/2020</w:t>
            </w:r>
          </w:p>
        </w:tc>
        <w:tc>
          <w:tcPr>
            <w:tcW w:w="5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PSU</w:t>
            </w:r>
          </w:p>
        </w:tc>
        <w:tc>
          <w:tcPr>
            <w:tcW w:w="100" w:type="dxa"/>
            <w:vAlign w:val="bottom"/>
            <w:shd w:val="clear" w:color="auto" w:fill="E5E7EF"/>
          </w:tcPr>
          <w:p>
            <w:pPr>
              <w:spacing w:after="0"/>
              <w:rPr>
                <w:sz w:val="16"/>
                <w:szCs w:val="16"/>
                <w:color w:val="auto"/>
              </w:rPr>
            </w:pPr>
          </w:p>
        </w:tc>
        <w:tc>
          <w:tcPr>
            <w:tcW w:w="82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7E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5E7EF"/>
          </w:tcPr>
          <w:p>
            <w:pPr>
              <w:ind w:left="56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7EF"/>
          </w:tcPr>
          <w:p>
            <w:pPr>
              <w:jc w:val="center"/>
              <w:ind w:left="309"/>
              <w:spacing w:after="0"/>
              <w:rPr>
                <w:sz w:val="20"/>
                <w:szCs w:val="20"/>
                <w:color w:val="auto"/>
              </w:rPr>
            </w:pPr>
            <w:r>
              <w:rPr>
                <w:rFonts w:ascii="Arial" w:cs="Arial" w:eastAsia="Arial" w:hAnsi="Arial"/>
                <w:sz w:val="14"/>
                <w:szCs w:val="14"/>
                <w:color w:val="auto"/>
              </w:rPr>
              <w:t>366</w:t>
            </w:r>
          </w:p>
        </w:tc>
        <w:tc>
          <w:tcPr>
            <w:tcW w:w="760" w:type="dxa"/>
            <w:vAlign w:val="bottom"/>
            <w:shd w:val="clear" w:color="auto" w:fill="E5E7EF"/>
          </w:tcPr>
          <w:p>
            <w:pPr>
              <w:jc w:val="right"/>
              <w:ind w:right="89"/>
              <w:spacing w:after="0"/>
              <w:rPr>
                <w:sz w:val="20"/>
                <w:szCs w:val="20"/>
                <w:color w:val="auto"/>
              </w:rPr>
            </w:pPr>
            <w:r>
              <w:rPr>
                <w:rFonts w:ascii="Arial" w:cs="Arial" w:eastAsia="Arial" w:hAnsi="Arial"/>
                <w:sz w:val="14"/>
                <w:szCs w:val="14"/>
                <w:color w:val="auto"/>
              </w:rPr>
              <w:t>5,851</w:t>
            </w:r>
          </w:p>
        </w:tc>
        <w:tc>
          <w:tcPr>
            <w:tcW w:w="72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11,702</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2,497,279</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959595"/>
            </w:tcBorders>
          </w:tcPr>
          <w:p>
            <w:pPr>
              <w:spacing w:after="0"/>
              <w:rPr>
                <w:sz w:val="16"/>
                <w:szCs w:val="16"/>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7/27/2020</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6/25/2020</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PSU</w:t>
            </w:r>
          </w:p>
        </w:tc>
        <w:tc>
          <w:tcPr>
            <w:tcW w:w="100" w:type="dxa"/>
            <w:vAlign w:val="bottom"/>
            <w:tcBorders>
              <w:bottom w:val="single" w:sz="8" w:color="959595"/>
            </w:tcBorders>
          </w:tcPr>
          <w:p>
            <w:pPr>
              <w:spacing w:after="0"/>
              <w:rPr>
                <w:sz w:val="16"/>
                <w:szCs w:val="16"/>
                <w:color w:val="auto"/>
              </w:rPr>
            </w:pP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39598"/>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39598"/>
            </w:tcBorders>
            <w:gridSpan w:val="2"/>
          </w:tcPr>
          <w:p>
            <w:pPr>
              <w:ind w:left="5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09"/>
              <w:spacing w:after="0"/>
              <w:rPr>
                <w:sz w:val="20"/>
                <w:szCs w:val="20"/>
                <w:color w:val="auto"/>
              </w:rPr>
            </w:pPr>
            <w:r>
              <w:rPr>
                <w:rFonts w:ascii="Arial" w:cs="Arial" w:eastAsia="Arial" w:hAnsi="Arial"/>
                <w:sz w:val="14"/>
                <w:szCs w:val="14"/>
                <w:color w:val="auto"/>
              </w:rPr>
              <w:t>13</w:t>
            </w:r>
          </w:p>
        </w:tc>
        <w:tc>
          <w:tcPr>
            <w:tcW w:w="760" w:type="dxa"/>
            <w:vAlign w:val="bottom"/>
            <w:tcBorders>
              <w:bottom w:val="single" w:sz="8" w:color="959595"/>
            </w:tcBorders>
          </w:tcPr>
          <w:p>
            <w:pPr>
              <w:jc w:val="center"/>
              <w:ind w:left="129"/>
              <w:spacing w:after="0"/>
              <w:rPr>
                <w:sz w:val="20"/>
                <w:szCs w:val="20"/>
                <w:color w:val="auto"/>
              </w:rPr>
            </w:pPr>
            <w:r>
              <w:rPr>
                <w:rFonts w:ascii="Arial" w:cs="Arial" w:eastAsia="Arial" w:hAnsi="Arial"/>
                <w:sz w:val="14"/>
                <w:szCs w:val="14"/>
                <w:color w:val="auto"/>
              </w:rPr>
              <w:t>198</w:t>
            </w:r>
          </w:p>
        </w:tc>
        <w:tc>
          <w:tcPr>
            <w:tcW w:w="720" w:type="dxa"/>
            <w:vAlign w:val="bottom"/>
            <w:tcBorders>
              <w:bottom w:val="single" w:sz="8" w:color="959595"/>
            </w:tcBorders>
          </w:tcPr>
          <w:p>
            <w:pPr>
              <w:jc w:val="center"/>
              <w:ind w:left="409"/>
              <w:spacing w:after="0"/>
              <w:rPr>
                <w:sz w:val="20"/>
                <w:szCs w:val="20"/>
                <w:color w:val="auto"/>
              </w:rPr>
            </w:pPr>
            <w:r>
              <w:rPr>
                <w:rFonts w:ascii="Arial" w:cs="Arial" w:eastAsia="Arial" w:hAnsi="Arial"/>
                <w:sz w:val="14"/>
                <w:szCs w:val="14"/>
                <w:color w:val="auto"/>
              </w:rPr>
              <w:t>396</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94,366</w:t>
            </w: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Richard F. Ambrose</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MICP</w:t>
            </w:r>
          </w:p>
        </w:tc>
        <w:tc>
          <w:tcPr>
            <w:tcW w:w="92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68,723</w:t>
            </w:r>
          </w:p>
        </w:tc>
        <w:tc>
          <w:tcPr>
            <w:tcW w:w="980" w:type="dxa"/>
            <w:vAlign w:val="bottom"/>
            <w:shd w:val="clear" w:color="auto" w:fill="E5E7EF"/>
          </w:tcPr>
          <w:p>
            <w:pPr>
              <w:jc w:val="right"/>
              <w:ind w:right="49"/>
              <w:spacing w:after="0"/>
              <w:rPr>
                <w:sz w:val="20"/>
                <w:szCs w:val="20"/>
                <w:color w:val="auto"/>
              </w:rPr>
            </w:pPr>
            <w:r>
              <w:rPr>
                <w:rFonts w:ascii="Arial" w:cs="Arial" w:eastAsia="Arial" w:hAnsi="Arial"/>
                <w:sz w:val="14"/>
                <w:szCs w:val="14"/>
                <w:color w:val="auto"/>
              </w:rPr>
              <w:t>981,750</w:t>
            </w:r>
          </w:p>
        </w:tc>
        <w:tc>
          <w:tcPr>
            <w:tcW w:w="7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1,963,500</w:t>
            </w:r>
          </w:p>
        </w:tc>
        <w:tc>
          <w:tcPr>
            <w:tcW w:w="100" w:type="dxa"/>
            <w:vAlign w:val="bottom"/>
            <w:shd w:val="clear" w:color="auto" w:fill="E5E7EF"/>
          </w:tcPr>
          <w:p>
            <w:pPr>
              <w:spacing w:after="0"/>
              <w:rPr>
                <w:sz w:val="15"/>
                <w:szCs w:val="15"/>
                <w:color w:val="auto"/>
              </w:rPr>
            </w:pPr>
          </w:p>
        </w:tc>
        <w:tc>
          <w:tcPr>
            <w:tcW w:w="980" w:type="dxa"/>
            <w:vAlign w:val="bottom"/>
            <w:shd w:val="clear" w:color="auto" w:fill="E5E7EF"/>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E5E7EF"/>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7EF"/>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2/27/2020</w:t>
            </w:r>
          </w:p>
        </w:tc>
        <w:tc>
          <w:tcPr>
            <w:tcW w:w="880" w:type="dxa"/>
            <w:vAlign w:val="bottom"/>
          </w:tcPr>
          <w:p>
            <w:pPr>
              <w:jc w:val="right"/>
              <w:spacing w:after="0"/>
              <w:rPr>
                <w:sz w:val="20"/>
                <w:szCs w:val="20"/>
                <w:color w:val="auto"/>
              </w:rPr>
            </w:pPr>
            <w:r>
              <w:rPr>
                <w:rFonts w:ascii="Arial" w:cs="Arial" w:eastAsia="Arial" w:hAnsi="Arial"/>
                <w:sz w:val="14"/>
                <w:szCs w:val="14"/>
                <w:color w:val="auto"/>
              </w:rPr>
              <w:t>2/27/2020</w:t>
            </w:r>
          </w:p>
        </w:tc>
        <w:tc>
          <w:tcPr>
            <w:tcW w:w="560" w:type="dxa"/>
            <w:vAlign w:val="bottom"/>
          </w:tcPr>
          <w:p>
            <w:pPr>
              <w:jc w:val="right"/>
              <w:spacing w:after="0"/>
              <w:rPr>
                <w:sz w:val="20"/>
                <w:szCs w:val="20"/>
                <w:color w:val="auto"/>
              </w:rPr>
            </w:pPr>
            <w:r>
              <w:rPr>
                <w:rFonts w:ascii="Arial" w:cs="Arial" w:eastAsia="Arial" w:hAnsi="Arial"/>
                <w:sz w:val="14"/>
                <w:szCs w:val="14"/>
                <w:color w:val="auto"/>
              </w:rPr>
              <w:t>RSU</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80" w:type="dxa"/>
            <w:vAlign w:val="bottom"/>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3,120</w:t>
            </w:r>
          </w:p>
        </w:tc>
        <w:tc>
          <w:tcPr>
            <w:tcW w:w="1100" w:type="dxa"/>
            <w:vAlign w:val="bottom"/>
          </w:tcPr>
          <w:p>
            <w:pPr>
              <w:jc w:val="right"/>
              <w:spacing w:after="0"/>
              <w:rPr>
                <w:sz w:val="20"/>
                <w:szCs w:val="20"/>
                <w:color w:val="auto"/>
              </w:rPr>
            </w:pPr>
            <w:r>
              <w:rPr>
                <w:rFonts w:ascii="Arial" w:cs="Arial" w:eastAsia="Arial" w:hAnsi="Arial"/>
                <w:sz w:val="14"/>
                <w:szCs w:val="14"/>
                <w:color w:val="auto"/>
              </w:rPr>
              <w:t>1,198,610</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49,600</w:t>
            </w:r>
          </w:p>
        </w:tc>
        <w:tc>
          <w:tcPr>
            <w:tcW w:w="980" w:type="dxa"/>
            <w:vAlign w:val="bottom"/>
            <w:shd w:val="clear" w:color="auto" w:fill="E5E7EF"/>
          </w:tcPr>
          <w:p>
            <w:pPr>
              <w:jc w:val="right"/>
              <w:ind w:right="49"/>
              <w:spacing w:after="0"/>
              <w:rPr>
                <w:sz w:val="20"/>
                <w:szCs w:val="20"/>
                <w:color w:val="auto"/>
              </w:rPr>
            </w:pPr>
            <w:r>
              <w:rPr>
                <w:rFonts w:ascii="Arial" w:cs="Arial" w:eastAsia="Arial" w:hAnsi="Arial"/>
                <w:sz w:val="14"/>
                <w:szCs w:val="14"/>
                <w:color w:val="auto"/>
              </w:rPr>
              <w:t>800,000</w:t>
            </w:r>
          </w:p>
        </w:tc>
        <w:tc>
          <w:tcPr>
            <w:tcW w:w="7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1,600,000</w:t>
            </w:r>
          </w:p>
        </w:tc>
        <w:tc>
          <w:tcPr>
            <w:tcW w:w="100" w:type="dxa"/>
            <w:vAlign w:val="bottom"/>
            <w:shd w:val="clear" w:color="auto" w:fill="E5E7EF"/>
          </w:tcPr>
          <w:p>
            <w:pPr>
              <w:spacing w:after="0"/>
              <w:rPr>
                <w:sz w:val="16"/>
                <w:szCs w:val="16"/>
                <w:color w:val="auto"/>
              </w:rPr>
            </w:pPr>
          </w:p>
        </w:tc>
        <w:tc>
          <w:tcPr>
            <w:tcW w:w="980" w:type="dxa"/>
            <w:vAlign w:val="bottom"/>
            <w:shd w:val="clear" w:color="auto" w:fill="E5E7EF"/>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E5E7EF"/>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7EF"/>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959595"/>
            </w:tcBorders>
          </w:tcPr>
          <w:p>
            <w:pPr>
              <w:spacing w:after="0"/>
              <w:rPr>
                <w:sz w:val="16"/>
                <w:szCs w:val="16"/>
                <w:color w:val="auto"/>
              </w:rPr>
            </w:pP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2/27/2020</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2/27/2020</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PSU</w:t>
            </w:r>
          </w:p>
        </w:tc>
        <w:tc>
          <w:tcPr>
            <w:tcW w:w="100" w:type="dxa"/>
            <w:vAlign w:val="bottom"/>
            <w:tcBorders>
              <w:bottom w:val="single" w:sz="8" w:color="959595"/>
            </w:tcBorders>
          </w:tcPr>
          <w:p>
            <w:pPr>
              <w:spacing w:after="0"/>
              <w:rPr>
                <w:sz w:val="16"/>
                <w:szCs w:val="16"/>
                <w:color w:val="auto"/>
              </w:rPr>
            </w:pP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gridSpan w:val="2"/>
          </w:tcPr>
          <w:p>
            <w:pPr>
              <w:ind w:left="5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center"/>
              <w:ind w:left="309"/>
              <w:spacing w:after="0"/>
              <w:rPr>
                <w:sz w:val="20"/>
                <w:szCs w:val="20"/>
                <w:color w:val="auto"/>
              </w:rPr>
            </w:pPr>
            <w:r>
              <w:rPr>
                <w:rFonts w:ascii="Arial" w:cs="Arial" w:eastAsia="Arial" w:hAnsi="Arial"/>
                <w:sz w:val="14"/>
                <w:szCs w:val="14"/>
                <w:color w:val="auto"/>
              </w:rPr>
              <w:t>326</w:t>
            </w:r>
          </w:p>
        </w:tc>
        <w:tc>
          <w:tcPr>
            <w:tcW w:w="760" w:type="dxa"/>
            <w:vAlign w:val="bottom"/>
            <w:tcBorders>
              <w:bottom w:val="single" w:sz="8" w:color="959595"/>
            </w:tcBorders>
          </w:tcPr>
          <w:p>
            <w:pPr>
              <w:jc w:val="right"/>
              <w:ind w:right="89"/>
              <w:spacing w:after="0"/>
              <w:rPr>
                <w:sz w:val="20"/>
                <w:szCs w:val="20"/>
                <w:color w:val="auto"/>
              </w:rPr>
            </w:pPr>
            <w:r>
              <w:rPr>
                <w:rFonts w:ascii="Arial" w:cs="Arial" w:eastAsia="Arial" w:hAnsi="Arial"/>
                <w:sz w:val="14"/>
                <w:szCs w:val="14"/>
                <w:color w:val="auto"/>
              </w:rPr>
              <w:t>5,201</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10,402</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2,219,855</w:t>
            </w: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Michele A. Evans</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MICP</w:t>
            </w:r>
          </w:p>
        </w:tc>
        <w:tc>
          <w:tcPr>
            <w:tcW w:w="92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68,723</w:t>
            </w:r>
          </w:p>
        </w:tc>
        <w:tc>
          <w:tcPr>
            <w:tcW w:w="980" w:type="dxa"/>
            <w:vAlign w:val="bottom"/>
            <w:shd w:val="clear" w:color="auto" w:fill="E5E7EF"/>
          </w:tcPr>
          <w:p>
            <w:pPr>
              <w:jc w:val="right"/>
              <w:ind w:right="49"/>
              <w:spacing w:after="0"/>
              <w:rPr>
                <w:sz w:val="20"/>
                <w:szCs w:val="20"/>
                <w:color w:val="auto"/>
              </w:rPr>
            </w:pPr>
            <w:r>
              <w:rPr>
                <w:rFonts w:ascii="Arial" w:cs="Arial" w:eastAsia="Arial" w:hAnsi="Arial"/>
                <w:sz w:val="14"/>
                <w:szCs w:val="14"/>
                <w:color w:val="auto"/>
              </w:rPr>
              <w:t>981,750</w:t>
            </w:r>
          </w:p>
        </w:tc>
        <w:tc>
          <w:tcPr>
            <w:tcW w:w="7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1,963,500</w:t>
            </w:r>
          </w:p>
        </w:tc>
        <w:tc>
          <w:tcPr>
            <w:tcW w:w="100" w:type="dxa"/>
            <w:vAlign w:val="bottom"/>
            <w:shd w:val="clear" w:color="auto" w:fill="E5E7EF"/>
          </w:tcPr>
          <w:p>
            <w:pPr>
              <w:spacing w:after="0"/>
              <w:rPr>
                <w:sz w:val="15"/>
                <w:szCs w:val="15"/>
                <w:color w:val="auto"/>
              </w:rPr>
            </w:pPr>
          </w:p>
        </w:tc>
        <w:tc>
          <w:tcPr>
            <w:tcW w:w="980" w:type="dxa"/>
            <w:vAlign w:val="bottom"/>
            <w:shd w:val="clear" w:color="auto" w:fill="E5E7EF"/>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E5E7EF"/>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7EF"/>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2/27/2020</w:t>
            </w:r>
          </w:p>
        </w:tc>
        <w:tc>
          <w:tcPr>
            <w:tcW w:w="880" w:type="dxa"/>
            <w:vAlign w:val="bottom"/>
          </w:tcPr>
          <w:p>
            <w:pPr>
              <w:jc w:val="right"/>
              <w:spacing w:after="0"/>
              <w:rPr>
                <w:sz w:val="20"/>
                <w:szCs w:val="20"/>
                <w:color w:val="auto"/>
              </w:rPr>
            </w:pPr>
            <w:r>
              <w:rPr>
                <w:rFonts w:ascii="Arial" w:cs="Arial" w:eastAsia="Arial" w:hAnsi="Arial"/>
                <w:sz w:val="14"/>
                <w:szCs w:val="14"/>
                <w:color w:val="auto"/>
              </w:rPr>
              <w:t>2/27/2020</w:t>
            </w:r>
          </w:p>
        </w:tc>
        <w:tc>
          <w:tcPr>
            <w:tcW w:w="560" w:type="dxa"/>
            <w:vAlign w:val="bottom"/>
          </w:tcPr>
          <w:p>
            <w:pPr>
              <w:jc w:val="right"/>
              <w:spacing w:after="0"/>
              <w:rPr>
                <w:sz w:val="20"/>
                <w:szCs w:val="20"/>
                <w:color w:val="auto"/>
              </w:rPr>
            </w:pPr>
            <w:r>
              <w:rPr>
                <w:rFonts w:ascii="Arial" w:cs="Arial" w:eastAsia="Arial" w:hAnsi="Arial"/>
                <w:sz w:val="14"/>
                <w:szCs w:val="14"/>
                <w:color w:val="auto"/>
              </w:rPr>
              <w:t>RSU</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80" w:type="dxa"/>
            <w:vAlign w:val="bottom"/>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3,510</w:t>
            </w:r>
          </w:p>
        </w:tc>
        <w:tc>
          <w:tcPr>
            <w:tcW w:w="1100" w:type="dxa"/>
            <w:vAlign w:val="bottom"/>
          </w:tcPr>
          <w:p>
            <w:pPr>
              <w:jc w:val="right"/>
              <w:spacing w:after="0"/>
              <w:rPr>
                <w:sz w:val="20"/>
                <w:szCs w:val="20"/>
                <w:color w:val="auto"/>
              </w:rPr>
            </w:pPr>
            <w:r>
              <w:rPr>
                <w:rFonts w:ascii="Arial" w:cs="Arial" w:eastAsia="Arial" w:hAnsi="Arial"/>
                <w:sz w:val="14"/>
                <w:szCs w:val="14"/>
                <w:color w:val="auto"/>
              </w:rPr>
              <w:t>1,348,437</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56,250</w:t>
            </w:r>
          </w:p>
        </w:tc>
        <w:tc>
          <w:tcPr>
            <w:tcW w:w="980" w:type="dxa"/>
            <w:vAlign w:val="bottom"/>
            <w:shd w:val="clear" w:color="auto" w:fill="E5E7EF"/>
          </w:tcPr>
          <w:p>
            <w:pPr>
              <w:jc w:val="right"/>
              <w:ind w:right="49"/>
              <w:spacing w:after="0"/>
              <w:rPr>
                <w:sz w:val="20"/>
                <w:szCs w:val="20"/>
                <w:color w:val="auto"/>
              </w:rPr>
            </w:pPr>
            <w:r>
              <w:rPr>
                <w:rFonts w:ascii="Arial" w:cs="Arial" w:eastAsia="Arial" w:hAnsi="Arial"/>
                <w:sz w:val="14"/>
                <w:szCs w:val="14"/>
                <w:color w:val="auto"/>
              </w:rPr>
              <w:t>900,000</w:t>
            </w:r>
          </w:p>
        </w:tc>
        <w:tc>
          <w:tcPr>
            <w:tcW w:w="7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1,800,000</w:t>
            </w:r>
          </w:p>
        </w:tc>
        <w:tc>
          <w:tcPr>
            <w:tcW w:w="100" w:type="dxa"/>
            <w:vAlign w:val="bottom"/>
            <w:shd w:val="clear" w:color="auto" w:fill="E5E7EF"/>
          </w:tcPr>
          <w:p>
            <w:pPr>
              <w:spacing w:after="0"/>
              <w:rPr>
                <w:sz w:val="16"/>
                <w:szCs w:val="16"/>
                <w:color w:val="auto"/>
              </w:rPr>
            </w:pPr>
          </w:p>
        </w:tc>
        <w:tc>
          <w:tcPr>
            <w:tcW w:w="980" w:type="dxa"/>
            <w:vAlign w:val="bottom"/>
            <w:shd w:val="clear" w:color="auto" w:fill="E5E7EF"/>
          </w:tcPr>
          <w:p>
            <w:pPr>
              <w:jc w:val="center"/>
              <w:ind w:left="329"/>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E5E7EF"/>
          </w:tcPr>
          <w:p>
            <w:pPr>
              <w:jc w:val="center"/>
              <w:ind w:left="149"/>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E5E7EF"/>
          </w:tcPr>
          <w:p>
            <w:pPr>
              <w:jc w:val="center"/>
              <w:ind w:left="389"/>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E5E7E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959595"/>
            </w:tcBorders>
          </w:tcPr>
          <w:p>
            <w:pPr>
              <w:spacing w:after="0"/>
              <w:rPr>
                <w:sz w:val="16"/>
                <w:szCs w:val="16"/>
                <w:color w:val="auto"/>
              </w:rPr>
            </w:pP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2/27/2020</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2/27/2020</w:t>
            </w:r>
          </w:p>
        </w:tc>
        <w:tc>
          <w:tcPr>
            <w:tcW w:w="5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PSU</w:t>
            </w:r>
          </w:p>
        </w:tc>
        <w:tc>
          <w:tcPr>
            <w:tcW w:w="100" w:type="dxa"/>
            <w:vAlign w:val="bottom"/>
            <w:tcBorders>
              <w:bottom w:val="single" w:sz="8" w:color="959595"/>
            </w:tcBorders>
          </w:tcPr>
          <w:p>
            <w:pPr>
              <w:spacing w:after="0"/>
              <w:rPr>
                <w:sz w:val="16"/>
                <w:szCs w:val="16"/>
                <w:color w:val="auto"/>
              </w:rPr>
            </w:pP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gridSpan w:val="2"/>
          </w:tcPr>
          <w:p>
            <w:pPr>
              <w:ind w:left="5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center"/>
              <w:ind w:left="309"/>
              <w:spacing w:after="0"/>
              <w:rPr>
                <w:sz w:val="20"/>
                <w:szCs w:val="20"/>
                <w:color w:val="auto"/>
              </w:rPr>
            </w:pPr>
            <w:r>
              <w:rPr>
                <w:rFonts w:ascii="Arial" w:cs="Arial" w:eastAsia="Arial" w:hAnsi="Arial"/>
                <w:sz w:val="14"/>
                <w:szCs w:val="14"/>
                <w:color w:val="auto"/>
              </w:rPr>
              <w:t>366</w:t>
            </w:r>
          </w:p>
        </w:tc>
        <w:tc>
          <w:tcPr>
            <w:tcW w:w="760" w:type="dxa"/>
            <w:vAlign w:val="bottom"/>
            <w:tcBorders>
              <w:bottom w:val="single" w:sz="8" w:color="959595"/>
            </w:tcBorders>
          </w:tcPr>
          <w:p>
            <w:pPr>
              <w:jc w:val="right"/>
              <w:ind w:right="89"/>
              <w:spacing w:after="0"/>
              <w:rPr>
                <w:sz w:val="20"/>
                <w:szCs w:val="20"/>
                <w:color w:val="auto"/>
              </w:rPr>
            </w:pPr>
            <w:r>
              <w:rPr>
                <w:rFonts w:ascii="Arial" w:cs="Arial" w:eastAsia="Arial" w:hAnsi="Arial"/>
                <w:sz w:val="14"/>
                <w:szCs w:val="14"/>
                <w:color w:val="auto"/>
              </w:rPr>
              <w:t>5,851</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11,702</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2,497,279</w:t>
            </w:r>
          </w:p>
        </w:tc>
        <w:tc>
          <w:tcPr>
            <w:tcW w:w="0" w:type="dxa"/>
            <w:vAlign w:val="bottom"/>
          </w:tcPr>
          <w:p>
            <w:pPr>
              <w:spacing w:after="0"/>
              <w:rPr>
                <w:sz w:val="1"/>
                <w:szCs w:val="1"/>
                <w:color w:val="auto"/>
              </w:rPr>
            </w:pPr>
          </w:p>
        </w:tc>
      </w:tr>
      <w:tr>
        <w:trPr>
          <w:trHeight w:val="724"/>
        </w:trPr>
        <w:tc>
          <w:tcPr>
            <w:tcW w:w="1720" w:type="dxa"/>
            <w:vAlign w:val="bottom"/>
          </w:tcPr>
          <w:p>
            <w:pPr>
              <w:ind w:left="20"/>
              <w:spacing w:after="0"/>
              <w:rPr>
                <w:sz w:val="20"/>
                <w:szCs w:val="20"/>
                <w:color w:val="auto"/>
              </w:rPr>
            </w:pPr>
            <w:r>
              <w:rPr>
                <w:rFonts w:ascii="Arial" w:cs="Arial" w:eastAsia="Arial" w:hAnsi="Arial"/>
                <w:sz w:val="14"/>
                <w:szCs w:val="14"/>
                <w:b w:val="1"/>
                <w:bCs w:val="1"/>
                <w:color w:val="808080"/>
              </w:rPr>
              <w:t>62</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-197485</wp:posOffset>
            </wp:positionV>
            <wp:extent cx="969010" cy="2228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color w:val="475C90"/>
        </w:rPr>
        <w:t>Estimated Future Payouts Under Non-Equity Incentive Plan Awards (Columns (c), (d) and (e))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Includes annual incentive grants (MICP) for 2020 and LTIP grants for the 2020-2022 performance period ending December 31, 2022.</w:t>
      </w:r>
    </w:p>
    <w:p>
      <w:pPr>
        <w:spacing w:after="0" w:line="12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MICP measures performance over a one-year period and is described under “2020 Annual Incentive” on page 48. The threshold, or minimum amount payable (assuming an award is earned), is 7% of target while the maximum is 200% of target.</w:t>
      </w:r>
    </w:p>
    <w:p>
      <w:pPr>
        <w:spacing w:after="0" w:line="9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LTIP award measures performance against three separate metrics described under “2020 Long-Term Incentive Compensation” on page 50. The threshold is the minimum amount payable for a specified level of performance stated in the LTIP award agreement. For the 2020-2022 award, the threshold amount payable is 6.25% of the target award. The maximum award payable under the LTIP award is 200% of target value. Awards are subject to forfeiture upon termination of employment prior to the end of the performance period, except in the event of retirement, death, disability, divestiture, layoff or change in control. If death, disability, or divestiture occurs prior to the end of the performance period, LTIP awards are prorated. If the employee retires or is laid off after six months from the date of grant, but prior to the end of the performance period, the LTIP awards are prorated. Following a change in control, the 2020-2022 LTIP awards vest at the target amount upon involuntary termination without cause or voluntary termination with good reason or if the successor does not assume the LTIP awards.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Mr. Taiclet's threshold, target and maximum for his MICP grant are prorated based on time served during fiscal year 2020.</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475C90"/>
        </w:rPr>
        <w:t>Estimated Future Payouts Under Equity Incentive Plan Awards (Columns (f), (g) and (h))</w:t>
      </w:r>
    </w:p>
    <w:p>
      <w:pPr>
        <w:spacing w:after="0" w:line="123"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table includes PSU awards for the 2020-2022 performance period ending December 31, 2022. PSU awards typically have a three-year vesting period ending on the third anniversary of the date of grant (i.e., February 27, 2023 for the February 27, 2020 grants); however, the July 27, 2020 PSU grants have the same performance period and vesting end date as the February 27, 2020 grants. At the end of the vesting period, the amount earned is payable in shares of stock and cash representing deferred dividend equivalents accrued on the earned shares during the three-year performance period. PSU awards are subject to forfeiture upon termination of employment prior to the end of the vesting period, except in the event of retirement or layoff occurring after six months from the date of grant or in the event of death, disability or divestiture. In any of these events, PSU awards are paid out at the end of the vesting period on a prorated basis. Following a change in control, the PSUs vest at the target amount upon involuntary termination without cause or voluntary termination with good reason or if the successor does not assume the PSUs.</w:t>
      </w:r>
    </w:p>
    <w:p>
      <w:pPr>
        <w:spacing w:after="0" w:line="103"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Shares are earned under the PSU awards based upon performance against three separate metrics described under “PSU Awards” on page 51. If performance falls below the threshold level of performance, no shares would be earned. Assuming any payment is earned, the minimum amount payable under the PSU award is 6.25% of the target shares, the lowest level payable under any of these metrics. The maximum number of shares payable under the PSU is 200% of the number of target shares.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color w:val="475C90"/>
        </w:rPr>
        <w:t>All Other Stock Awards: Number of Shares of Stock (Column (i))</w:t>
      </w:r>
    </w:p>
    <w:p>
      <w:pPr>
        <w:spacing w:after="0" w:line="12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Shows the number of RSUs granted on February 27, 2020 and July 27, 2020. All RSU awards vest on the third anniversary of the date of grant except for the award of 14,869 RSUs granted to Mr. Taiclet as an equity replacement award to offset forfeited unvested incentive awards from his former employer. Of the 14,869 RSUs granted to Mr. Taiclet as an equity replacement award, 7,689 RSUs vest on the first anniversary of the grant date and 7,180 RSUs vest on the second anniversary of the grant date. RSU awards other than Mr. Taiclet's equity replacement award are subject to forfeiture upon termination of employment prior to the end of the vesting period, except in the event of retirement or layoff occurring after six months from the date of grant or death, disability or divestiture. RSU awards vest immediately upon death or disability. RSU awards are prorated upon divestiture if not assumed by the successor. Following a change in control, the RSUs vest upon involuntary termination without cause or voluntary termination for good reason or if the successor does not assume the RSUs. If the employee retires or is laid off after six months from the date of grant, but prior to the third anniversary of the date of grant, the RSUs become nonforfeitable and are paid at the end of the vesting period. Mr. Taiclet's equity replacement award is subject to the same provisions described above except in the event of retirement and layoff. In the event of retirement, Mr. Taiclet will forfeit all unvested RSUs. In the event of a layoff before the first anniversary of the grant date, 7,689 RSUs will immediately vest and the remainder will be forfeited. In the event of a layoff after the first anniversary but before the second anniversary of the date of grant, all remaining unvested RSUs will immediately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63</w:t>
      </w:r>
    </w:p>
    <w:p>
      <w:pPr>
        <w:sectPr>
          <w:pgSz w:w="11900" w:h="16838" w:orient="portrait"/>
          <w:cols w:equalWidth="0" w:num="1">
            <w:col w:w="11240"/>
          </w:cols>
          <w:pgMar w:left="320" w:top="609" w:right="339" w:bottom="1440" w:gutter="0" w:footer="0" w:header="0"/>
        </w:sectPr>
      </w:pPr>
    </w:p>
    <w:bookmarkStart w:id="67" w:name="page68"/>
    <w:bookmarkEnd w:id="67"/>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During the vesting period, deferred dividend equivalents are accrued and subject to the same vesting schedule as the underlying RSUs. At the end of the vesting period, the RSUs are paid in shares of stock and the deferred dividend equivalents are paid in cash. If any tax withholding is required on the 2020 RSUs and deferred dividend equivalents during the vesting period (for example, on account of retirement eligibility), the RSUs provide for accelerated vesting of the number of shares and deferred dividend equivalents required to satisfy the tax withholding. The award is then reduced by the number of shares and deferred dividend equivalents subject to acceleration of vesting for tax withholding.</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for Mr. Taiclet, column (i) shows the annual award of stock units on January 30, 2020 under the Director's Equity Plan (DEP) made to Mr. Taiclet in his capacity as a non-employee director. This award was forfeited by Mr. Taiclet upon his commencement of employment as President and Chief Executive Officer on June 15, 2020.</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color w:val="475C90"/>
        </w:rPr>
        <w:t>Grant Date Fair Value of Stock Awards (Column (l))</w:t>
      </w:r>
    </w:p>
    <w:p>
      <w:pPr>
        <w:spacing w:after="0" w:line="12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Represents the aggregate grant date fair value computed in accordance with FASB ASC 718 for RSUs and PSUs granted in 2020 and stock units granted under the DEP in 2020, disregarding potential forfeitures based on service requirements.</w:t>
      </w:r>
    </w:p>
    <w:p>
      <w:pPr>
        <w:spacing w:after="0" w:line="90"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grant date fair value of the February 27, 2020, July 27, 2020 RSU grants (other than Mr. Taiclet's equity replacement award) and Mr. Taiclet's equity replacement award are $384.17, $382.01 and $382.07, respectively, per RSU, which is based on the closing price of one share of our common stock on the NYSE on the date of grant, discounted to take into account the deferred dividend equivalents accrued until vesting.</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grant date fair value for the PSUs, which are subject to performance conditions, is based on the probable outcome of each of the three performance conditions. The grant date fair value of $469.44 for February 2020 and $571.15 for July 2020 for the Relative TSR portion of the award is determined using a Monte Carlo simulation model. The grant date fair value of $384.17 for February 2020 and $382.04 for July 2020 for the Performance Cash and ROIC portions of the awards is based on the closing price of one share of our stock on the date of grant, discounted to take into account the deferred dividend equivalents accrued until vesting.</w:t>
      </w:r>
    </w:p>
    <w:p>
      <w:pPr>
        <w:spacing w:after="0" w:line="9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As described in the Compensation Discussion and Analysis on page 40, in determining 2020 awards of RSUs and PSUs other than Mr. Taiclet's replacement award, the closing stock price of Lockheed Martin common stock on the NYSE on the date of grant ($384.60 on February 27, 2020 and $382.09 on July 27, 2020) was used as opposed to the grant date fair value. For Mr. Taiclet's equity replacement award, which was intended to offset forfeited unvested incentives from his former employer estimated to be $5.5 million, the amount of RSUs to be awarded was based on the closing stock price of Lockheed Martin common stock on the NYSE on June 15, 2020 ($373.28), the effective date of Mr. Taiclet's appointment as President and CEO. The use of the closing stock price versus the grant date fair value results in a difference between the amounts described in the Compensation Discussion and Analysis and the Grant Date Fair Value of the Stock Awards reported in column (l).</w:t>
      </w:r>
    </w:p>
    <w:p>
      <w:pPr>
        <w:spacing w:after="0" w:line="9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addition, Mr. Taiclet's award of stock units under the DEP for his 2020 service as a non-employee director had an aggregate grant date fair value computed in accordance with ASC 718 of $162,500. This award was forfeited upon Mr. Taiclet's commencement of employment as President and Chief Executive Officer on June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262255</wp:posOffset>
            </wp:positionV>
            <wp:extent cx="969010" cy="2228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64</w:t>
      </w:r>
    </w:p>
    <w:p>
      <w:pPr>
        <w:sectPr>
          <w:pgSz w:w="11900" w:h="16838" w:orient="portrait"/>
          <w:cols w:equalWidth="0" w:num="1">
            <w:col w:w="11200"/>
          </w:cols>
          <w:pgMar w:left="320" w:top="609" w:right="379" w:bottom="1440" w:gutter="0" w:footer="0" w:header="0"/>
        </w:sectPr>
      </w:pPr>
    </w:p>
    <w:bookmarkStart w:id="68" w:name="page69"/>
    <w:bookmarkEnd w:id="68"/>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Outstanding Equity Awards at 2020 Fiscal Year-End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20" w:type="dxa"/>
            <w:vAlign w:val="bottom"/>
            <w:tcBorders>
              <w:bottom w:val="single" w:sz="8" w:color="E5E7EF"/>
            </w:tcBorders>
            <w:shd w:val="clear" w:color="auto" w:fill="E5E7EF"/>
          </w:tcPr>
          <w:p>
            <w:pPr>
              <w:spacing w:after="0"/>
              <w:rPr>
                <w:sz w:val="17"/>
                <w:szCs w:val="17"/>
                <w:color w:val="auto"/>
              </w:rPr>
            </w:pPr>
          </w:p>
        </w:tc>
        <w:tc>
          <w:tcPr>
            <w:tcW w:w="1820" w:type="dxa"/>
            <w:vAlign w:val="bottom"/>
            <w:tcBorders>
              <w:bottom w:val="single" w:sz="8" w:color="E5E7EF"/>
            </w:tcBorders>
            <w:gridSpan w:val="2"/>
            <w:shd w:val="clear" w:color="auto" w:fill="E5E7EF"/>
          </w:tcPr>
          <w:p>
            <w:pPr>
              <w:jc w:val="right"/>
              <w:spacing w:after="0"/>
              <w:rPr>
                <w:sz w:val="20"/>
                <w:szCs w:val="20"/>
                <w:color w:val="auto"/>
              </w:rPr>
            </w:pPr>
            <w:r>
              <w:rPr>
                <w:rFonts w:ascii="Arial" w:cs="Arial" w:eastAsia="Arial" w:hAnsi="Arial"/>
                <w:sz w:val="13"/>
                <w:szCs w:val="13"/>
                <w:color w:val="auto"/>
              </w:rPr>
              <w:t>Option Awards</w:t>
            </w:r>
          </w:p>
        </w:tc>
        <w:tc>
          <w:tcPr>
            <w:tcW w:w="880" w:type="dxa"/>
            <w:vAlign w:val="bottom"/>
            <w:tcBorders>
              <w:bottom w:val="single" w:sz="8" w:color="E5E7EF"/>
            </w:tcBorders>
            <w:shd w:val="clear" w:color="auto" w:fill="E5E7EF"/>
          </w:tcPr>
          <w:p>
            <w:pPr>
              <w:spacing w:after="0"/>
              <w:rPr>
                <w:sz w:val="17"/>
                <w:szCs w:val="17"/>
                <w:color w:val="auto"/>
              </w:rPr>
            </w:pPr>
          </w:p>
        </w:tc>
        <w:tc>
          <w:tcPr>
            <w:tcW w:w="220" w:type="dxa"/>
            <w:vAlign w:val="bottom"/>
            <w:tcBorders>
              <w:bottom w:val="single" w:sz="8" w:color="E5E7EF"/>
            </w:tcBorders>
            <w:shd w:val="clear" w:color="auto" w:fill="E5E7EF"/>
          </w:tcPr>
          <w:p>
            <w:pPr>
              <w:spacing w:after="0"/>
              <w:rPr>
                <w:sz w:val="17"/>
                <w:szCs w:val="17"/>
                <w:color w:val="auto"/>
              </w:rPr>
            </w:pPr>
          </w:p>
        </w:tc>
        <w:tc>
          <w:tcPr>
            <w:tcW w:w="860" w:type="dxa"/>
            <w:vAlign w:val="bottom"/>
            <w:tcBorders>
              <w:bottom w:val="single" w:sz="8" w:color="E5E7EF"/>
            </w:tcBorders>
            <w:shd w:val="clear" w:color="auto" w:fill="E5E7EF"/>
          </w:tcPr>
          <w:p>
            <w:pPr>
              <w:spacing w:after="0"/>
              <w:rPr>
                <w:sz w:val="17"/>
                <w:szCs w:val="17"/>
                <w:color w:val="auto"/>
              </w:rPr>
            </w:pPr>
          </w:p>
        </w:tc>
        <w:tc>
          <w:tcPr>
            <w:tcW w:w="360" w:type="dxa"/>
            <w:vAlign w:val="bottom"/>
            <w:tcBorders>
              <w:bottom w:val="single" w:sz="8" w:color="E5E7EF"/>
            </w:tcBorders>
            <w:shd w:val="clear" w:color="auto" w:fill="E5E7EF"/>
          </w:tcPr>
          <w:p>
            <w:pPr>
              <w:spacing w:after="0"/>
              <w:rPr>
                <w:sz w:val="17"/>
                <w:szCs w:val="17"/>
                <w:color w:val="auto"/>
              </w:rPr>
            </w:pPr>
          </w:p>
        </w:tc>
        <w:tc>
          <w:tcPr>
            <w:tcW w:w="2200" w:type="dxa"/>
            <w:vAlign w:val="bottom"/>
            <w:tcBorders>
              <w:bottom w:val="single" w:sz="8" w:color="E5E7EF"/>
            </w:tcBorders>
            <w:gridSpan w:val="2"/>
            <w:shd w:val="clear" w:color="auto" w:fill="E5E7EF"/>
          </w:tcPr>
          <w:p>
            <w:pPr>
              <w:jc w:val="right"/>
              <w:ind w:right="370"/>
              <w:spacing w:after="0"/>
              <w:rPr>
                <w:sz w:val="20"/>
                <w:szCs w:val="20"/>
                <w:color w:val="auto"/>
              </w:rPr>
            </w:pPr>
            <w:r>
              <w:rPr>
                <w:rFonts w:ascii="Arial" w:cs="Arial" w:eastAsia="Arial" w:hAnsi="Arial"/>
                <w:sz w:val="13"/>
                <w:szCs w:val="13"/>
                <w:color w:val="auto"/>
              </w:rPr>
              <w:t>Stock Awards</w:t>
            </w:r>
          </w:p>
        </w:tc>
        <w:tc>
          <w:tcPr>
            <w:tcW w:w="520" w:type="dxa"/>
            <w:vAlign w:val="bottom"/>
            <w:tcBorders>
              <w:bottom w:val="single" w:sz="8" w:color="E5E7EF"/>
            </w:tcBorders>
            <w:shd w:val="clear" w:color="auto" w:fill="E5E7EF"/>
          </w:tcPr>
          <w:p>
            <w:pPr>
              <w:spacing w:after="0"/>
              <w:rPr>
                <w:sz w:val="17"/>
                <w:szCs w:val="17"/>
                <w:color w:val="auto"/>
              </w:rPr>
            </w:pPr>
          </w:p>
        </w:tc>
        <w:tc>
          <w:tcPr>
            <w:tcW w:w="1260" w:type="dxa"/>
            <w:vAlign w:val="bottom"/>
            <w:tcBorders>
              <w:bottom w:val="single" w:sz="8" w:color="E5E7EF"/>
            </w:tcBorders>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20" w:type="dxa"/>
            <w:vAlign w:val="bottom"/>
            <w:tcBorders>
              <w:top w:val="single" w:sz="8" w:color="E5E7EF"/>
            </w:tcBorders>
            <w:shd w:val="clear" w:color="auto" w:fill="E5E7EF"/>
          </w:tcPr>
          <w:p>
            <w:pPr>
              <w:spacing w:after="0"/>
              <w:rPr>
                <w:sz w:val="16"/>
                <w:szCs w:val="16"/>
                <w:color w:val="auto"/>
              </w:rPr>
            </w:pPr>
          </w:p>
        </w:tc>
        <w:tc>
          <w:tcPr>
            <w:tcW w:w="1040" w:type="dxa"/>
            <w:vAlign w:val="bottom"/>
            <w:tcBorders>
              <w:top w:val="single" w:sz="8" w:color="959595"/>
            </w:tcBorders>
            <w:shd w:val="clear" w:color="auto" w:fill="E5E7EF"/>
          </w:tcPr>
          <w:p>
            <w:pPr>
              <w:spacing w:after="0"/>
              <w:rPr>
                <w:sz w:val="16"/>
                <w:szCs w:val="16"/>
                <w:color w:val="auto"/>
              </w:rPr>
            </w:pPr>
          </w:p>
        </w:tc>
        <w:tc>
          <w:tcPr>
            <w:tcW w:w="780" w:type="dxa"/>
            <w:vAlign w:val="bottom"/>
            <w:tcBorders>
              <w:top w:val="single" w:sz="8" w:color="959595"/>
            </w:tcBorders>
            <w:shd w:val="clear" w:color="auto" w:fill="E5E7EF"/>
          </w:tcPr>
          <w:p>
            <w:pPr>
              <w:spacing w:after="0"/>
              <w:rPr>
                <w:sz w:val="16"/>
                <w:szCs w:val="16"/>
                <w:color w:val="auto"/>
              </w:rPr>
            </w:pPr>
          </w:p>
        </w:tc>
        <w:tc>
          <w:tcPr>
            <w:tcW w:w="880" w:type="dxa"/>
            <w:vAlign w:val="bottom"/>
            <w:tcBorders>
              <w:top w:val="single" w:sz="8" w:color="959595"/>
            </w:tcBorders>
            <w:shd w:val="clear" w:color="auto" w:fill="E5E7EF"/>
          </w:tcPr>
          <w:p>
            <w:pPr>
              <w:spacing w:after="0"/>
              <w:rPr>
                <w:sz w:val="16"/>
                <w:szCs w:val="16"/>
                <w:color w:val="auto"/>
              </w:rPr>
            </w:pPr>
          </w:p>
        </w:tc>
        <w:tc>
          <w:tcPr>
            <w:tcW w:w="220" w:type="dxa"/>
            <w:vAlign w:val="bottom"/>
            <w:tcBorders>
              <w:top w:val="single" w:sz="8" w:color="E5E7EF"/>
            </w:tcBorders>
            <w:shd w:val="clear" w:color="auto" w:fill="E5E7EF"/>
          </w:tcPr>
          <w:p>
            <w:pPr>
              <w:spacing w:after="0"/>
              <w:rPr>
                <w:sz w:val="16"/>
                <w:szCs w:val="16"/>
                <w:color w:val="auto"/>
              </w:rPr>
            </w:pPr>
          </w:p>
        </w:tc>
        <w:tc>
          <w:tcPr>
            <w:tcW w:w="860" w:type="dxa"/>
            <w:vAlign w:val="bottom"/>
            <w:tcBorders>
              <w:top w:val="single" w:sz="8" w:color="959595"/>
            </w:tcBorders>
            <w:shd w:val="clear" w:color="auto" w:fill="E5E7EF"/>
          </w:tcPr>
          <w:p>
            <w:pPr>
              <w:spacing w:after="0"/>
              <w:rPr>
                <w:sz w:val="16"/>
                <w:szCs w:val="16"/>
                <w:color w:val="auto"/>
              </w:rPr>
            </w:pPr>
          </w:p>
        </w:tc>
        <w:tc>
          <w:tcPr>
            <w:tcW w:w="360" w:type="dxa"/>
            <w:vAlign w:val="bottom"/>
            <w:tcBorders>
              <w:top w:val="single" w:sz="8" w:color="959595"/>
            </w:tcBorders>
            <w:shd w:val="clear" w:color="auto" w:fill="E5E7EF"/>
          </w:tcPr>
          <w:p>
            <w:pPr>
              <w:spacing w:after="0"/>
              <w:rPr>
                <w:sz w:val="16"/>
                <w:szCs w:val="16"/>
                <w:color w:val="auto"/>
              </w:rPr>
            </w:pPr>
          </w:p>
        </w:tc>
        <w:tc>
          <w:tcPr>
            <w:tcW w:w="1320" w:type="dxa"/>
            <w:vAlign w:val="bottom"/>
            <w:tcBorders>
              <w:top w:val="single" w:sz="8" w:color="959595"/>
            </w:tcBorders>
            <w:shd w:val="clear" w:color="auto" w:fill="E5E7EF"/>
          </w:tcPr>
          <w:p>
            <w:pPr>
              <w:spacing w:after="0"/>
              <w:rPr>
                <w:sz w:val="16"/>
                <w:szCs w:val="16"/>
                <w:color w:val="auto"/>
              </w:rPr>
            </w:pPr>
          </w:p>
        </w:tc>
        <w:tc>
          <w:tcPr>
            <w:tcW w:w="1400" w:type="dxa"/>
            <w:vAlign w:val="bottom"/>
            <w:tcBorders>
              <w:top w:val="single" w:sz="8" w:color="959595"/>
            </w:tcBorders>
            <w:gridSpan w:val="2"/>
            <w:shd w:val="clear" w:color="auto" w:fill="E5E7EF"/>
          </w:tcPr>
          <w:p>
            <w:pPr>
              <w:jc w:val="right"/>
              <w:ind w:right="125"/>
              <w:spacing w:after="0"/>
              <w:rPr>
                <w:sz w:val="20"/>
                <w:szCs w:val="20"/>
                <w:color w:val="auto"/>
              </w:rPr>
            </w:pPr>
            <w:r>
              <w:rPr>
                <w:rFonts w:ascii="Arial" w:cs="Arial" w:eastAsia="Arial" w:hAnsi="Arial"/>
                <w:sz w:val="13"/>
                <w:szCs w:val="13"/>
                <w:color w:val="auto"/>
              </w:rPr>
              <w:t>Equity Incentive</w:t>
            </w:r>
          </w:p>
        </w:tc>
        <w:tc>
          <w:tcPr>
            <w:tcW w:w="1260" w:type="dxa"/>
            <w:vAlign w:val="bottom"/>
            <w:tcBorders>
              <w:top w:val="single" w:sz="8" w:color="959595"/>
            </w:tcBorders>
            <w:shd w:val="clear" w:color="auto" w:fill="E5E7EF"/>
          </w:tcPr>
          <w:p>
            <w:pPr>
              <w:jc w:val="right"/>
              <w:spacing w:after="0"/>
              <w:rPr>
                <w:sz w:val="20"/>
                <w:szCs w:val="20"/>
                <w:color w:val="auto"/>
              </w:rPr>
            </w:pPr>
            <w:r>
              <w:rPr>
                <w:rFonts w:ascii="Arial" w:cs="Arial" w:eastAsia="Arial" w:hAnsi="Arial"/>
                <w:sz w:val="13"/>
                <w:szCs w:val="13"/>
                <w:color w:val="auto"/>
              </w:rPr>
              <w:t>Equity Incentive</w:t>
            </w:r>
          </w:p>
        </w:tc>
        <w:tc>
          <w:tcPr>
            <w:tcW w:w="0" w:type="dxa"/>
            <w:vAlign w:val="bottom"/>
          </w:tcPr>
          <w:p>
            <w:pPr>
              <w:spacing w:after="0"/>
              <w:rPr>
                <w:sz w:val="1"/>
                <w:szCs w:val="1"/>
                <w:color w:val="auto"/>
              </w:rPr>
            </w:pPr>
          </w:p>
        </w:tc>
      </w:tr>
      <w:tr>
        <w:trPr>
          <w:trHeight w:val="149"/>
        </w:trPr>
        <w:tc>
          <w:tcPr>
            <w:tcW w:w="3120" w:type="dxa"/>
            <w:vAlign w:val="bottom"/>
            <w:shd w:val="clear" w:color="auto" w:fill="E5E7EF"/>
          </w:tcPr>
          <w:p>
            <w:pPr>
              <w:spacing w:after="0"/>
              <w:rPr>
                <w:sz w:val="12"/>
                <w:szCs w:val="12"/>
                <w:color w:val="auto"/>
              </w:rPr>
            </w:pPr>
          </w:p>
        </w:tc>
        <w:tc>
          <w:tcPr>
            <w:tcW w:w="10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Number of</w:t>
            </w:r>
          </w:p>
        </w:tc>
        <w:tc>
          <w:tcPr>
            <w:tcW w:w="780" w:type="dxa"/>
            <w:vAlign w:val="bottom"/>
            <w:shd w:val="clear" w:color="auto" w:fill="E5E7EF"/>
          </w:tcPr>
          <w:p>
            <w:pPr>
              <w:spacing w:after="0"/>
              <w:rPr>
                <w:sz w:val="12"/>
                <w:szCs w:val="12"/>
                <w:color w:val="auto"/>
              </w:rPr>
            </w:pPr>
          </w:p>
        </w:tc>
        <w:tc>
          <w:tcPr>
            <w:tcW w:w="880" w:type="dxa"/>
            <w:vAlign w:val="bottom"/>
            <w:shd w:val="clear" w:color="auto" w:fill="E5E7EF"/>
          </w:tcPr>
          <w:p>
            <w:pPr>
              <w:spacing w:after="0"/>
              <w:rPr>
                <w:sz w:val="12"/>
                <w:szCs w:val="12"/>
                <w:color w:val="auto"/>
              </w:rPr>
            </w:pPr>
          </w:p>
        </w:tc>
        <w:tc>
          <w:tcPr>
            <w:tcW w:w="220" w:type="dxa"/>
            <w:vAlign w:val="bottom"/>
            <w:shd w:val="clear" w:color="auto" w:fill="E5E7EF"/>
          </w:tcPr>
          <w:p>
            <w:pPr>
              <w:spacing w:after="0"/>
              <w:rPr>
                <w:sz w:val="12"/>
                <w:szCs w:val="12"/>
                <w:color w:val="auto"/>
              </w:rPr>
            </w:pPr>
          </w:p>
        </w:tc>
        <w:tc>
          <w:tcPr>
            <w:tcW w:w="860" w:type="dxa"/>
            <w:vAlign w:val="bottom"/>
            <w:shd w:val="clear" w:color="auto" w:fill="E5E7EF"/>
          </w:tcPr>
          <w:p>
            <w:pPr>
              <w:spacing w:after="0"/>
              <w:rPr>
                <w:sz w:val="12"/>
                <w:szCs w:val="12"/>
                <w:color w:val="auto"/>
              </w:rPr>
            </w:pPr>
          </w:p>
        </w:tc>
        <w:tc>
          <w:tcPr>
            <w:tcW w:w="360" w:type="dxa"/>
            <w:vAlign w:val="bottom"/>
            <w:shd w:val="clear" w:color="auto" w:fill="E5E7EF"/>
          </w:tcPr>
          <w:p>
            <w:pPr>
              <w:spacing w:after="0"/>
              <w:rPr>
                <w:sz w:val="12"/>
                <w:szCs w:val="12"/>
                <w:color w:val="auto"/>
              </w:rPr>
            </w:pPr>
          </w:p>
        </w:tc>
        <w:tc>
          <w:tcPr>
            <w:tcW w:w="1320" w:type="dxa"/>
            <w:vAlign w:val="bottom"/>
            <w:shd w:val="clear" w:color="auto" w:fill="E5E7EF"/>
          </w:tcPr>
          <w:p>
            <w:pPr>
              <w:spacing w:after="0"/>
              <w:rPr>
                <w:sz w:val="12"/>
                <w:szCs w:val="12"/>
                <w:color w:val="auto"/>
              </w:rPr>
            </w:pPr>
          </w:p>
        </w:tc>
        <w:tc>
          <w:tcPr>
            <w:tcW w:w="1400" w:type="dxa"/>
            <w:vAlign w:val="bottom"/>
            <w:gridSpan w:val="2"/>
            <w:shd w:val="clear" w:color="auto" w:fill="E5E7EF"/>
          </w:tcPr>
          <w:p>
            <w:pPr>
              <w:jc w:val="right"/>
              <w:ind w:right="125"/>
              <w:spacing w:after="0"/>
              <w:rPr>
                <w:sz w:val="20"/>
                <w:szCs w:val="20"/>
                <w:color w:val="auto"/>
              </w:rPr>
            </w:pPr>
            <w:r>
              <w:rPr>
                <w:rFonts w:ascii="Arial" w:cs="Arial" w:eastAsia="Arial" w:hAnsi="Arial"/>
                <w:sz w:val="13"/>
                <w:szCs w:val="13"/>
                <w:color w:val="auto"/>
              </w:rPr>
              <w:t>Plan Awards:</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Plan Awards:</w:t>
            </w:r>
          </w:p>
        </w:tc>
        <w:tc>
          <w:tcPr>
            <w:tcW w:w="0" w:type="dxa"/>
            <w:vAlign w:val="bottom"/>
          </w:tcPr>
          <w:p>
            <w:pPr>
              <w:spacing w:after="0"/>
              <w:rPr>
                <w:sz w:val="1"/>
                <w:szCs w:val="1"/>
                <w:color w:val="auto"/>
              </w:rPr>
            </w:pPr>
          </w:p>
        </w:tc>
      </w:tr>
      <w:tr>
        <w:trPr>
          <w:trHeight w:val="148"/>
        </w:trPr>
        <w:tc>
          <w:tcPr>
            <w:tcW w:w="3120" w:type="dxa"/>
            <w:vAlign w:val="bottom"/>
            <w:shd w:val="clear" w:color="auto" w:fill="E5E7EF"/>
          </w:tcPr>
          <w:p>
            <w:pPr>
              <w:spacing w:after="0"/>
              <w:rPr>
                <w:sz w:val="12"/>
                <w:szCs w:val="12"/>
                <w:color w:val="auto"/>
              </w:rPr>
            </w:pPr>
          </w:p>
        </w:tc>
        <w:tc>
          <w:tcPr>
            <w:tcW w:w="10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Securities</w:t>
            </w:r>
          </w:p>
        </w:tc>
        <w:tc>
          <w:tcPr>
            <w:tcW w:w="780" w:type="dxa"/>
            <w:vAlign w:val="bottom"/>
            <w:shd w:val="clear" w:color="auto" w:fill="E5E7EF"/>
          </w:tcPr>
          <w:p>
            <w:pPr>
              <w:spacing w:after="0"/>
              <w:rPr>
                <w:sz w:val="12"/>
                <w:szCs w:val="12"/>
                <w:color w:val="auto"/>
              </w:rPr>
            </w:pPr>
          </w:p>
        </w:tc>
        <w:tc>
          <w:tcPr>
            <w:tcW w:w="880" w:type="dxa"/>
            <w:vAlign w:val="bottom"/>
            <w:shd w:val="clear" w:color="auto" w:fill="E5E7EF"/>
          </w:tcPr>
          <w:p>
            <w:pPr>
              <w:spacing w:after="0"/>
              <w:rPr>
                <w:sz w:val="12"/>
                <w:szCs w:val="12"/>
                <w:color w:val="auto"/>
              </w:rPr>
            </w:pPr>
          </w:p>
        </w:tc>
        <w:tc>
          <w:tcPr>
            <w:tcW w:w="220" w:type="dxa"/>
            <w:vAlign w:val="bottom"/>
            <w:shd w:val="clear" w:color="auto" w:fill="E5E7EF"/>
          </w:tcPr>
          <w:p>
            <w:pPr>
              <w:spacing w:after="0"/>
              <w:rPr>
                <w:sz w:val="12"/>
                <w:szCs w:val="12"/>
                <w:color w:val="auto"/>
              </w:rPr>
            </w:pPr>
          </w:p>
        </w:tc>
        <w:tc>
          <w:tcPr>
            <w:tcW w:w="860" w:type="dxa"/>
            <w:vAlign w:val="bottom"/>
            <w:shd w:val="clear" w:color="auto" w:fill="E5E7EF"/>
          </w:tcPr>
          <w:p>
            <w:pPr>
              <w:spacing w:after="0"/>
              <w:rPr>
                <w:sz w:val="12"/>
                <w:szCs w:val="12"/>
                <w:color w:val="auto"/>
              </w:rPr>
            </w:pPr>
          </w:p>
        </w:tc>
        <w:tc>
          <w:tcPr>
            <w:tcW w:w="360" w:type="dxa"/>
            <w:vAlign w:val="bottom"/>
            <w:shd w:val="clear" w:color="auto" w:fill="E5E7EF"/>
          </w:tcPr>
          <w:p>
            <w:pPr>
              <w:spacing w:after="0"/>
              <w:rPr>
                <w:sz w:val="12"/>
                <w:szCs w:val="12"/>
                <w:color w:val="auto"/>
              </w:rPr>
            </w:pP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3"/>
                <w:szCs w:val="13"/>
                <w:color w:val="auto"/>
              </w:rPr>
              <w:t>Market Value</w:t>
            </w:r>
          </w:p>
        </w:tc>
        <w:tc>
          <w:tcPr>
            <w:tcW w:w="1400" w:type="dxa"/>
            <w:vAlign w:val="bottom"/>
            <w:gridSpan w:val="2"/>
            <w:shd w:val="clear" w:color="auto" w:fill="E5E7EF"/>
          </w:tcPr>
          <w:p>
            <w:pPr>
              <w:jc w:val="right"/>
              <w:ind w:right="125"/>
              <w:spacing w:after="0"/>
              <w:rPr>
                <w:sz w:val="20"/>
                <w:szCs w:val="20"/>
                <w:color w:val="auto"/>
              </w:rPr>
            </w:pPr>
            <w:r>
              <w:rPr>
                <w:rFonts w:ascii="Arial" w:cs="Arial" w:eastAsia="Arial" w:hAnsi="Arial"/>
                <w:sz w:val="13"/>
                <w:szCs w:val="13"/>
                <w:color w:val="auto"/>
              </w:rPr>
              <w:t>Number of</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Market or Payout</w:t>
            </w:r>
          </w:p>
        </w:tc>
        <w:tc>
          <w:tcPr>
            <w:tcW w:w="0" w:type="dxa"/>
            <w:vAlign w:val="bottom"/>
          </w:tcPr>
          <w:p>
            <w:pPr>
              <w:spacing w:after="0"/>
              <w:rPr>
                <w:sz w:val="1"/>
                <w:szCs w:val="1"/>
                <w:color w:val="auto"/>
              </w:rPr>
            </w:pPr>
          </w:p>
        </w:tc>
      </w:tr>
      <w:tr>
        <w:trPr>
          <w:trHeight w:val="148"/>
        </w:trPr>
        <w:tc>
          <w:tcPr>
            <w:tcW w:w="3120" w:type="dxa"/>
            <w:vAlign w:val="bottom"/>
            <w:shd w:val="clear" w:color="auto" w:fill="E5E7EF"/>
          </w:tcPr>
          <w:p>
            <w:pPr>
              <w:spacing w:after="0"/>
              <w:rPr>
                <w:sz w:val="12"/>
                <w:szCs w:val="12"/>
                <w:color w:val="auto"/>
              </w:rPr>
            </w:pPr>
          </w:p>
        </w:tc>
        <w:tc>
          <w:tcPr>
            <w:tcW w:w="10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Underlying</w:t>
            </w:r>
          </w:p>
        </w:tc>
        <w:tc>
          <w:tcPr>
            <w:tcW w:w="780" w:type="dxa"/>
            <w:vAlign w:val="bottom"/>
            <w:shd w:val="clear" w:color="auto" w:fill="E5E7EF"/>
          </w:tcPr>
          <w:p>
            <w:pPr>
              <w:spacing w:after="0"/>
              <w:rPr>
                <w:sz w:val="12"/>
                <w:szCs w:val="12"/>
                <w:color w:val="auto"/>
              </w:rPr>
            </w:pPr>
          </w:p>
        </w:tc>
        <w:tc>
          <w:tcPr>
            <w:tcW w:w="880" w:type="dxa"/>
            <w:vAlign w:val="bottom"/>
            <w:shd w:val="clear" w:color="auto" w:fill="E5E7EF"/>
          </w:tcPr>
          <w:p>
            <w:pPr>
              <w:spacing w:after="0"/>
              <w:rPr>
                <w:sz w:val="12"/>
                <w:szCs w:val="12"/>
                <w:color w:val="auto"/>
              </w:rPr>
            </w:pPr>
          </w:p>
        </w:tc>
        <w:tc>
          <w:tcPr>
            <w:tcW w:w="220" w:type="dxa"/>
            <w:vAlign w:val="bottom"/>
            <w:shd w:val="clear" w:color="auto" w:fill="E5E7EF"/>
          </w:tcPr>
          <w:p>
            <w:pPr>
              <w:spacing w:after="0"/>
              <w:rPr>
                <w:sz w:val="12"/>
                <w:szCs w:val="12"/>
                <w:color w:val="auto"/>
              </w:rPr>
            </w:pPr>
          </w:p>
        </w:tc>
        <w:tc>
          <w:tcPr>
            <w:tcW w:w="1220" w:type="dxa"/>
            <w:vAlign w:val="bottom"/>
            <w:gridSpan w:val="2"/>
            <w:shd w:val="clear" w:color="auto" w:fill="E5E7EF"/>
          </w:tcPr>
          <w:p>
            <w:pPr>
              <w:jc w:val="right"/>
              <w:spacing w:after="0"/>
              <w:rPr>
                <w:sz w:val="20"/>
                <w:szCs w:val="20"/>
                <w:color w:val="auto"/>
              </w:rPr>
            </w:pPr>
            <w:r>
              <w:rPr>
                <w:rFonts w:ascii="Arial" w:cs="Arial" w:eastAsia="Arial" w:hAnsi="Arial"/>
                <w:sz w:val="13"/>
                <w:szCs w:val="13"/>
                <w:color w:val="auto"/>
              </w:rPr>
              <w:t>Number of</w:t>
            </w: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3"/>
                <w:szCs w:val="13"/>
                <w:color w:val="auto"/>
              </w:rPr>
              <w:t>of Shares or</w:t>
            </w:r>
          </w:p>
        </w:tc>
        <w:tc>
          <w:tcPr>
            <w:tcW w:w="1400" w:type="dxa"/>
            <w:vAlign w:val="bottom"/>
            <w:gridSpan w:val="2"/>
            <w:shd w:val="clear" w:color="auto" w:fill="E5E7EF"/>
          </w:tcPr>
          <w:p>
            <w:pPr>
              <w:jc w:val="right"/>
              <w:ind w:right="125"/>
              <w:spacing w:after="0"/>
              <w:rPr>
                <w:sz w:val="20"/>
                <w:szCs w:val="20"/>
                <w:color w:val="auto"/>
              </w:rPr>
            </w:pPr>
            <w:r>
              <w:rPr>
                <w:rFonts w:ascii="Arial" w:cs="Arial" w:eastAsia="Arial" w:hAnsi="Arial"/>
                <w:sz w:val="13"/>
                <w:szCs w:val="13"/>
                <w:color w:val="auto"/>
              </w:rPr>
              <w:t>Unearned Shares,</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Value of Unearned</w:t>
            </w:r>
          </w:p>
        </w:tc>
        <w:tc>
          <w:tcPr>
            <w:tcW w:w="0" w:type="dxa"/>
            <w:vAlign w:val="bottom"/>
          </w:tcPr>
          <w:p>
            <w:pPr>
              <w:spacing w:after="0"/>
              <w:rPr>
                <w:sz w:val="1"/>
                <w:szCs w:val="1"/>
                <w:color w:val="auto"/>
              </w:rPr>
            </w:pPr>
          </w:p>
        </w:tc>
      </w:tr>
      <w:tr>
        <w:trPr>
          <w:trHeight w:val="148"/>
        </w:trPr>
        <w:tc>
          <w:tcPr>
            <w:tcW w:w="3120" w:type="dxa"/>
            <w:vAlign w:val="bottom"/>
            <w:shd w:val="clear" w:color="auto" w:fill="E5E7EF"/>
          </w:tcPr>
          <w:p>
            <w:pPr>
              <w:spacing w:after="0"/>
              <w:rPr>
                <w:sz w:val="12"/>
                <w:szCs w:val="12"/>
                <w:color w:val="auto"/>
              </w:rPr>
            </w:pPr>
          </w:p>
        </w:tc>
        <w:tc>
          <w:tcPr>
            <w:tcW w:w="10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Unexercised</w:t>
            </w:r>
          </w:p>
        </w:tc>
        <w:tc>
          <w:tcPr>
            <w:tcW w:w="7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Option</w:t>
            </w:r>
          </w:p>
        </w:tc>
        <w:tc>
          <w:tcPr>
            <w:tcW w:w="880" w:type="dxa"/>
            <w:vAlign w:val="bottom"/>
            <w:shd w:val="clear" w:color="auto" w:fill="E5E7EF"/>
          </w:tcPr>
          <w:p>
            <w:pPr>
              <w:spacing w:after="0"/>
              <w:rPr>
                <w:sz w:val="12"/>
                <w:szCs w:val="12"/>
                <w:color w:val="auto"/>
              </w:rPr>
            </w:pPr>
          </w:p>
        </w:tc>
        <w:tc>
          <w:tcPr>
            <w:tcW w:w="220" w:type="dxa"/>
            <w:vAlign w:val="bottom"/>
            <w:shd w:val="clear" w:color="auto" w:fill="E5E7EF"/>
          </w:tcPr>
          <w:p>
            <w:pPr>
              <w:spacing w:after="0"/>
              <w:rPr>
                <w:sz w:val="12"/>
                <w:szCs w:val="12"/>
                <w:color w:val="auto"/>
              </w:rPr>
            </w:pPr>
          </w:p>
        </w:tc>
        <w:tc>
          <w:tcPr>
            <w:tcW w:w="1220" w:type="dxa"/>
            <w:vAlign w:val="bottom"/>
            <w:gridSpan w:val="2"/>
            <w:shd w:val="clear" w:color="auto" w:fill="E5E7EF"/>
          </w:tcPr>
          <w:p>
            <w:pPr>
              <w:jc w:val="right"/>
              <w:spacing w:after="0"/>
              <w:rPr>
                <w:sz w:val="20"/>
                <w:szCs w:val="20"/>
                <w:color w:val="auto"/>
              </w:rPr>
            </w:pPr>
            <w:r>
              <w:rPr>
                <w:rFonts w:ascii="Arial" w:cs="Arial" w:eastAsia="Arial" w:hAnsi="Arial"/>
                <w:sz w:val="13"/>
                <w:szCs w:val="13"/>
                <w:color w:val="auto"/>
              </w:rPr>
              <w:t>Shares or Units</w:t>
            </w: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3"/>
                <w:szCs w:val="13"/>
                <w:color w:val="auto"/>
              </w:rPr>
              <w:t>Units of Stock</w:t>
            </w:r>
          </w:p>
        </w:tc>
        <w:tc>
          <w:tcPr>
            <w:tcW w:w="1400" w:type="dxa"/>
            <w:vAlign w:val="bottom"/>
            <w:gridSpan w:val="2"/>
            <w:shd w:val="clear" w:color="auto" w:fill="E5E7EF"/>
          </w:tcPr>
          <w:p>
            <w:pPr>
              <w:jc w:val="right"/>
              <w:ind w:right="125"/>
              <w:spacing w:after="0"/>
              <w:rPr>
                <w:sz w:val="20"/>
                <w:szCs w:val="20"/>
                <w:color w:val="auto"/>
              </w:rPr>
            </w:pPr>
            <w:r>
              <w:rPr>
                <w:rFonts w:ascii="Arial" w:cs="Arial" w:eastAsia="Arial" w:hAnsi="Arial"/>
                <w:sz w:val="13"/>
                <w:szCs w:val="13"/>
                <w:color w:val="auto"/>
              </w:rPr>
              <w:t>Units or Other</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Shares, Units or</w:t>
            </w:r>
          </w:p>
        </w:tc>
        <w:tc>
          <w:tcPr>
            <w:tcW w:w="0" w:type="dxa"/>
            <w:vAlign w:val="bottom"/>
          </w:tcPr>
          <w:p>
            <w:pPr>
              <w:spacing w:after="0"/>
              <w:rPr>
                <w:sz w:val="1"/>
                <w:szCs w:val="1"/>
                <w:color w:val="auto"/>
              </w:rPr>
            </w:pPr>
          </w:p>
        </w:tc>
      </w:tr>
      <w:tr>
        <w:trPr>
          <w:trHeight w:val="148"/>
        </w:trPr>
        <w:tc>
          <w:tcPr>
            <w:tcW w:w="3120" w:type="dxa"/>
            <w:vAlign w:val="bottom"/>
            <w:shd w:val="clear" w:color="auto" w:fill="E5E7EF"/>
          </w:tcPr>
          <w:p>
            <w:pPr>
              <w:spacing w:after="0"/>
              <w:rPr>
                <w:sz w:val="12"/>
                <w:szCs w:val="12"/>
                <w:color w:val="auto"/>
              </w:rPr>
            </w:pPr>
          </w:p>
        </w:tc>
        <w:tc>
          <w:tcPr>
            <w:tcW w:w="104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Options</w:t>
            </w:r>
          </w:p>
        </w:tc>
        <w:tc>
          <w:tcPr>
            <w:tcW w:w="78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Exercise</w:t>
            </w:r>
          </w:p>
        </w:tc>
        <w:tc>
          <w:tcPr>
            <w:tcW w:w="88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Option</w:t>
            </w:r>
          </w:p>
        </w:tc>
        <w:tc>
          <w:tcPr>
            <w:tcW w:w="220" w:type="dxa"/>
            <w:vAlign w:val="bottom"/>
            <w:shd w:val="clear" w:color="auto" w:fill="E5E7EF"/>
          </w:tcPr>
          <w:p>
            <w:pPr>
              <w:spacing w:after="0"/>
              <w:rPr>
                <w:sz w:val="12"/>
                <w:szCs w:val="12"/>
                <w:color w:val="auto"/>
              </w:rPr>
            </w:pPr>
          </w:p>
        </w:tc>
        <w:tc>
          <w:tcPr>
            <w:tcW w:w="1220" w:type="dxa"/>
            <w:vAlign w:val="bottom"/>
            <w:gridSpan w:val="2"/>
            <w:shd w:val="clear" w:color="auto" w:fill="E5E7EF"/>
          </w:tcPr>
          <w:p>
            <w:pPr>
              <w:jc w:val="right"/>
              <w:spacing w:after="0" w:line="148" w:lineRule="exact"/>
              <w:rPr>
                <w:sz w:val="20"/>
                <w:szCs w:val="20"/>
                <w:color w:val="auto"/>
              </w:rPr>
            </w:pPr>
            <w:r>
              <w:rPr>
                <w:rFonts w:ascii="Arial" w:cs="Arial" w:eastAsia="Arial" w:hAnsi="Arial"/>
                <w:sz w:val="13"/>
                <w:szCs w:val="13"/>
                <w:color w:val="auto"/>
              </w:rPr>
              <w:t>of Stock That</w:t>
            </w:r>
          </w:p>
        </w:tc>
        <w:tc>
          <w:tcPr>
            <w:tcW w:w="1320" w:type="dxa"/>
            <w:vAlign w:val="bottom"/>
            <w:shd w:val="clear" w:color="auto" w:fill="E5E7EF"/>
          </w:tcPr>
          <w:p>
            <w:pPr>
              <w:jc w:val="right"/>
              <w:ind w:right="130"/>
              <w:spacing w:after="0" w:line="148" w:lineRule="exact"/>
              <w:rPr>
                <w:sz w:val="20"/>
                <w:szCs w:val="20"/>
                <w:color w:val="auto"/>
              </w:rPr>
            </w:pPr>
            <w:r>
              <w:rPr>
                <w:rFonts w:ascii="Arial" w:cs="Arial" w:eastAsia="Arial" w:hAnsi="Arial"/>
                <w:sz w:val="13"/>
                <w:szCs w:val="13"/>
                <w:color w:val="auto"/>
              </w:rPr>
              <w:t>That Have</w:t>
            </w:r>
          </w:p>
        </w:tc>
        <w:tc>
          <w:tcPr>
            <w:tcW w:w="1400" w:type="dxa"/>
            <w:vAlign w:val="bottom"/>
            <w:gridSpan w:val="2"/>
            <w:shd w:val="clear" w:color="auto" w:fill="E5E7EF"/>
          </w:tcPr>
          <w:p>
            <w:pPr>
              <w:jc w:val="right"/>
              <w:ind w:right="125"/>
              <w:spacing w:after="0" w:line="148" w:lineRule="exact"/>
              <w:rPr>
                <w:sz w:val="20"/>
                <w:szCs w:val="20"/>
                <w:color w:val="auto"/>
              </w:rPr>
            </w:pPr>
            <w:r>
              <w:rPr>
                <w:rFonts w:ascii="Arial" w:cs="Arial" w:eastAsia="Arial" w:hAnsi="Arial"/>
                <w:sz w:val="13"/>
                <w:szCs w:val="13"/>
                <w:color w:val="auto"/>
              </w:rPr>
              <w:t>Rights That Have</w:t>
            </w:r>
          </w:p>
        </w:tc>
        <w:tc>
          <w:tcPr>
            <w:tcW w:w="126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Other Rights That</w:t>
            </w:r>
          </w:p>
        </w:tc>
        <w:tc>
          <w:tcPr>
            <w:tcW w:w="0" w:type="dxa"/>
            <w:vAlign w:val="bottom"/>
          </w:tcPr>
          <w:p>
            <w:pPr>
              <w:spacing w:after="0"/>
              <w:rPr>
                <w:sz w:val="1"/>
                <w:szCs w:val="1"/>
                <w:color w:val="auto"/>
              </w:rPr>
            </w:pPr>
          </w:p>
        </w:tc>
      </w:tr>
      <w:tr>
        <w:trPr>
          <w:trHeight w:val="55"/>
        </w:trPr>
        <w:tc>
          <w:tcPr>
            <w:tcW w:w="3120" w:type="dxa"/>
            <w:vAlign w:val="bottom"/>
            <w:shd w:val="clear" w:color="auto" w:fill="E5E7EF"/>
          </w:tcPr>
          <w:p>
            <w:pPr>
              <w:spacing w:after="0"/>
              <w:rPr>
                <w:sz w:val="4"/>
                <w:szCs w:val="4"/>
                <w:color w:val="auto"/>
              </w:rPr>
            </w:pPr>
          </w:p>
        </w:tc>
        <w:tc>
          <w:tcPr>
            <w:tcW w:w="104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Exercisable</w:t>
            </w:r>
          </w:p>
        </w:tc>
        <w:tc>
          <w:tcPr>
            <w:tcW w:w="78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Price</w:t>
            </w:r>
          </w:p>
        </w:tc>
        <w:tc>
          <w:tcPr>
            <w:tcW w:w="880" w:type="dxa"/>
            <w:vAlign w:val="bottom"/>
            <w:vMerge w:val="continue"/>
            <w:shd w:val="clear" w:color="auto" w:fill="E5E7EF"/>
          </w:tcPr>
          <w:p>
            <w:pPr>
              <w:spacing w:after="0"/>
              <w:rPr>
                <w:sz w:val="4"/>
                <w:szCs w:val="4"/>
                <w:color w:val="auto"/>
              </w:rPr>
            </w:pPr>
          </w:p>
        </w:tc>
        <w:tc>
          <w:tcPr>
            <w:tcW w:w="220" w:type="dxa"/>
            <w:vAlign w:val="bottom"/>
            <w:shd w:val="clear" w:color="auto" w:fill="E5E7EF"/>
          </w:tcPr>
          <w:p>
            <w:pPr>
              <w:spacing w:after="0"/>
              <w:rPr>
                <w:sz w:val="4"/>
                <w:szCs w:val="4"/>
                <w:color w:val="auto"/>
              </w:rPr>
            </w:pPr>
          </w:p>
        </w:tc>
        <w:tc>
          <w:tcPr>
            <w:tcW w:w="1220" w:type="dxa"/>
            <w:vAlign w:val="bottom"/>
            <w:gridSpan w:val="2"/>
            <w:vMerge w:val="restart"/>
            <w:shd w:val="clear" w:color="auto" w:fill="E5E7EF"/>
          </w:tcPr>
          <w:p>
            <w:pPr>
              <w:jc w:val="right"/>
              <w:spacing w:after="0" w:line="168" w:lineRule="exact"/>
              <w:rPr>
                <w:sz w:val="20"/>
                <w:szCs w:val="20"/>
                <w:color w:val="auto"/>
              </w:rPr>
            </w:pPr>
            <w:r>
              <w:rPr>
                <w:rFonts w:ascii="Arial" w:cs="Arial" w:eastAsia="Arial" w:hAnsi="Arial"/>
                <w:sz w:val="13"/>
                <w:szCs w:val="13"/>
                <w:color w:val="auto"/>
              </w:rPr>
              <w:t>Have Not Vested</w:t>
            </w:r>
            <w:r>
              <w:rPr>
                <w:rFonts w:ascii="Arial" w:cs="Arial" w:eastAsia="Arial" w:hAnsi="Arial"/>
                <w:sz w:val="16"/>
                <w:szCs w:val="16"/>
                <w:color w:val="auto"/>
                <w:vertAlign w:val="superscript"/>
              </w:rPr>
              <w:t>(1)</w:t>
            </w:r>
          </w:p>
        </w:tc>
        <w:tc>
          <w:tcPr>
            <w:tcW w:w="1320" w:type="dxa"/>
            <w:vAlign w:val="bottom"/>
            <w:vMerge w:val="restart"/>
            <w:shd w:val="clear" w:color="auto" w:fill="E5E7EF"/>
          </w:tcPr>
          <w:p>
            <w:pPr>
              <w:jc w:val="right"/>
              <w:ind w:right="130"/>
              <w:spacing w:after="0" w:line="168" w:lineRule="exact"/>
              <w:rPr>
                <w:sz w:val="20"/>
                <w:szCs w:val="20"/>
                <w:color w:val="auto"/>
              </w:rPr>
            </w:pPr>
            <w:r>
              <w:rPr>
                <w:rFonts w:ascii="Arial" w:cs="Arial" w:eastAsia="Arial" w:hAnsi="Arial"/>
                <w:sz w:val="13"/>
                <w:szCs w:val="13"/>
                <w:color w:val="auto"/>
              </w:rPr>
              <w:t>Not Vested</w:t>
            </w:r>
            <w:r>
              <w:rPr>
                <w:rFonts w:ascii="Arial" w:cs="Arial" w:eastAsia="Arial" w:hAnsi="Arial"/>
                <w:sz w:val="16"/>
                <w:szCs w:val="16"/>
                <w:color w:val="auto"/>
                <w:vertAlign w:val="superscript"/>
              </w:rPr>
              <w:t>(2)</w:t>
            </w:r>
          </w:p>
        </w:tc>
        <w:tc>
          <w:tcPr>
            <w:tcW w:w="1400" w:type="dxa"/>
            <w:vAlign w:val="bottom"/>
            <w:gridSpan w:val="2"/>
            <w:vMerge w:val="restart"/>
            <w:shd w:val="clear" w:color="auto" w:fill="E5E7EF"/>
          </w:tcPr>
          <w:p>
            <w:pPr>
              <w:jc w:val="right"/>
              <w:ind w:right="125"/>
              <w:spacing w:after="0" w:line="168" w:lineRule="exact"/>
              <w:rPr>
                <w:sz w:val="20"/>
                <w:szCs w:val="20"/>
                <w:color w:val="auto"/>
              </w:rPr>
            </w:pPr>
            <w:r>
              <w:rPr>
                <w:rFonts w:ascii="Arial" w:cs="Arial" w:eastAsia="Arial" w:hAnsi="Arial"/>
                <w:sz w:val="13"/>
                <w:szCs w:val="13"/>
                <w:color w:val="auto"/>
              </w:rPr>
              <w:t>Not Vested</w:t>
            </w:r>
            <w:r>
              <w:rPr>
                <w:rFonts w:ascii="Arial" w:cs="Arial" w:eastAsia="Arial" w:hAnsi="Arial"/>
                <w:sz w:val="16"/>
                <w:szCs w:val="16"/>
                <w:color w:val="auto"/>
                <w:vertAlign w:val="superscript"/>
              </w:rPr>
              <w:t>(3)</w:t>
            </w:r>
          </w:p>
        </w:tc>
        <w:tc>
          <w:tcPr>
            <w:tcW w:w="1260" w:type="dxa"/>
            <w:vAlign w:val="bottom"/>
            <w:vMerge w:val="restart"/>
            <w:shd w:val="clear" w:color="auto" w:fill="E5E7EF"/>
          </w:tcPr>
          <w:p>
            <w:pPr>
              <w:jc w:val="right"/>
              <w:spacing w:after="0" w:line="168" w:lineRule="exact"/>
              <w:rPr>
                <w:sz w:val="20"/>
                <w:szCs w:val="20"/>
                <w:color w:val="auto"/>
              </w:rPr>
            </w:pPr>
            <w:r>
              <w:rPr>
                <w:rFonts w:ascii="Arial" w:cs="Arial" w:eastAsia="Arial" w:hAnsi="Arial"/>
                <w:sz w:val="13"/>
                <w:szCs w:val="13"/>
                <w:color w:val="auto"/>
              </w:rPr>
              <w:t>Have Not Vested</w:t>
            </w:r>
            <w:r>
              <w:rPr>
                <w:rFonts w:ascii="Arial" w:cs="Arial" w:eastAsia="Arial" w:hAnsi="Arial"/>
                <w:sz w:val="16"/>
                <w:szCs w:val="16"/>
                <w:color w:val="auto"/>
                <w:vertAlign w:val="superscript"/>
              </w:rPr>
              <w:t>(4)</w:t>
            </w:r>
          </w:p>
        </w:tc>
        <w:tc>
          <w:tcPr>
            <w:tcW w:w="0" w:type="dxa"/>
            <w:vAlign w:val="bottom"/>
          </w:tcPr>
          <w:p>
            <w:pPr>
              <w:spacing w:after="0"/>
              <w:rPr>
                <w:sz w:val="1"/>
                <w:szCs w:val="1"/>
                <w:color w:val="auto"/>
              </w:rPr>
            </w:pPr>
          </w:p>
        </w:tc>
      </w:tr>
      <w:tr>
        <w:trPr>
          <w:trHeight w:val="127"/>
        </w:trPr>
        <w:tc>
          <w:tcPr>
            <w:tcW w:w="3120" w:type="dxa"/>
            <w:vAlign w:val="bottom"/>
            <w:shd w:val="clear" w:color="auto" w:fill="E5E7EF"/>
          </w:tcPr>
          <w:p>
            <w:pPr>
              <w:spacing w:after="0"/>
              <w:rPr>
                <w:sz w:val="11"/>
                <w:szCs w:val="11"/>
                <w:color w:val="auto"/>
              </w:rPr>
            </w:pPr>
          </w:p>
        </w:tc>
        <w:tc>
          <w:tcPr>
            <w:tcW w:w="1040" w:type="dxa"/>
            <w:vAlign w:val="bottom"/>
            <w:vMerge w:val="continue"/>
            <w:shd w:val="clear" w:color="auto" w:fill="E5E7EF"/>
          </w:tcPr>
          <w:p>
            <w:pPr>
              <w:spacing w:after="0"/>
              <w:rPr>
                <w:sz w:val="11"/>
                <w:szCs w:val="11"/>
                <w:color w:val="auto"/>
              </w:rPr>
            </w:pPr>
          </w:p>
        </w:tc>
        <w:tc>
          <w:tcPr>
            <w:tcW w:w="780" w:type="dxa"/>
            <w:vAlign w:val="bottom"/>
            <w:vMerge w:val="continue"/>
            <w:shd w:val="clear" w:color="auto" w:fill="E5E7EF"/>
          </w:tcPr>
          <w:p>
            <w:pPr>
              <w:spacing w:after="0"/>
              <w:rPr>
                <w:sz w:val="11"/>
                <w:szCs w:val="11"/>
                <w:color w:val="auto"/>
              </w:rPr>
            </w:pPr>
          </w:p>
        </w:tc>
        <w:tc>
          <w:tcPr>
            <w:tcW w:w="880" w:type="dxa"/>
            <w:vAlign w:val="bottom"/>
            <w:shd w:val="clear" w:color="auto" w:fill="E5E7EF"/>
          </w:tcPr>
          <w:p>
            <w:pPr>
              <w:jc w:val="right"/>
              <w:spacing w:after="0" w:line="128" w:lineRule="exact"/>
              <w:rPr>
                <w:sz w:val="20"/>
                <w:szCs w:val="20"/>
                <w:color w:val="auto"/>
              </w:rPr>
            </w:pPr>
            <w:r>
              <w:rPr>
                <w:rFonts w:ascii="Arial" w:cs="Arial" w:eastAsia="Arial" w:hAnsi="Arial"/>
                <w:sz w:val="13"/>
                <w:szCs w:val="13"/>
                <w:color w:val="auto"/>
              </w:rPr>
              <w:t>Expiration</w:t>
            </w:r>
          </w:p>
        </w:tc>
        <w:tc>
          <w:tcPr>
            <w:tcW w:w="220" w:type="dxa"/>
            <w:vAlign w:val="bottom"/>
            <w:shd w:val="clear" w:color="auto" w:fill="E5E7EF"/>
          </w:tcPr>
          <w:p>
            <w:pPr>
              <w:spacing w:after="0"/>
              <w:rPr>
                <w:sz w:val="11"/>
                <w:szCs w:val="11"/>
                <w:color w:val="auto"/>
              </w:rPr>
            </w:pPr>
          </w:p>
        </w:tc>
        <w:tc>
          <w:tcPr>
            <w:tcW w:w="1220" w:type="dxa"/>
            <w:vAlign w:val="bottom"/>
            <w:gridSpan w:val="2"/>
            <w:vMerge w:val="continue"/>
            <w:shd w:val="clear" w:color="auto" w:fill="E5E7EF"/>
          </w:tcPr>
          <w:p>
            <w:pPr>
              <w:spacing w:after="0"/>
              <w:rPr>
                <w:sz w:val="11"/>
                <w:szCs w:val="11"/>
                <w:color w:val="auto"/>
              </w:rPr>
            </w:pPr>
          </w:p>
        </w:tc>
        <w:tc>
          <w:tcPr>
            <w:tcW w:w="1320" w:type="dxa"/>
            <w:vAlign w:val="bottom"/>
            <w:vMerge w:val="continue"/>
            <w:shd w:val="clear" w:color="auto" w:fill="E5E7EF"/>
          </w:tcPr>
          <w:p>
            <w:pPr>
              <w:spacing w:after="0"/>
              <w:rPr>
                <w:sz w:val="11"/>
                <w:szCs w:val="11"/>
                <w:color w:val="auto"/>
              </w:rPr>
            </w:pPr>
          </w:p>
        </w:tc>
        <w:tc>
          <w:tcPr>
            <w:tcW w:w="1400" w:type="dxa"/>
            <w:vAlign w:val="bottom"/>
            <w:gridSpan w:val="2"/>
            <w:vMerge w:val="continue"/>
            <w:shd w:val="clear" w:color="auto" w:fill="E5E7EF"/>
          </w:tcPr>
          <w:p>
            <w:pPr>
              <w:spacing w:after="0"/>
              <w:rPr>
                <w:sz w:val="11"/>
                <w:szCs w:val="11"/>
                <w:color w:val="auto"/>
              </w:rPr>
            </w:pPr>
          </w:p>
        </w:tc>
        <w:tc>
          <w:tcPr>
            <w:tcW w:w="1260" w:type="dxa"/>
            <w:vAlign w:val="bottom"/>
            <w:vMerge w:val="continue"/>
            <w:shd w:val="clear" w:color="auto" w:fill="E5E7E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20" w:type="dxa"/>
            <w:vAlign w:val="bottom"/>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0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5E7EF"/>
          </w:tcPr>
          <w:p>
            <w:pPr>
              <w:jc w:val="center"/>
              <w:ind w:left="509"/>
              <w:spacing w:after="0"/>
              <w:rPr>
                <w:sz w:val="20"/>
                <w:szCs w:val="20"/>
                <w:color w:val="auto"/>
              </w:rPr>
            </w:pPr>
            <w:r>
              <w:rPr>
                <w:rFonts w:ascii="Arial" w:cs="Arial" w:eastAsia="Arial" w:hAnsi="Arial"/>
                <w:sz w:val="13"/>
                <w:szCs w:val="13"/>
                <w:color w:val="auto"/>
                <w:w w:val="94"/>
              </w:rPr>
              <w:t>Date</w:t>
            </w:r>
          </w:p>
        </w:tc>
        <w:tc>
          <w:tcPr>
            <w:tcW w:w="220" w:type="dxa"/>
            <w:vAlign w:val="bottom"/>
            <w:shd w:val="clear" w:color="auto" w:fill="E5E7EF"/>
          </w:tcPr>
          <w:p>
            <w:pPr>
              <w:spacing w:after="0"/>
              <w:rPr>
                <w:sz w:val="15"/>
                <w:szCs w:val="15"/>
                <w:color w:val="auto"/>
              </w:rPr>
            </w:pPr>
          </w:p>
        </w:tc>
        <w:tc>
          <w:tcPr>
            <w:tcW w:w="860" w:type="dxa"/>
            <w:vAlign w:val="bottom"/>
            <w:shd w:val="clear" w:color="auto" w:fill="E5E7EF"/>
          </w:tcPr>
          <w:p>
            <w:pPr>
              <w:spacing w:after="0"/>
              <w:rPr>
                <w:sz w:val="15"/>
                <w:szCs w:val="15"/>
                <w:color w:val="auto"/>
              </w:rPr>
            </w:pPr>
          </w:p>
        </w:tc>
        <w:tc>
          <w:tcPr>
            <w:tcW w:w="3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3"/>
                <w:szCs w:val="13"/>
                <w:color w:val="auto"/>
              </w:rPr>
              <w:t>($)</w:t>
            </w:r>
          </w:p>
        </w:tc>
        <w:tc>
          <w:tcPr>
            <w:tcW w:w="880" w:type="dxa"/>
            <w:vAlign w:val="bottom"/>
            <w:shd w:val="clear" w:color="auto" w:fill="E5E7EF"/>
          </w:tcPr>
          <w:p>
            <w:pPr>
              <w:spacing w:after="0"/>
              <w:rPr>
                <w:sz w:val="15"/>
                <w:szCs w:val="15"/>
                <w:color w:val="auto"/>
              </w:rPr>
            </w:pPr>
          </w:p>
        </w:tc>
        <w:tc>
          <w:tcPr>
            <w:tcW w:w="520" w:type="dxa"/>
            <w:vAlign w:val="bottom"/>
            <w:shd w:val="clear" w:color="auto" w:fill="E5E7EF"/>
          </w:tcPr>
          <w:p>
            <w:pPr>
              <w:jc w:val="right"/>
              <w:ind w:right="125"/>
              <w:spacing w:after="0"/>
              <w:rPr>
                <w:sz w:val="20"/>
                <w:szCs w:val="20"/>
                <w:color w:val="auto"/>
              </w:rPr>
            </w:pPr>
            <w:r>
              <w:rPr>
                <w:rFonts w:ascii="Arial" w:cs="Arial" w:eastAsia="Arial" w:hAnsi="Arial"/>
                <w:sz w:val="13"/>
                <w:szCs w:val="13"/>
                <w:color w:val="auto"/>
              </w:rPr>
              <w:t>(#)</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10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7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(e)</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(f)</w:t>
            </w:r>
          </w:p>
        </w:tc>
        <w:tc>
          <w:tcPr>
            <w:tcW w:w="220" w:type="dxa"/>
            <w:vAlign w:val="bottom"/>
            <w:tcBorders>
              <w:bottom w:val="single" w:sz="8" w:color="E5E7EF"/>
            </w:tcBorders>
            <w:shd w:val="clear" w:color="auto" w:fill="E5E7EF"/>
          </w:tcPr>
          <w:p>
            <w:pPr>
              <w:spacing w:after="0"/>
              <w:rPr>
                <w:sz w:val="20"/>
                <w:szCs w:val="20"/>
                <w:color w:val="auto"/>
              </w:rPr>
            </w:pPr>
          </w:p>
        </w:tc>
        <w:tc>
          <w:tcPr>
            <w:tcW w:w="860" w:type="dxa"/>
            <w:vAlign w:val="bottom"/>
            <w:tcBorders>
              <w:bottom w:val="single" w:sz="8" w:color="E5E7EF"/>
            </w:tcBorders>
            <w:shd w:val="clear" w:color="auto" w:fill="E5E7EF"/>
          </w:tcPr>
          <w:p>
            <w:pPr>
              <w:spacing w:after="0"/>
              <w:rPr>
                <w:sz w:val="20"/>
                <w:szCs w:val="20"/>
                <w:color w:val="auto"/>
              </w:rPr>
            </w:pPr>
          </w:p>
        </w:tc>
        <w:tc>
          <w:tcPr>
            <w:tcW w:w="3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(g)</w:t>
            </w:r>
          </w:p>
        </w:tc>
        <w:tc>
          <w:tcPr>
            <w:tcW w:w="1320" w:type="dxa"/>
            <w:vAlign w:val="bottom"/>
            <w:tcBorders>
              <w:bottom w:val="single" w:sz="8" w:color="E5E7EF"/>
            </w:tcBorders>
            <w:shd w:val="clear" w:color="auto" w:fill="E5E7EF"/>
          </w:tcPr>
          <w:p>
            <w:pPr>
              <w:jc w:val="right"/>
              <w:ind w:right="130"/>
              <w:spacing w:after="0"/>
              <w:rPr>
                <w:sz w:val="20"/>
                <w:szCs w:val="20"/>
                <w:color w:val="auto"/>
              </w:rPr>
            </w:pPr>
            <w:r>
              <w:rPr>
                <w:rFonts w:ascii="Arial" w:cs="Arial" w:eastAsia="Arial" w:hAnsi="Arial"/>
                <w:sz w:val="13"/>
                <w:szCs w:val="13"/>
                <w:color w:val="auto"/>
              </w:rPr>
              <w:t>(h)</w:t>
            </w:r>
          </w:p>
        </w:tc>
        <w:tc>
          <w:tcPr>
            <w:tcW w:w="880" w:type="dxa"/>
            <w:vAlign w:val="bottom"/>
            <w:tcBorders>
              <w:bottom w:val="single" w:sz="8" w:color="E5E7EF"/>
            </w:tcBorders>
            <w:shd w:val="clear" w:color="auto" w:fill="E5E7EF"/>
          </w:tcPr>
          <w:p>
            <w:pPr>
              <w:spacing w:after="0"/>
              <w:rPr>
                <w:sz w:val="20"/>
                <w:szCs w:val="20"/>
                <w:color w:val="auto"/>
              </w:rPr>
            </w:pPr>
          </w:p>
        </w:tc>
        <w:tc>
          <w:tcPr>
            <w:tcW w:w="520" w:type="dxa"/>
            <w:vAlign w:val="bottom"/>
            <w:tcBorders>
              <w:bottom w:val="single" w:sz="8" w:color="E5E7EF"/>
            </w:tcBorders>
            <w:shd w:val="clear" w:color="auto" w:fill="E5E7EF"/>
          </w:tcPr>
          <w:p>
            <w:pPr>
              <w:jc w:val="right"/>
              <w:ind w:right="125"/>
              <w:spacing w:after="0"/>
              <w:rPr>
                <w:sz w:val="20"/>
                <w:szCs w:val="20"/>
                <w:color w:val="auto"/>
              </w:rPr>
            </w:pPr>
            <w:r>
              <w:rPr>
                <w:rFonts w:ascii="Arial" w:cs="Arial" w:eastAsia="Arial" w:hAnsi="Arial"/>
                <w:sz w:val="13"/>
                <w:szCs w:val="13"/>
                <w:color w:val="auto"/>
              </w:rPr>
              <w:t>(i)</w:t>
            </w:r>
          </w:p>
        </w:tc>
        <w:tc>
          <w:tcPr>
            <w:tcW w:w="12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(j)</w:t>
            </w:r>
          </w:p>
        </w:tc>
        <w:tc>
          <w:tcPr>
            <w:tcW w:w="0" w:type="dxa"/>
            <w:vAlign w:val="bottom"/>
          </w:tcPr>
          <w:p>
            <w:pPr>
              <w:spacing w:after="0"/>
              <w:rPr>
                <w:sz w:val="1"/>
                <w:szCs w:val="1"/>
                <w:color w:val="auto"/>
              </w:rPr>
            </w:pPr>
          </w:p>
        </w:tc>
      </w:tr>
      <w:tr>
        <w:trPr>
          <w:trHeight w:val="183"/>
        </w:trPr>
        <w:tc>
          <w:tcPr>
            <w:tcW w:w="3120" w:type="dxa"/>
            <w:vAlign w:val="bottom"/>
            <w:tcBorders>
              <w:top w:val="single" w:sz="8" w:color="959595"/>
            </w:tcBorders>
          </w:tcPr>
          <w:p>
            <w:pPr>
              <w:ind w:left="20"/>
              <w:spacing w:after="0"/>
              <w:rPr>
                <w:sz w:val="20"/>
                <w:szCs w:val="20"/>
                <w:color w:val="auto"/>
              </w:rPr>
            </w:pPr>
            <w:r>
              <w:rPr>
                <w:rFonts w:ascii="Arial" w:cs="Arial" w:eastAsia="Arial" w:hAnsi="Arial"/>
                <w:sz w:val="14"/>
                <w:szCs w:val="14"/>
                <w:b w:val="1"/>
                <w:bCs w:val="1"/>
                <w:color w:val="auto"/>
              </w:rPr>
              <w:t>James D. Taiclet</w:t>
            </w:r>
          </w:p>
        </w:tc>
        <w:tc>
          <w:tcPr>
            <w:tcW w:w="1040" w:type="dxa"/>
            <w:vAlign w:val="bottom"/>
            <w:tcBorders>
              <w:top w:val="single" w:sz="8" w:color="959595"/>
            </w:tcBorders>
            <w:shd w:val="clear" w:color="auto" w:fill="E5E7E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959595"/>
            </w:tcBorders>
            <w:shd w:val="clear" w:color="auto" w:fill="E5E7E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959595"/>
            </w:tcBorders>
            <w:shd w:val="clear" w:color="auto" w:fill="E5E7EF"/>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tcBorders>
              <w:top w:val="single" w:sz="8" w:color="959595"/>
            </w:tcBorders>
            <w:gridSpan w:val="2"/>
            <w:shd w:val="clear" w:color="auto" w:fill="E5E7EF"/>
          </w:tcPr>
          <w:p>
            <w:pPr>
              <w:jc w:val="right"/>
              <w:spacing w:after="0"/>
              <w:rPr>
                <w:sz w:val="20"/>
                <w:szCs w:val="20"/>
                <w:color w:val="auto"/>
              </w:rPr>
            </w:pPr>
            <w:r>
              <w:rPr>
                <w:rFonts w:ascii="Arial" w:cs="Arial" w:eastAsia="Arial" w:hAnsi="Arial"/>
                <w:sz w:val="14"/>
                <w:szCs w:val="14"/>
                <w:color w:val="auto"/>
              </w:rPr>
              <w:t>10,992</w:t>
            </w:r>
          </w:p>
        </w:tc>
        <w:tc>
          <w:tcPr>
            <w:tcW w:w="360" w:type="dxa"/>
            <w:vAlign w:val="bottom"/>
            <w:tcBorders>
              <w:top w:val="single" w:sz="8" w:color="959595"/>
            </w:tcBorders>
            <w:shd w:val="clear" w:color="auto" w:fill="E5E7EF"/>
          </w:tcPr>
          <w:p>
            <w:pPr>
              <w:ind w:left="60"/>
              <w:spacing w:after="0"/>
              <w:rPr>
                <w:sz w:val="20"/>
                <w:szCs w:val="20"/>
                <w:color w:val="auto"/>
              </w:rPr>
            </w:pPr>
            <w:r>
              <w:rPr>
                <w:rFonts w:ascii="Arial" w:cs="Arial" w:eastAsia="Arial" w:hAnsi="Arial"/>
                <w:sz w:val="11"/>
                <w:szCs w:val="11"/>
                <w:color w:val="auto"/>
              </w:rPr>
              <w:t>5</w:t>
            </w:r>
          </w:p>
        </w:tc>
        <w:tc>
          <w:tcPr>
            <w:tcW w:w="1320" w:type="dxa"/>
            <w:vAlign w:val="bottom"/>
            <w:tcBorders>
              <w:top w:val="single" w:sz="8" w:color="959595"/>
            </w:tcBorders>
            <w:shd w:val="clear" w:color="auto" w:fill="E5E7EF"/>
          </w:tcPr>
          <w:p>
            <w:pPr>
              <w:jc w:val="right"/>
              <w:ind w:right="170"/>
              <w:spacing w:after="0"/>
              <w:rPr>
                <w:sz w:val="20"/>
                <w:szCs w:val="20"/>
                <w:color w:val="auto"/>
              </w:rPr>
            </w:pPr>
            <w:r>
              <w:rPr>
                <w:rFonts w:ascii="Arial" w:cs="Arial" w:eastAsia="Arial" w:hAnsi="Arial"/>
                <w:sz w:val="14"/>
                <w:szCs w:val="14"/>
                <w:color w:val="auto"/>
              </w:rPr>
              <w:t>3,901,940</w:t>
            </w:r>
          </w:p>
        </w:tc>
        <w:tc>
          <w:tcPr>
            <w:tcW w:w="880" w:type="dxa"/>
            <w:vAlign w:val="bottom"/>
            <w:tcBorders>
              <w:top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23,726</w:t>
            </w:r>
          </w:p>
        </w:tc>
        <w:tc>
          <w:tcPr>
            <w:tcW w:w="520" w:type="dxa"/>
            <w:vAlign w:val="bottom"/>
            <w:tcBorders>
              <w:top w:val="single" w:sz="8" w:color="959595"/>
            </w:tcBorders>
            <w:shd w:val="clear" w:color="auto" w:fill="E5E7EF"/>
          </w:tcPr>
          <w:p>
            <w:pPr>
              <w:ind w:left="40"/>
              <w:spacing w:after="0"/>
              <w:rPr>
                <w:sz w:val="20"/>
                <w:szCs w:val="20"/>
                <w:color w:val="auto"/>
              </w:rPr>
            </w:pPr>
            <w:r>
              <w:rPr>
                <w:rFonts w:ascii="Arial" w:cs="Arial" w:eastAsia="Arial" w:hAnsi="Arial"/>
                <w:sz w:val="11"/>
                <w:szCs w:val="11"/>
                <w:color w:val="auto"/>
              </w:rPr>
              <w:t>6</w:t>
            </w:r>
          </w:p>
        </w:tc>
        <w:tc>
          <w:tcPr>
            <w:tcW w:w="1260" w:type="dxa"/>
            <w:vAlign w:val="bottom"/>
            <w:tcBorders>
              <w:top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8,422,255</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929292"/>
            </w:tcBorders>
          </w:tcPr>
          <w:p>
            <w:pPr>
              <w:spacing w:after="0"/>
              <w:rPr>
                <w:sz w:val="16"/>
                <w:szCs w:val="16"/>
                <w:color w:val="auto"/>
              </w:rPr>
            </w:pPr>
          </w:p>
        </w:tc>
        <w:tc>
          <w:tcPr>
            <w:tcW w:w="1040" w:type="dxa"/>
            <w:vAlign w:val="bottom"/>
            <w:tcBorders>
              <w:bottom w:val="single" w:sz="8" w:color="929292"/>
            </w:tcBorders>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29292"/>
            </w:tcBorders>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29292"/>
            </w:tcBorders>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929292"/>
            </w:tcBorders>
            <w:gridSpan w:val="2"/>
          </w:tcPr>
          <w:p>
            <w:pPr>
              <w:jc w:val="right"/>
              <w:spacing w:after="0"/>
              <w:rPr>
                <w:sz w:val="20"/>
                <w:szCs w:val="20"/>
                <w:color w:val="auto"/>
              </w:rPr>
            </w:pPr>
            <w:r>
              <w:rPr>
                <w:rFonts w:ascii="Arial" w:cs="Arial" w:eastAsia="Arial" w:hAnsi="Arial"/>
                <w:sz w:val="14"/>
                <w:szCs w:val="14"/>
                <w:color w:val="auto"/>
              </w:rPr>
              <w:t>14,869</w:t>
            </w:r>
          </w:p>
        </w:tc>
        <w:tc>
          <w:tcPr>
            <w:tcW w:w="360" w:type="dxa"/>
            <w:vAlign w:val="bottom"/>
            <w:tcBorders>
              <w:bottom w:val="single" w:sz="8" w:color="929292"/>
            </w:tcBorders>
          </w:tcPr>
          <w:p>
            <w:pPr>
              <w:ind w:left="60"/>
              <w:spacing w:after="0"/>
              <w:rPr>
                <w:sz w:val="20"/>
                <w:szCs w:val="20"/>
                <w:color w:val="auto"/>
              </w:rPr>
            </w:pPr>
            <w:r>
              <w:rPr>
                <w:rFonts w:ascii="Arial" w:cs="Arial" w:eastAsia="Arial" w:hAnsi="Arial"/>
                <w:sz w:val="11"/>
                <w:szCs w:val="11"/>
                <w:color w:val="auto"/>
              </w:rPr>
              <w:t>7</w:t>
            </w:r>
          </w:p>
        </w:tc>
        <w:tc>
          <w:tcPr>
            <w:tcW w:w="1320" w:type="dxa"/>
            <w:vAlign w:val="bottom"/>
            <w:tcBorders>
              <w:bottom w:val="single" w:sz="8" w:color="929292"/>
            </w:tcBorders>
          </w:tcPr>
          <w:p>
            <w:pPr>
              <w:jc w:val="right"/>
              <w:ind w:right="170"/>
              <w:spacing w:after="0"/>
              <w:rPr>
                <w:sz w:val="20"/>
                <w:szCs w:val="20"/>
                <w:color w:val="auto"/>
              </w:rPr>
            </w:pPr>
            <w:r>
              <w:rPr>
                <w:rFonts w:ascii="Arial" w:cs="Arial" w:eastAsia="Arial" w:hAnsi="Arial"/>
                <w:sz w:val="14"/>
                <w:szCs w:val="14"/>
                <w:color w:val="auto"/>
              </w:rPr>
              <w:t>5,278,198</w:t>
            </w:r>
          </w:p>
        </w:tc>
        <w:tc>
          <w:tcPr>
            <w:tcW w:w="8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929292"/>
            </w:tcBorders>
          </w:tcPr>
          <w:p>
            <w:pPr>
              <w:spacing w:after="0"/>
              <w:rPr>
                <w:sz w:val="16"/>
                <w:szCs w:val="16"/>
                <w:color w:val="auto"/>
              </w:rPr>
            </w:pPr>
          </w:p>
        </w:tc>
        <w:tc>
          <w:tcPr>
            <w:tcW w:w="12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Marillyn A. Hewson</w:t>
            </w:r>
          </w:p>
        </w:tc>
        <w:tc>
          <w:tcPr>
            <w:tcW w:w="1040" w:type="dxa"/>
            <w:vAlign w:val="bottom"/>
            <w:shd w:val="clear" w:color="auto" w:fill="E5E7EF"/>
          </w:tcPr>
          <w:p>
            <w:pPr>
              <w:jc w:val="right"/>
              <w:spacing w:after="0"/>
              <w:rPr>
                <w:sz w:val="20"/>
                <w:szCs w:val="20"/>
                <w:color w:val="auto"/>
              </w:rPr>
            </w:pPr>
            <w:r>
              <w:rPr>
                <w:rFonts w:ascii="Arial" w:cs="Arial" w:eastAsia="Arial" w:hAnsi="Arial"/>
                <w:sz w:val="14"/>
                <w:szCs w:val="14"/>
                <w:color w:val="auto"/>
              </w:rPr>
              <w:t>82,935</w:t>
            </w:r>
          </w:p>
        </w:tc>
        <w:tc>
          <w:tcPr>
            <w:tcW w:w="7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82.01</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1/28/2022</w:t>
            </w:r>
          </w:p>
        </w:tc>
        <w:tc>
          <w:tcPr>
            <w:tcW w:w="108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11,263</w:t>
            </w:r>
          </w:p>
        </w:tc>
        <w:tc>
          <w:tcPr>
            <w:tcW w:w="360" w:type="dxa"/>
            <w:vAlign w:val="bottom"/>
            <w:shd w:val="clear" w:color="auto" w:fill="E5E7EF"/>
          </w:tcPr>
          <w:p>
            <w:pPr>
              <w:ind w:left="60"/>
              <w:spacing w:after="0"/>
              <w:rPr>
                <w:sz w:val="20"/>
                <w:szCs w:val="20"/>
                <w:color w:val="auto"/>
              </w:rPr>
            </w:pPr>
            <w:r>
              <w:rPr>
                <w:rFonts w:ascii="Arial" w:cs="Arial" w:eastAsia="Arial" w:hAnsi="Arial"/>
                <w:sz w:val="11"/>
                <w:szCs w:val="11"/>
                <w:color w:val="auto"/>
              </w:rPr>
              <w:t>8</w:t>
            </w: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4"/>
                <w:szCs w:val="14"/>
                <w:color w:val="auto"/>
              </w:rPr>
              <w:t>3,998,140</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25,256</w:t>
            </w:r>
          </w:p>
        </w:tc>
        <w:tc>
          <w:tcPr>
            <w:tcW w:w="520" w:type="dxa"/>
            <w:vAlign w:val="bottom"/>
            <w:shd w:val="clear" w:color="auto" w:fill="E5E7EF"/>
          </w:tcPr>
          <w:p>
            <w:pPr>
              <w:ind w:left="40"/>
              <w:spacing w:after="0"/>
              <w:rPr>
                <w:sz w:val="20"/>
                <w:szCs w:val="20"/>
                <w:color w:val="auto"/>
              </w:rPr>
            </w:pPr>
            <w:r>
              <w:rPr>
                <w:rFonts w:ascii="Arial" w:cs="Arial" w:eastAsia="Arial" w:hAnsi="Arial"/>
                <w:sz w:val="11"/>
                <w:szCs w:val="11"/>
                <w:color w:val="auto"/>
              </w:rPr>
              <w:t>9</w:t>
            </w:r>
          </w:p>
        </w:tc>
        <w:tc>
          <w:tcPr>
            <w:tcW w:w="12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8,965,375</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13,509</w:t>
            </w:r>
          </w:p>
        </w:tc>
        <w:tc>
          <w:tcPr>
            <w:tcW w:w="360" w:type="dxa"/>
            <w:vAlign w:val="bottom"/>
          </w:tcPr>
          <w:p>
            <w:pPr>
              <w:ind w:left="60"/>
              <w:spacing w:after="0"/>
              <w:rPr>
                <w:sz w:val="20"/>
                <w:szCs w:val="20"/>
                <w:color w:val="auto"/>
              </w:rPr>
            </w:pPr>
            <w:r>
              <w:rPr>
                <w:rFonts w:ascii="Arial" w:cs="Arial" w:eastAsia="Arial" w:hAnsi="Arial"/>
                <w:sz w:val="11"/>
                <w:szCs w:val="11"/>
                <w:color w:val="auto"/>
              </w:rPr>
              <w:t>10</w:t>
            </w:r>
          </w:p>
        </w:tc>
        <w:tc>
          <w:tcPr>
            <w:tcW w:w="1320" w:type="dxa"/>
            <w:vAlign w:val="bottom"/>
          </w:tcPr>
          <w:p>
            <w:pPr>
              <w:jc w:val="right"/>
              <w:ind w:right="130"/>
              <w:spacing w:after="0"/>
              <w:rPr>
                <w:sz w:val="20"/>
                <w:szCs w:val="20"/>
                <w:color w:val="auto"/>
              </w:rPr>
            </w:pPr>
            <w:r>
              <w:rPr>
                <w:rFonts w:ascii="Arial" w:cs="Arial" w:eastAsia="Arial" w:hAnsi="Arial"/>
                <w:sz w:val="14"/>
                <w:szCs w:val="14"/>
                <w:color w:val="auto"/>
              </w:rPr>
              <w:t>4,795,425</w:t>
            </w:r>
          </w:p>
        </w:tc>
        <w:tc>
          <w:tcPr>
            <w:tcW w:w="880" w:type="dxa"/>
            <w:vAlign w:val="bottom"/>
          </w:tcPr>
          <w:p>
            <w:pPr>
              <w:jc w:val="right"/>
              <w:spacing w:after="0"/>
              <w:rPr>
                <w:sz w:val="20"/>
                <w:szCs w:val="20"/>
                <w:color w:val="auto"/>
              </w:rPr>
            </w:pPr>
            <w:r>
              <w:rPr>
                <w:rFonts w:ascii="Arial" w:cs="Arial" w:eastAsia="Arial" w:hAnsi="Arial"/>
                <w:sz w:val="14"/>
                <w:szCs w:val="14"/>
                <w:color w:val="auto"/>
              </w:rPr>
              <w:t>45,554</w:t>
            </w:r>
          </w:p>
        </w:tc>
        <w:tc>
          <w:tcPr>
            <w:tcW w:w="520" w:type="dxa"/>
            <w:vAlign w:val="bottom"/>
          </w:tcPr>
          <w:p>
            <w:pPr>
              <w:ind w:left="40"/>
              <w:spacing w:after="0"/>
              <w:rPr>
                <w:sz w:val="20"/>
                <w:szCs w:val="20"/>
                <w:color w:val="auto"/>
              </w:rPr>
            </w:pPr>
            <w:r>
              <w:rPr>
                <w:rFonts w:ascii="Arial" w:cs="Arial" w:eastAsia="Arial" w:hAnsi="Arial"/>
                <w:sz w:val="11"/>
                <w:szCs w:val="11"/>
                <w:color w:val="auto"/>
              </w:rPr>
              <w:t>11</w:t>
            </w:r>
          </w:p>
        </w:tc>
        <w:tc>
          <w:tcPr>
            <w:tcW w:w="1260" w:type="dxa"/>
            <w:vAlign w:val="bottom"/>
          </w:tcPr>
          <w:p>
            <w:pPr>
              <w:jc w:val="right"/>
              <w:spacing w:after="0"/>
              <w:rPr>
                <w:sz w:val="20"/>
                <w:szCs w:val="20"/>
                <w:color w:val="auto"/>
              </w:rPr>
            </w:pPr>
            <w:r>
              <w:rPr>
                <w:rFonts w:ascii="Arial" w:cs="Arial" w:eastAsia="Arial" w:hAnsi="Arial"/>
                <w:sz w:val="14"/>
                <w:szCs w:val="14"/>
                <w:color w:val="auto"/>
              </w:rPr>
              <w:t>16,170,759</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40" w:type="dxa"/>
            <w:vAlign w:val="bottom"/>
            <w:shd w:val="clear" w:color="auto" w:fill="E5E7E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7E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9,926</w:t>
            </w:r>
          </w:p>
        </w:tc>
        <w:tc>
          <w:tcPr>
            <w:tcW w:w="360" w:type="dxa"/>
            <w:vAlign w:val="bottom"/>
            <w:shd w:val="clear" w:color="auto" w:fill="E5E7EF"/>
          </w:tcPr>
          <w:p>
            <w:pPr>
              <w:ind w:left="60"/>
              <w:spacing w:after="0"/>
              <w:rPr>
                <w:sz w:val="20"/>
                <w:szCs w:val="20"/>
                <w:color w:val="auto"/>
              </w:rPr>
            </w:pPr>
            <w:r>
              <w:rPr>
                <w:rFonts w:ascii="Arial" w:cs="Arial" w:eastAsia="Arial" w:hAnsi="Arial"/>
                <w:sz w:val="11"/>
                <w:szCs w:val="11"/>
                <w:color w:val="auto"/>
              </w:rPr>
              <w:t>12</w:t>
            </w: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4"/>
                <w:szCs w:val="14"/>
                <w:color w:val="auto"/>
              </w:rPr>
              <w:t>3,523,531</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E5E7EF"/>
          </w:tcPr>
          <w:p>
            <w:pPr>
              <w:spacing w:after="0"/>
              <w:rPr>
                <w:sz w:val="16"/>
                <w:szCs w:val="16"/>
                <w:color w:val="auto"/>
              </w:rPr>
            </w:pPr>
          </w:p>
        </w:tc>
        <w:tc>
          <w:tcPr>
            <w:tcW w:w="12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959595"/>
            </w:tcBorders>
          </w:tcPr>
          <w:p>
            <w:pPr>
              <w:spacing w:after="0"/>
              <w:rPr>
                <w:sz w:val="16"/>
                <w:szCs w:val="16"/>
                <w:color w:val="auto"/>
              </w:rPr>
            </w:pPr>
          </w:p>
        </w:tc>
        <w:tc>
          <w:tcPr>
            <w:tcW w:w="1040" w:type="dxa"/>
            <w:vAlign w:val="bottom"/>
            <w:tcBorders>
              <w:bottom w:val="single" w:sz="8" w:color="959595"/>
            </w:tcBorders>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9595"/>
            </w:tcBorders>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31,792</w:t>
            </w:r>
          </w:p>
        </w:tc>
        <w:tc>
          <w:tcPr>
            <w:tcW w:w="360" w:type="dxa"/>
            <w:vAlign w:val="bottom"/>
            <w:tcBorders>
              <w:bottom w:val="single" w:sz="8" w:color="959595"/>
            </w:tcBorders>
          </w:tcPr>
          <w:p>
            <w:pPr>
              <w:ind w:left="60"/>
              <w:spacing w:after="0"/>
              <w:rPr>
                <w:sz w:val="20"/>
                <w:szCs w:val="20"/>
                <w:color w:val="auto"/>
              </w:rPr>
            </w:pPr>
            <w:r>
              <w:rPr>
                <w:rFonts w:ascii="Arial" w:cs="Arial" w:eastAsia="Arial" w:hAnsi="Arial"/>
                <w:sz w:val="11"/>
                <w:szCs w:val="11"/>
                <w:color w:val="auto"/>
              </w:rPr>
              <w:t>13</w:t>
            </w:r>
          </w:p>
        </w:tc>
        <w:tc>
          <w:tcPr>
            <w:tcW w:w="1320" w:type="dxa"/>
            <w:vAlign w:val="bottom"/>
            <w:tcBorders>
              <w:bottom w:val="single" w:sz="8" w:color="959595"/>
            </w:tcBorders>
          </w:tcPr>
          <w:p>
            <w:pPr>
              <w:jc w:val="right"/>
              <w:ind w:right="130"/>
              <w:spacing w:after="0"/>
              <w:rPr>
                <w:sz w:val="20"/>
                <w:szCs w:val="20"/>
                <w:color w:val="auto"/>
              </w:rPr>
            </w:pPr>
            <w:r>
              <w:rPr>
                <w:rFonts w:ascii="Arial" w:cs="Arial" w:eastAsia="Arial" w:hAnsi="Arial"/>
                <w:sz w:val="14"/>
                <w:szCs w:val="14"/>
                <w:color w:val="auto"/>
              </w:rPr>
              <w:t>11,285,524</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959595"/>
            </w:tcBorders>
          </w:tcPr>
          <w:p>
            <w:pPr>
              <w:spacing w:after="0"/>
              <w:rPr>
                <w:sz w:val="16"/>
                <w:szCs w:val="16"/>
                <w:color w:val="auto"/>
              </w:rPr>
            </w:pPr>
          </w:p>
        </w:tc>
        <w:tc>
          <w:tcPr>
            <w:tcW w:w="12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Kenneth R. Possenriede</w:t>
            </w:r>
          </w:p>
        </w:tc>
        <w:tc>
          <w:tcPr>
            <w:tcW w:w="1040" w:type="dxa"/>
            <w:vAlign w:val="bottom"/>
            <w:shd w:val="clear" w:color="auto" w:fill="E5E7E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7E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3,470</w:t>
            </w:r>
          </w:p>
        </w:tc>
        <w:tc>
          <w:tcPr>
            <w:tcW w:w="360" w:type="dxa"/>
            <w:vAlign w:val="bottom"/>
            <w:shd w:val="clear" w:color="auto" w:fill="E5E7EF"/>
          </w:tcPr>
          <w:p>
            <w:pPr>
              <w:ind w:left="60"/>
              <w:spacing w:after="0"/>
              <w:rPr>
                <w:sz w:val="20"/>
                <w:szCs w:val="20"/>
                <w:color w:val="auto"/>
              </w:rPr>
            </w:pPr>
            <w:r>
              <w:rPr>
                <w:rFonts w:ascii="Arial" w:cs="Arial" w:eastAsia="Arial" w:hAnsi="Arial"/>
                <w:sz w:val="11"/>
                <w:szCs w:val="11"/>
                <w:color w:val="auto"/>
              </w:rPr>
              <w:t>8</w:t>
            </w: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4"/>
                <w:szCs w:val="14"/>
                <w:color w:val="auto"/>
              </w:rPr>
              <w:t>1,231,781</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7,830</w:t>
            </w:r>
          </w:p>
        </w:tc>
        <w:tc>
          <w:tcPr>
            <w:tcW w:w="520" w:type="dxa"/>
            <w:vAlign w:val="bottom"/>
            <w:shd w:val="clear" w:color="auto" w:fill="E5E7EF"/>
          </w:tcPr>
          <w:p>
            <w:pPr>
              <w:ind w:left="40"/>
              <w:spacing w:after="0"/>
              <w:rPr>
                <w:sz w:val="20"/>
                <w:szCs w:val="20"/>
                <w:color w:val="auto"/>
              </w:rPr>
            </w:pPr>
            <w:r>
              <w:rPr>
                <w:rFonts w:ascii="Arial" w:cs="Arial" w:eastAsia="Arial" w:hAnsi="Arial"/>
                <w:sz w:val="11"/>
                <w:szCs w:val="11"/>
                <w:color w:val="auto"/>
              </w:rPr>
              <w:t>9</w:t>
            </w:r>
          </w:p>
        </w:tc>
        <w:tc>
          <w:tcPr>
            <w:tcW w:w="12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2,779,493</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4,241</w:t>
            </w:r>
          </w:p>
        </w:tc>
        <w:tc>
          <w:tcPr>
            <w:tcW w:w="360" w:type="dxa"/>
            <w:vAlign w:val="bottom"/>
          </w:tcPr>
          <w:p>
            <w:pPr>
              <w:ind w:left="60"/>
              <w:spacing w:after="0"/>
              <w:rPr>
                <w:sz w:val="20"/>
                <w:szCs w:val="20"/>
                <w:color w:val="auto"/>
              </w:rPr>
            </w:pPr>
            <w:r>
              <w:rPr>
                <w:rFonts w:ascii="Arial" w:cs="Arial" w:eastAsia="Arial" w:hAnsi="Arial"/>
                <w:sz w:val="11"/>
                <w:szCs w:val="11"/>
                <w:color w:val="auto"/>
              </w:rPr>
              <w:t>10</w:t>
            </w:r>
          </w:p>
        </w:tc>
        <w:tc>
          <w:tcPr>
            <w:tcW w:w="1320" w:type="dxa"/>
            <w:vAlign w:val="bottom"/>
          </w:tcPr>
          <w:p>
            <w:pPr>
              <w:jc w:val="right"/>
              <w:ind w:right="130"/>
              <w:spacing w:after="0"/>
              <w:rPr>
                <w:sz w:val="20"/>
                <w:szCs w:val="20"/>
                <w:color w:val="auto"/>
              </w:rPr>
            </w:pPr>
            <w:r>
              <w:rPr>
                <w:rFonts w:ascii="Arial" w:cs="Arial" w:eastAsia="Arial" w:hAnsi="Arial"/>
                <w:sz w:val="14"/>
                <w:szCs w:val="14"/>
                <w:color w:val="auto"/>
              </w:rPr>
              <w:t>1,505,470</w:t>
            </w:r>
          </w:p>
        </w:tc>
        <w:tc>
          <w:tcPr>
            <w:tcW w:w="880" w:type="dxa"/>
            <w:vAlign w:val="bottom"/>
          </w:tcPr>
          <w:p>
            <w:pPr>
              <w:jc w:val="right"/>
              <w:spacing w:after="0"/>
              <w:rPr>
                <w:sz w:val="20"/>
                <w:szCs w:val="20"/>
                <w:color w:val="auto"/>
              </w:rPr>
            </w:pPr>
            <w:r>
              <w:rPr>
                <w:rFonts w:ascii="Arial" w:cs="Arial" w:eastAsia="Arial" w:hAnsi="Arial"/>
                <w:sz w:val="14"/>
                <w:szCs w:val="14"/>
                <w:color w:val="auto"/>
              </w:rPr>
              <w:t>14,337</w:t>
            </w:r>
          </w:p>
        </w:tc>
        <w:tc>
          <w:tcPr>
            <w:tcW w:w="520" w:type="dxa"/>
            <w:vAlign w:val="bottom"/>
          </w:tcPr>
          <w:p>
            <w:pPr>
              <w:ind w:left="40"/>
              <w:spacing w:after="0"/>
              <w:rPr>
                <w:sz w:val="20"/>
                <w:szCs w:val="20"/>
                <w:color w:val="auto"/>
              </w:rPr>
            </w:pPr>
            <w:r>
              <w:rPr>
                <w:rFonts w:ascii="Arial" w:cs="Arial" w:eastAsia="Arial" w:hAnsi="Arial"/>
                <w:sz w:val="11"/>
                <w:szCs w:val="11"/>
                <w:color w:val="auto"/>
              </w:rPr>
              <w:t>11</w:t>
            </w:r>
          </w:p>
        </w:tc>
        <w:tc>
          <w:tcPr>
            <w:tcW w:w="1260" w:type="dxa"/>
            <w:vAlign w:val="bottom"/>
          </w:tcPr>
          <w:p>
            <w:pPr>
              <w:jc w:val="right"/>
              <w:spacing w:after="0"/>
              <w:rPr>
                <w:sz w:val="20"/>
                <w:szCs w:val="20"/>
                <w:color w:val="auto"/>
              </w:rPr>
            </w:pPr>
            <w:r>
              <w:rPr>
                <w:rFonts w:ascii="Arial" w:cs="Arial" w:eastAsia="Arial" w:hAnsi="Arial"/>
                <w:sz w:val="14"/>
                <w:szCs w:val="14"/>
                <w:color w:val="auto"/>
              </w:rPr>
              <w:t>5,089,348</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40" w:type="dxa"/>
            <w:vAlign w:val="bottom"/>
            <w:shd w:val="clear" w:color="auto" w:fill="E5E7E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7E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1,017</w:t>
            </w:r>
          </w:p>
        </w:tc>
        <w:tc>
          <w:tcPr>
            <w:tcW w:w="360" w:type="dxa"/>
            <w:vAlign w:val="bottom"/>
            <w:shd w:val="clear" w:color="auto" w:fill="E5E7EF"/>
          </w:tcPr>
          <w:p>
            <w:pPr>
              <w:ind w:left="60"/>
              <w:spacing w:after="0"/>
              <w:rPr>
                <w:sz w:val="20"/>
                <w:szCs w:val="20"/>
                <w:color w:val="auto"/>
              </w:rPr>
            </w:pPr>
            <w:r>
              <w:rPr>
                <w:rFonts w:ascii="Arial" w:cs="Arial" w:eastAsia="Arial" w:hAnsi="Arial"/>
                <w:sz w:val="11"/>
                <w:szCs w:val="11"/>
                <w:color w:val="auto"/>
              </w:rPr>
              <w:t>12</w:t>
            </w: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4"/>
                <w:szCs w:val="14"/>
                <w:color w:val="auto"/>
              </w:rPr>
              <w:t>361,015</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E5E7EF"/>
          </w:tcPr>
          <w:p>
            <w:pPr>
              <w:spacing w:after="0"/>
              <w:rPr>
                <w:sz w:val="16"/>
                <w:szCs w:val="16"/>
                <w:color w:val="auto"/>
              </w:rPr>
            </w:pPr>
          </w:p>
        </w:tc>
        <w:tc>
          <w:tcPr>
            <w:tcW w:w="12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959595"/>
            </w:tcBorders>
          </w:tcPr>
          <w:p>
            <w:pPr>
              <w:spacing w:after="0"/>
              <w:rPr>
                <w:sz w:val="16"/>
                <w:szCs w:val="16"/>
                <w:color w:val="auto"/>
              </w:rPr>
            </w:pPr>
          </w:p>
        </w:tc>
        <w:tc>
          <w:tcPr>
            <w:tcW w:w="1040" w:type="dxa"/>
            <w:vAlign w:val="bottom"/>
            <w:tcBorders>
              <w:bottom w:val="single" w:sz="8" w:color="959595"/>
            </w:tcBorders>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9595"/>
            </w:tcBorders>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392</w:t>
            </w:r>
          </w:p>
        </w:tc>
        <w:tc>
          <w:tcPr>
            <w:tcW w:w="360" w:type="dxa"/>
            <w:vAlign w:val="bottom"/>
            <w:tcBorders>
              <w:bottom w:val="single" w:sz="8" w:color="959595"/>
            </w:tcBorders>
          </w:tcPr>
          <w:p>
            <w:pPr>
              <w:ind w:left="60"/>
              <w:spacing w:after="0"/>
              <w:rPr>
                <w:sz w:val="20"/>
                <w:szCs w:val="20"/>
                <w:color w:val="auto"/>
              </w:rPr>
            </w:pPr>
            <w:r>
              <w:rPr>
                <w:rFonts w:ascii="Arial" w:cs="Arial" w:eastAsia="Arial" w:hAnsi="Arial"/>
                <w:sz w:val="11"/>
                <w:szCs w:val="11"/>
                <w:color w:val="auto"/>
              </w:rPr>
              <w:t>13</w:t>
            </w:r>
          </w:p>
        </w:tc>
        <w:tc>
          <w:tcPr>
            <w:tcW w:w="1320" w:type="dxa"/>
            <w:vAlign w:val="bottom"/>
            <w:tcBorders>
              <w:bottom w:val="single" w:sz="8" w:color="959595"/>
            </w:tcBorders>
          </w:tcPr>
          <w:p>
            <w:pPr>
              <w:jc w:val="right"/>
              <w:ind w:right="130"/>
              <w:spacing w:after="0"/>
              <w:rPr>
                <w:sz w:val="20"/>
                <w:szCs w:val="20"/>
                <w:color w:val="auto"/>
              </w:rPr>
            </w:pPr>
            <w:r>
              <w:rPr>
                <w:rFonts w:ascii="Arial" w:cs="Arial" w:eastAsia="Arial" w:hAnsi="Arial"/>
                <w:sz w:val="14"/>
                <w:szCs w:val="14"/>
                <w:color w:val="auto"/>
              </w:rPr>
              <w:t>139,152</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959595"/>
            </w:tcBorders>
          </w:tcPr>
          <w:p>
            <w:pPr>
              <w:spacing w:after="0"/>
              <w:rPr>
                <w:sz w:val="16"/>
                <w:szCs w:val="16"/>
                <w:color w:val="auto"/>
              </w:rPr>
            </w:pPr>
          </w:p>
        </w:tc>
        <w:tc>
          <w:tcPr>
            <w:tcW w:w="12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Frank A. St. John</w:t>
            </w:r>
          </w:p>
        </w:tc>
        <w:tc>
          <w:tcPr>
            <w:tcW w:w="1040" w:type="dxa"/>
            <w:vAlign w:val="bottom"/>
            <w:shd w:val="clear" w:color="auto" w:fill="E5E7E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7E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117</w:t>
            </w:r>
          </w:p>
        </w:tc>
        <w:tc>
          <w:tcPr>
            <w:tcW w:w="360" w:type="dxa"/>
            <w:vAlign w:val="bottom"/>
            <w:shd w:val="clear" w:color="auto" w:fill="E5E7EF"/>
          </w:tcPr>
          <w:p>
            <w:pPr>
              <w:ind w:left="60"/>
              <w:spacing w:after="0"/>
              <w:rPr>
                <w:sz w:val="20"/>
                <w:szCs w:val="20"/>
                <w:color w:val="auto"/>
              </w:rPr>
            </w:pPr>
            <w:r>
              <w:rPr>
                <w:rFonts w:ascii="Arial" w:cs="Arial" w:eastAsia="Arial" w:hAnsi="Arial"/>
                <w:sz w:val="11"/>
                <w:szCs w:val="11"/>
                <w:color w:val="auto"/>
              </w:rPr>
              <w:t>5</w:t>
            </w: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4"/>
                <w:szCs w:val="14"/>
                <w:color w:val="auto"/>
              </w:rPr>
              <w:t>41,533</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257</w:t>
            </w:r>
          </w:p>
        </w:tc>
        <w:tc>
          <w:tcPr>
            <w:tcW w:w="520" w:type="dxa"/>
            <w:vAlign w:val="bottom"/>
            <w:shd w:val="clear" w:color="auto" w:fill="E5E7EF"/>
          </w:tcPr>
          <w:p>
            <w:pPr>
              <w:ind w:left="40"/>
              <w:spacing w:after="0"/>
              <w:rPr>
                <w:sz w:val="20"/>
                <w:szCs w:val="20"/>
                <w:color w:val="auto"/>
              </w:rPr>
            </w:pPr>
            <w:r>
              <w:rPr>
                <w:rFonts w:ascii="Arial" w:cs="Arial" w:eastAsia="Arial" w:hAnsi="Arial"/>
                <w:sz w:val="11"/>
                <w:szCs w:val="11"/>
                <w:color w:val="auto"/>
              </w:rPr>
              <w:t>6</w:t>
            </w:r>
          </w:p>
        </w:tc>
        <w:tc>
          <w:tcPr>
            <w:tcW w:w="12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91,230</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3,510</w:t>
            </w:r>
          </w:p>
        </w:tc>
        <w:tc>
          <w:tcPr>
            <w:tcW w:w="360" w:type="dxa"/>
            <w:vAlign w:val="bottom"/>
          </w:tcPr>
          <w:p>
            <w:pPr>
              <w:ind w:left="60"/>
              <w:spacing w:after="0"/>
              <w:rPr>
                <w:sz w:val="20"/>
                <w:szCs w:val="20"/>
                <w:color w:val="auto"/>
              </w:rPr>
            </w:pPr>
            <w:r>
              <w:rPr>
                <w:rFonts w:ascii="Arial" w:cs="Arial" w:eastAsia="Arial" w:hAnsi="Arial"/>
                <w:sz w:val="11"/>
                <w:szCs w:val="11"/>
                <w:color w:val="auto"/>
              </w:rPr>
              <w:t>8</w:t>
            </w:r>
          </w:p>
        </w:tc>
        <w:tc>
          <w:tcPr>
            <w:tcW w:w="1320" w:type="dxa"/>
            <w:vAlign w:val="bottom"/>
          </w:tcPr>
          <w:p>
            <w:pPr>
              <w:jc w:val="right"/>
              <w:ind w:right="170"/>
              <w:spacing w:after="0"/>
              <w:rPr>
                <w:sz w:val="20"/>
                <w:szCs w:val="20"/>
                <w:color w:val="auto"/>
              </w:rPr>
            </w:pPr>
            <w:r>
              <w:rPr>
                <w:rFonts w:ascii="Arial" w:cs="Arial" w:eastAsia="Arial" w:hAnsi="Arial"/>
                <w:sz w:val="14"/>
                <w:szCs w:val="14"/>
                <w:color w:val="auto"/>
              </w:rPr>
              <w:t>1,245,980</w:t>
            </w:r>
          </w:p>
        </w:tc>
        <w:tc>
          <w:tcPr>
            <w:tcW w:w="880" w:type="dxa"/>
            <w:vAlign w:val="bottom"/>
          </w:tcPr>
          <w:p>
            <w:pPr>
              <w:jc w:val="right"/>
              <w:spacing w:after="0"/>
              <w:rPr>
                <w:sz w:val="20"/>
                <w:szCs w:val="20"/>
                <w:color w:val="auto"/>
              </w:rPr>
            </w:pPr>
            <w:r>
              <w:rPr>
                <w:rFonts w:ascii="Arial" w:cs="Arial" w:eastAsia="Arial" w:hAnsi="Arial"/>
                <w:sz w:val="14"/>
                <w:szCs w:val="14"/>
                <w:color w:val="auto"/>
              </w:rPr>
              <w:t>7,578</w:t>
            </w:r>
          </w:p>
        </w:tc>
        <w:tc>
          <w:tcPr>
            <w:tcW w:w="520" w:type="dxa"/>
            <w:vAlign w:val="bottom"/>
          </w:tcPr>
          <w:p>
            <w:pPr>
              <w:ind w:left="40"/>
              <w:spacing w:after="0"/>
              <w:rPr>
                <w:sz w:val="20"/>
                <w:szCs w:val="20"/>
                <w:color w:val="auto"/>
              </w:rPr>
            </w:pPr>
            <w:r>
              <w:rPr>
                <w:rFonts w:ascii="Arial" w:cs="Arial" w:eastAsia="Arial" w:hAnsi="Arial"/>
                <w:sz w:val="11"/>
                <w:szCs w:val="11"/>
                <w:color w:val="auto"/>
              </w:rPr>
              <w:t>9</w:t>
            </w:r>
          </w:p>
        </w:tc>
        <w:tc>
          <w:tcPr>
            <w:tcW w:w="1260" w:type="dxa"/>
            <w:vAlign w:val="bottom"/>
          </w:tcPr>
          <w:p>
            <w:pPr>
              <w:jc w:val="right"/>
              <w:spacing w:after="0"/>
              <w:rPr>
                <w:sz w:val="20"/>
                <w:szCs w:val="20"/>
                <w:color w:val="auto"/>
              </w:rPr>
            </w:pPr>
            <w:r>
              <w:rPr>
                <w:rFonts w:ascii="Arial" w:cs="Arial" w:eastAsia="Arial" w:hAnsi="Arial"/>
                <w:sz w:val="14"/>
                <w:szCs w:val="14"/>
                <w:color w:val="auto"/>
              </w:rPr>
              <w:t>2,690,038</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40" w:type="dxa"/>
            <w:vAlign w:val="bottom"/>
            <w:shd w:val="clear" w:color="auto" w:fill="E5E7E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7E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3,866</w:t>
            </w:r>
          </w:p>
        </w:tc>
        <w:tc>
          <w:tcPr>
            <w:tcW w:w="360" w:type="dxa"/>
            <w:vAlign w:val="bottom"/>
            <w:shd w:val="clear" w:color="auto" w:fill="E5E7EF"/>
          </w:tcPr>
          <w:p>
            <w:pPr>
              <w:ind w:left="60"/>
              <w:spacing w:after="0"/>
              <w:rPr>
                <w:sz w:val="20"/>
                <w:szCs w:val="20"/>
                <w:color w:val="auto"/>
              </w:rPr>
            </w:pPr>
            <w:r>
              <w:rPr>
                <w:rFonts w:ascii="Arial" w:cs="Arial" w:eastAsia="Arial" w:hAnsi="Arial"/>
                <w:sz w:val="11"/>
                <w:szCs w:val="11"/>
                <w:color w:val="auto"/>
              </w:rPr>
              <w:t>10</w:t>
            </w: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4"/>
                <w:szCs w:val="14"/>
                <w:color w:val="auto"/>
              </w:rPr>
              <w:t>1,372,353</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12,506</w:t>
            </w:r>
          </w:p>
        </w:tc>
        <w:tc>
          <w:tcPr>
            <w:tcW w:w="520" w:type="dxa"/>
            <w:vAlign w:val="bottom"/>
            <w:shd w:val="clear" w:color="auto" w:fill="E5E7EF"/>
          </w:tcPr>
          <w:p>
            <w:pPr>
              <w:ind w:left="40"/>
              <w:spacing w:after="0"/>
              <w:rPr>
                <w:sz w:val="20"/>
                <w:szCs w:val="20"/>
                <w:color w:val="auto"/>
              </w:rPr>
            </w:pPr>
            <w:r>
              <w:rPr>
                <w:rFonts w:ascii="Arial" w:cs="Arial" w:eastAsia="Arial" w:hAnsi="Arial"/>
                <w:sz w:val="11"/>
                <w:szCs w:val="11"/>
                <w:color w:val="auto"/>
              </w:rPr>
              <w:t>11</w:t>
            </w:r>
          </w:p>
        </w:tc>
        <w:tc>
          <w:tcPr>
            <w:tcW w:w="12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4,439,380</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3,045</w:t>
            </w:r>
          </w:p>
        </w:tc>
        <w:tc>
          <w:tcPr>
            <w:tcW w:w="360" w:type="dxa"/>
            <w:vAlign w:val="bottom"/>
          </w:tcPr>
          <w:p>
            <w:pPr>
              <w:ind w:left="60"/>
              <w:spacing w:after="0"/>
              <w:rPr>
                <w:sz w:val="20"/>
                <w:szCs w:val="20"/>
                <w:color w:val="auto"/>
              </w:rPr>
            </w:pPr>
            <w:r>
              <w:rPr>
                <w:rFonts w:ascii="Arial" w:cs="Arial" w:eastAsia="Arial" w:hAnsi="Arial"/>
                <w:sz w:val="11"/>
                <w:szCs w:val="11"/>
                <w:color w:val="auto"/>
              </w:rPr>
              <w:t>12</w:t>
            </w:r>
          </w:p>
        </w:tc>
        <w:tc>
          <w:tcPr>
            <w:tcW w:w="1320" w:type="dxa"/>
            <w:vAlign w:val="bottom"/>
          </w:tcPr>
          <w:p>
            <w:pPr>
              <w:jc w:val="right"/>
              <w:ind w:right="130"/>
              <w:spacing w:after="0"/>
              <w:rPr>
                <w:sz w:val="20"/>
                <w:szCs w:val="20"/>
                <w:color w:val="auto"/>
              </w:rPr>
            </w:pPr>
            <w:r>
              <w:rPr>
                <w:rFonts w:ascii="Arial" w:cs="Arial" w:eastAsia="Arial" w:hAnsi="Arial"/>
                <w:sz w:val="14"/>
                <w:szCs w:val="14"/>
                <w:color w:val="auto"/>
              </w:rPr>
              <w:t>1,080,914</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959595"/>
            </w:tcBorders>
          </w:tcPr>
          <w:p>
            <w:pPr>
              <w:spacing w:after="0"/>
              <w:rPr>
                <w:sz w:val="16"/>
                <w:szCs w:val="16"/>
                <w:color w:val="auto"/>
              </w:rPr>
            </w:pPr>
          </w:p>
        </w:tc>
        <w:tc>
          <w:tcPr>
            <w:tcW w:w="1040" w:type="dxa"/>
            <w:vAlign w:val="bottom"/>
            <w:tcBorders>
              <w:bottom w:val="single" w:sz="8" w:color="959595"/>
            </w:tcBorders>
            <w:shd w:val="clear" w:color="auto" w:fill="E5E7E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shd w:val="clear" w:color="auto" w:fill="E5E7E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9595"/>
            </w:tcBorders>
            <w:shd w:val="clear" w:color="auto" w:fill="E5E7EF"/>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959595"/>
            </w:tcBorders>
            <w:gridSpan w:val="2"/>
            <w:shd w:val="clear" w:color="auto" w:fill="E5E7EF"/>
          </w:tcPr>
          <w:p>
            <w:pPr>
              <w:jc w:val="right"/>
              <w:spacing w:after="0"/>
              <w:rPr>
                <w:sz w:val="20"/>
                <w:szCs w:val="20"/>
                <w:color w:val="auto"/>
              </w:rPr>
            </w:pPr>
            <w:r>
              <w:rPr>
                <w:rFonts w:ascii="Arial" w:cs="Arial" w:eastAsia="Arial" w:hAnsi="Arial"/>
                <w:sz w:val="14"/>
                <w:szCs w:val="14"/>
                <w:color w:val="auto"/>
              </w:rPr>
              <w:t>9,356</w:t>
            </w:r>
          </w:p>
        </w:tc>
        <w:tc>
          <w:tcPr>
            <w:tcW w:w="360" w:type="dxa"/>
            <w:vAlign w:val="bottom"/>
            <w:tcBorders>
              <w:bottom w:val="single" w:sz="8" w:color="959595"/>
            </w:tcBorders>
            <w:shd w:val="clear" w:color="auto" w:fill="E5E7EF"/>
          </w:tcPr>
          <w:p>
            <w:pPr>
              <w:ind w:left="60"/>
              <w:spacing w:after="0"/>
              <w:rPr>
                <w:sz w:val="20"/>
                <w:szCs w:val="20"/>
                <w:color w:val="auto"/>
              </w:rPr>
            </w:pPr>
            <w:r>
              <w:rPr>
                <w:rFonts w:ascii="Arial" w:cs="Arial" w:eastAsia="Arial" w:hAnsi="Arial"/>
                <w:sz w:val="11"/>
                <w:szCs w:val="11"/>
                <w:color w:val="auto"/>
              </w:rPr>
              <w:t>13</w:t>
            </w:r>
          </w:p>
        </w:tc>
        <w:tc>
          <w:tcPr>
            <w:tcW w:w="1320" w:type="dxa"/>
            <w:vAlign w:val="bottom"/>
            <w:tcBorders>
              <w:bottom w:val="single" w:sz="8" w:color="959595"/>
            </w:tcBorders>
            <w:shd w:val="clear" w:color="auto" w:fill="E5E7EF"/>
          </w:tcPr>
          <w:p>
            <w:pPr>
              <w:jc w:val="right"/>
              <w:ind w:right="130"/>
              <w:spacing w:after="0"/>
              <w:rPr>
                <w:sz w:val="20"/>
                <w:szCs w:val="20"/>
                <w:color w:val="auto"/>
              </w:rPr>
            </w:pPr>
            <w:r>
              <w:rPr>
                <w:rFonts w:ascii="Arial" w:cs="Arial" w:eastAsia="Arial" w:hAnsi="Arial"/>
                <w:sz w:val="14"/>
                <w:szCs w:val="14"/>
                <w:color w:val="auto"/>
              </w:rPr>
              <w:t>3,321,193</w:t>
            </w: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959595"/>
            </w:tcBorders>
            <w:shd w:val="clear" w:color="auto" w:fill="E5E7EF"/>
          </w:tcPr>
          <w:p>
            <w:pPr>
              <w:spacing w:after="0"/>
              <w:rPr>
                <w:sz w:val="16"/>
                <w:szCs w:val="16"/>
                <w:color w:val="auto"/>
              </w:rPr>
            </w:pPr>
          </w:p>
        </w:tc>
        <w:tc>
          <w:tcPr>
            <w:tcW w:w="126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Richard F. Ambrose</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2,994</w:t>
            </w:r>
          </w:p>
        </w:tc>
        <w:tc>
          <w:tcPr>
            <w:tcW w:w="360" w:type="dxa"/>
            <w:vAlign w:val="bottom"/>
          </w:tcPr>
          <w:p>
            <w:pPr>
              <w:ind w:left="60"/>
              <w:spacing w:after="0"/>
              <w:rPr>
                <w:sz w:val="20"/>
                <w:szCs w:val="20"/>
                <w:color w:val="auto"/>
              </w:rPr>
            </w:pPr>
            <w:r>
              <w:rPr>
                <w:rFonts w:ascii="Arial" w:cs="Arial" w:eastAsia="Arial" w:hAnsi="Arial"/>
                <w:sz w:val="11"/>
                <w:szCs w:val="11"/>
                <w:color w:val="auto"/>
              </w:rPr>
              <w:t>8</w:t>
            </w:r>
          </w:p>
        </w:tc>
        <w:tc>
          <w:tcPr>
            <w:tcW w:w="1320" w:type="dxa"/>
            <w:vAlign w:val="bottom"/>
          </w:tcPr>
          <w:p>
            <w:pPr>
              <w:jc w:val="right"/>
              <w:ind w:right="130"/>
              <w:spacing w:after="0"/>
              <w:rPr>
                <w:sz w:val="20"/>
                <w:szCs w:val="20"/>
                <w:color w:val="auto"/>
              </w:rPr>
            </w:pPr>
            <w:r>
              <w:rPr>
                <w:rFonts w:ascii="Arial" w:cs="Arial" w:eastAsia="Arial" w:hAnsi="Arial"/>
                <w:sz w:val="14"/>
                <w:szCs w:val="14"/>
                <w:color w:val="auto"/>
              </w:rPr>
              <w:t>1,062,810</w:t>
            </w:r>
          </w:p>
        </w:tc>
        <w:tc>
          <w:tcPr>
            <w:tcW w:w="880" w:type="dxa"/>
            <w:vAlign w:val="bottom"/>
          </w:tcPr>
          <w:p>
            <w:pPr>
              <w:jc w:val="right"/>
              <w:spacing w:after="0"/>
              <w:rPr>
                <w:sz w:val="20"/>
                <w:szCs w:val="20"/>
                <w:color w:val="auto"/>
              </w:rPr>
            </w:pPr>
            <w:r>
              <w:rPr>
                <w:rFonts w:ascii="Arial" w:cs="Arial" w:eastAsia="Arial" w:hAnsi="Arial"/>
                <w:sz w:val="14"/>
                <w:szCs w:val="14"/>
                <w:color w:val="auto"/>
              </w:rPr>
              <w:t>6,736</w:t>
            </w:r>
          </w:p>
        </w:tc>
        <w:tc>
          <w:tcPr>
            <w:tcW w:w="520" w:type="dxa"/>
            <w:vAlign w:val="bottom"/>
          </w:tcPr>
          <w:p>
            <w:pPr>
              <w:ind w:left="40"/>
              <w:spacing w:after="0"/>
              <w:rPr>
                <w:sz w:val="20"/>
                <w:szCs w:val="20"/>
                <w:color w:val="auto"/>
              </w:rPr>
            </w:pPr>
            <w:r>
              <w:rPr>
                <w:rFonts w:ascii="Arial" w:cs="Arial" w:eastAsia="Arial" w:hAnsi="Arial"/>
                <w:sz w:val="11"/>
                <w:szCs w:val="11"/>
                <w:color w:val="auto"/>
              </w:rPr>
              <w:t>9</w:t>
            </w:r>
          </w:p>
        </w:tc>
        <w:tc>
          <w:tcPr>
            <w:tcW w:w="1260" w:type="dxa"/>
            <w:vAlign w:val="bottom"/>
          </w:tcPr>
          <w:p>
            <w:pPr>
              <w:jc w:val="right"/>
              <w:spacing w:after="0"/>
              <w:rPr>
                <w:sz w:val="20"/>
                <w:szCs w:val="20"/>
                <w:color w:val="auto"/>
              </w:rPr>
            </w:pPr>
            <w:r>
              <w:rPr>
                <w:rFonts w:ascii="Arial" w:cs="Arial" w:eastAsia="Arial" w:hAnsi="Arial"/>
                <w:sz w:val="14"/>
                <w:szCs w:val="14"/>
                <w:color w:val="auto"/>
              </w:rPr>
              <w:t>2,391,145</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40" w:type="dxa"/>
            <w:vAlign w:val="bottom"/>
            <w:shd w:val="clear" w:color="auto" w:fill="E5E7E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7E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3,710</w:t>
            </w:r>
          </w:p>
        </w:tc>
        <w:tc>
          <w:tcPr>
            <w:tcW w:w="360" w:type="dxa"/>
            <w:vAlign w:val="bottom"/>
            <w:shd w:val="clear" w:color="auto" w:fill="E5E7EF"/>
          </w:tcPr>
          <w:p>
            <w:pPr>
              <w:ind w:left="60"/>
              <w:spacing w:after="0"/>
              <w:rPr>
                <w:sz w:val="20"/>
                <w:szCs w:val="20"/>
                <w:color w:val="auto"/>
              </w:rPr>
            </w:pPr>
            <w:r>
              <w:rPr>
                <w:rFonts w:ascii="Arial" w:cs="Arial" w:eastAsia="Arial" w:hAnsi="Arial"/>
                <w:sz w:val="11"/>
                <w:szCs w:val="11"/>
                <w:color w:val="auto"/>
              </w:rPr>
              <w:t>10</w:t>
            </w: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4"/>
                <w:szCs w:val="14"/>
                <w:color w:val="auto"/>
              </w:rPr>
              <w:t>1,316,976</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12,506</w:t>
            </w:r>
          </w:p>
        </w:tc>
        <w:tc>
          <w:tcPr>
            <w:tcW w:w="520" w:type="dxa"/>
            <w:vAlign w:val="bottom"/>
            <w:shd w:val="clear" w:color="auto" w:fill="E5E7EF"/>
          </w:tcPr>
          <w:p>
            <w:pPr>
              <w:ind w:left="40"/>
              <w:spacing w:after="0"/>
              <w:rPr>
                <w:sz w:val="20"/>
                <w:szCs w:val="20"/>
                <w:color w:val="auto"/>
              </w:rPr>
            </w:pPr>
            <w:r>
              <w:rPr>
                <w:rFonts w:ascii="Arial" w:cs="Arial" w:eastAsia="Arial" w:hAnsi="Arial"/>
                <w:sz w:val="11"/>
                <w:szCs w:val="11"/>
                <w:color w:val="auto"/>
              </w:rPr>
              <w:t>11</w:t>
            </w:r>
          </w:p>
        </w:tc>
        <w:tc>
          <w:tcPr>
            <w:tcW w:w="12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4,439,380</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2,922</w:t>
            </w:r>
          </w:p>
        </w:tc>
        <w:tc>
          <w:tcPr>
            <w:tcW w:w="360" w:type="dxa"/>
            <w:vAlign w:val="bottom"/>
          </w:tcPr>
          <w:p>
            <w:pPr>
              <w:ind w:left="60"/>
              <w:spacing w:after="0"/>
              <w:rPr>
                <w:sz w:val="20"/>
                <w:szCs w:val="20"/>
                <w:color w:val="auto"/>
              </w:rPr>
            </w:pPr>
            <w:r>
              <w:rPr>
                <w:rFonts w:ascii="Arial" w:cs="Arial" w:eastAsia="Arial" w:hAnsi="Arial"/>
                <w:sz w:val="11"/>
                <w:szCs w:val="11"/>
                <w:color w:val="auto"/>
              </w:rPr>
              <w:t>12</w:t>
            </w:r>
          </w:p>
        </w:tc>
        <w:tc>
          <w:tcPr>
            <w:tcW w:w="1320" w:type="dxa"/>
            <w:vAlign w:val="bottom"/>
          </w:tcPr>
          <w:p>
            <w:pPr>
              <w:jc w:val="right"/>
              <w:ind w:right="130"/>
              <w:spacing w:after="0"/>
              <w:rPr>
                <w:sz w:val="20"/>
                <w:szCs w:val="20"/>
                <w:color w:val="auto"/>
              </w:rPr>
            </w:pPr>
            <w:r>
              <w:rPr>
                <w:rFonts w:ascii="Arial" w:cs="Arial" w:eastAsia="Arial" w:hAnsi="Arial"/>
                <w:sz w:val="14"/>
                <w:szCs w:val="14"/>
                <w:color w:val="auto"/>
              </w:rPr>
              <w:t>1,037,252</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959595"/>
            </w:tcBorders>
          </w:tcPr>
          <w:p>
            <w:pPr>
              <w:spacing w:after="0"/>
              <w:rPr>
                <w:sz w:val="16"/>
                <w:szCs w:val="16"/>
                <w:color w:val="auto"/>
              </w:rPr>
            </w:pPr>
          </w:p>
        </w:tc>
        <w:tc>
          <w:tcPr>
            <w:tcW w:w="1040" w:type="dxa"/>
            <w:vAlign w:val="bottom"/>
            <w:tcBorders>
              <w:bottom w:val="single" w:sz="8" w:color="959595"/>
            </w:tcBorders>
            <w:shd w:val="clear" w:color="auto" w:fill="E5E7E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shd w:val="clear" w:color="auto" w:fill="E5E7E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9595"/>
            </w:tcBorders>
            <w:shd w:val="clear" w:color="auto" w:fill="E5E7EF"/>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959595"/>
            </w:tcBorders>
            <w:gridSpan w:val="2"/>
            <w:shd w:val="clear" w:color="auto" w:fill="E5E7EF"/>
          </w:tcPr>
          <w:p>
            <w:pPr>
              <w:jc w:val="right"/>
              <w:spacing w:after="0"/>
              <w:rPr>
                <w:sz w:val="20"/>
                <w:szCs w:val="20"/>
                <w:color w:val="auto"/>
              </w:rPr>
            </w:pPr>
            <w:r>
              <w:rPr>
                <w:rFonts w:ascii="Arial" w:cs="Arial" w:eastAsia="Arial" w:hAnsi="Arial"/>
                <w:sz w:val="14"/>
                <w:szCs w:val="14"/>
                <w:color w:val="auto"/>
              </w:rPr>
              <w:t>9,356</w:t>
            </w:r>
          </w:p>
        </w:tc>
        <w:tc>
          <w:tcPr>
            <w:tcW w:w="360" w:type="dxa"/>
            <w:vAlign w:val="bottom"/>
            <w:tcBorders>
              <w:bottom w:val="single" w:sz="8" w:color="959595"/>
            </w:tcBorders>
            <w:shd w:val="clear" w:color="auto" w:fill="E5E7EF"/>
          </w:tcPr>
          <w:p>
            <w:pPr>
              <w:ind w:left="60"/>
              <w:spacing w:after="0"/>
              <w:rPr>
                <w:sz w:val="20"/>
                <w:szCs w:val="20"/>
                <w:color w:val="auto"/>
              </w:rPr>
            </w:pPr>
            <w:r>
              <w:rPr>
                <w:rFonts w:ascii="Arial" w:cs="Arial" w:eastAsia="Arial" w:hAnsi="Arial"/>
                <w:sz w:val="11"/>
                <w:szCs w:val="11"/>
                <w:color w:val="auto"/>
              </w:rPr>
              <w:t>13</w:t>
            </w:r>
          </w:p>
        </w:tc>
        <w:tc>
          <w:tcPr>
            <w:tcW w:w="1320" w:type="dxa"/>
            <w:vAlign w:val="bottom"/>
            <w:tcBorders>
              <w:bottom w:val="single" w:sz="8" w:color="959595"/>
            </w:tcBorders>
            <w:shd w:val="clear" w:color="auto" w:fill="E5E7EF"/>
          </w:tcPr>
          <w:p>
            <w:pPr>
              <w:jc w:val="right"/>
              <w:ind w:right="130"/>
              <w:spacing w:after="0"/>
              <w:rPr>
                <w:sz w:val="20"/>
                <w:szCs w:val="20"/>
                <w:color w:val="auto"/>
              </w:rPr>
            </w:pPr>
            <w:r>
              <w:rPr>
                <w:rFonts w:ascii="Arial" w:cs="Arial" w:eastAsia="Arial" w:hAnsi="Arial"/>
                <w:sz w:val="14"/>
                <w:szCs w:val="14"/>
                <w:color w:val="auto"/>
              </w:rPr>
              <w:t>3,321,193</w:t>
            </w: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959595"/>
            </w:tcBorders>
            <w:shd w:val="clear" w:color="auto" w:fill="E5E7EF"/>
          </w:tcPr>
          <w:p>
            <w:pPr>
              <w:spacing w:after="0"/>
              <w:rPr>
                <w:sz w:val="16"/>
                <w:szCs w:val="16"/>
                <w:color w:val="auto"/>
              </w:rPr>
            </w:pPr>
          </w:p>
        </w:tc>
        <w:tc>
          <w:tcPr>
            <w:tcW w:w="126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Michele A. Evans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3,379</w:t>
            </w:r>
          </w:p>
        </w:tc>
        <w:tc>
          <w:tcPr>
            <w:tcW w:w="360" w:type="dxa"/>
            <w:vAlign w:val="bottom"/>
          </w:tcPr>
          <w:p>
            <w:pPr>
              <w:ind w:left="60"/>
              <w:spacing w:after="0"/>
              <w:rPr>
                <w:sz w:val="20"/>
                <w:szCs w:val="20"/>
                <w:color w:val="auto"/>
              </w:rPr>
            </w:pPr>
            <w:r>
              <w:rPr>
                <w:rFonts w:ascii="Arial" w:cs="Arial" w:eastAsia="Arial" w:hAnsi="Arial"/>
                <w:sz w:val="11"/>
                <w:szCs w:val="11"/>
                <w:color w:val="auto"/>
              </w:rPr>
              <w:t>8</w:t>
            </w:r>
          </w:p>
        </w:tc>
        <w:tc>
          <w:tcPr>
            <w:tcW w:w="1320" w:type="dxa"/>
            <w:vAlign w:val="bottom"/>
          </w:tcPr>
          <w:p>
            <w:pPr>
              <w:jc w:val="right"/>
              <w:ind w:right="130"/>
              <w:spacing w:after="0"/>
              <w:rPr>
                <w:sz w:val="20"/>
                <w:szCs w:val="20"/>
                <w:color w:val="auto"/>
              </w:rPr>
            </w:pPr>
            <w:r>
              <w:rPr>
                <w:rFonts w:ascii="Arial" w:cs="Arial" w:eastAsia="Arial" w:hAnsi="Arial"/>
                <w:sz w:val="14"/>
                <w:szCs w:val="14"/>
                <w:color w:val="auto"/>
              </w:rPr>
              <w:t>1,199,477</w:t>
            </w:r>
          </w:p>
        </w:tc>
        <w:tc>
          <w:tcPr>
            <w:tcW w:w="880" w:type="dxa"/>
            <w:vAlign w:val="bottom"/>
          </w:tcPr>
          <w:p>
            <w:pPr>
              <w:jc w:val="right"/>
              <w:spacing w:after="0"/>
              <w:rPr>
                <w:sz w:val="20"/>
                <w:szCs w:val="20"/>
                <w:color w:val="auto"/>
              </w:rPr>
            </w:pPr>
            <w:r>
              <w:rPr>
                <w:rFonts w:ascii="Arial" w:cs="Arial" w:eastAsia="Arial" w:hAnsi="Arial"/>
                <w:sz w:val="14"/>
                <w:szCs w:val="14"/>
                <w:color w:val="auto"/>
              </w:rPr>
              <w:t>7,578</w:t>
            </w:r>
          </w:p>
        </w:tc>
        <w:tc>
          <w:tcPr>
            <w:tcW w:w="520" w:type="dxa"/>
            <w:vAlign w:val="bottom"/>
          </w:tcPr>
          <w:p>
            <w:pPr>
              <w:ind w:left="40"/>
              <w:spacing w:after="0"/>
              <w:rPr>
                <w:sz w:val="20"/>
                <w:szCs w:val="20"/>
                <w:color w:val="auto"/>
              </w:rPr>
            </w:pPr>
            <w:r>
              <w:rPr>
                <w:rFonts w:ascii="Arial" w:cs="Arial" w:eastAsia="Arial" w:hAnsi="Arial"/>
                <w:sz w:val="11"/>
                <w:szCs w:val="11"/>
                <w:color w:val="auto"/>
              </w:rPr>
              <w:t>9</w:t>
            </w:r>
          </w:p>
        </w:tc>
        <w:tc>
          <w:tcPr>
            <w:tcW w:w="1260" w:type="dxa"/>
            <w:vAlign w:val="bottom"/>
          </w:tcPr>
          <w:p>
            <w:pPr>
              <w:jc w:val="right"/>
              <w:spacing w:after="0"/>
              <w:rPr>
                <w:sz w:val="20"/>
                <w:szCs w:val="20"/>
                <w:color w:val="auto"/>
              </w:rPr>
            </w:pPr>
            <w:r>
              <w:rPr>
                <w:rFonts w:ascii="Arial" w:cs="Arial" w:eastAsia="Arial" w:hAnsi="Arial"/>
                <w:sz w:val="14"/>
                <w:szCs w:val="14"/>
                <w:color w:val="auto"/>
              </w:rPr>
              <w:t>2,690,038</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40" w:type="dxa"/>
            <w:vAlign w:val="bottom"/>
            <w:shd w:val="clear" w:color="auto" w:fill="E5E7E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7E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E5E7EF"/>
          </w:tcPr>
          <w:p>
            <w:pPr>
              <w:jc w:val="right"/>
              <w:spacing w:after="0"/>
              <w:rPr>
                <w:sz w:val="20"/>
                <w:szCs w:val="20"/>
                <w:color w:val="auto"/>
              </w:rPr>
            </w:pPr>
            <w:r>
              <w:rPr>
                <w:rFonts w:ascii="Arial" w:cs="Arial" w:eastAsia="Arial" w:hAnsi="Arial"/>
                <w:sz w:val="14"/>
                <w:szCs w:val="14"/>
                <w:color w:val="auto"/>
              </w:rPr>
              <w:t>3,721</w:t>
            </w:r>
          </w:p>
        </w:tc>
        <w:tc>
          <w:tcPr>
            <w:tcW w:w="360" w:type="dxa"/>
            <w:vAlign w:val="bottom"/>
            <w:shd w:val="clear" w:color="auto" w:fill="E5E7EF"/>
          </w:tcPr>
          <w:p>
            <w:pPr>
              <w:ind w:left="60"/>
              <w:spacing w:after="0"/>
              <w:rPr>
                <w:sz w:val="20"/>
                <w:szCs w:val="20"/>
                <w:color w:val="auto"/>
              </w:rPr>
            </w:pPr>
            <w:r>
              <w:rPr>
                <w:rFonts w:ascii="Arial" w:cs="Arial" w:eastAsia="Arial" w:hAnsi="Arial"/>
                <w:sz w:val="11"/>
                <w:szCs w:val="11"/>
                <w:color w:val="auto"/>
              </w:rPr>
              <w:t>10</w:t>
            </w:r>
          </w:p>
        </w:tc>
        <w:tc>
          <w:tcPr>
            <w:tcW w:w="1320" w:type="dxa"/>
            <w:vAlign w:val="bottom"/>
            <w:shd w:val="clear" w:color="auto" w:fill="E5E7EF"/>
          </w:tcPr>
          <w:p>
            <w:pPr>
              <w:jc w:val="right"/>
              <w:ind w:right="130"/>
              <w:spacing w:after="0"/>
              <w:rPr>
                <w:sz w:val="20"/>
                <w:szCs w:val="20"/>
                <w:color w:val="auto"/>
              </w:rPr>
            </w:pPr>
            <w:r>
              <w:rPr>
                <w:rFonts w:ascii="Arial" w:cs="Arial" w:eastAsia="Arial" w:hAnsi="Arial"/>
                <w:sz w:val="14"/>
                <w:szCs w:val="14"/>
                <w:color w:val="auto"/>
              </w:rPr>
              <w:t>1,320,881</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12,506</w:t>
            </w:r>
          </w:p>
        </w:tc>
        <w:tc>
          <w:tcPr>
            <w:tcW w:w="520" w:type="dxa"/>
            <w:vAlign w:val="bottom"/>
            <w:shd w:val="clear" w:color="auto" w:fill="E5E7EF"/>
          </w:tcPr>
          <w:p>
            <w:pPr>
              <w:ind w:left="40"/>
              <w:spacing w:after="0"/>
              <w:rPr>
                <w:sz w:val="20"/>
                <w:szCs w:val="20"/>
                <w:color w:val="auto"/>
              </w:rPr>
            </w:pPr>
            <w:r>
              <w:rPr>
                <w:rFonts w:ascii="Arial" w:cs="Arial" w:eastAsia="Arial" w:hAnsi="Arial"/>
                <w:sz w:val="11"/>
                <w:szCs w:val="11"/>
                <w:color w:val="auto"/>
              </w:rPr>
              <w:t>11</w:t>
            </w:r>
          </w:p>
        </w:tc>
        <w:tc>
          <w:tcPr>
            <w:tcW w:w="12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4,439,380</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1,289</w:t>
            </w:r>
          </w:p>
        </w:tc>
        <w:tc>
          <w:tcPr>
            <w:tcW w:w="360" w:type="dxa"/>
            <w:vAlign w:val="bottom"/>
          </w:tcPr>
          <w:p>
            <w:pPr>
              <w:ind w:left="60"/>
              <w:spacing w:after="0"/>
              <w:rPr>
                <w:sz w:val="20"/>
                <w:szCs w:val="20"/>
                <w:color w:val="auto"/>
              </w:rPr>
            </w:pPr>
            <w:r>
              <w:rPr>
                <w:rFonts w:ascii="Arial" w:cs="Arial" w:eastAsia="Arial" w:hAnsi="Arial"/>
                <w:sz w:val="11"/>
                <w:szCs w:val="11"/>
                <w:color w:val="auto"/>
              </w:rPr>
              <w:t>12</w:t>
            </w:r>
          </w:p>
        </w:tc>
        <w:tc>
          <w:tcPr>
            <w:tcW w:w="1320" w:type="dxa"/>
            <w:vAlign w:val="bottom"/>
          </w:tcPr>
          <w:p>
            <w:pPr>
              <w:jc w:val="right"/>
              <w:ind w:right="130"/>
              <w:spacing w:after="0"/>
              <w:rPr>
                <w:sz w:val="20"/>
                <w:szCs w:val="20"/>
                <w:color w:val="auto"/>
              </w:rPr>
            </w:pPr>
            <w:r>
              <w:rPr>
                <w:rFonts w:ascii="Arial" w:cs="Arial" w:eastAsia="Arial" w:hAnsi="Arial"/>
                <w:sz w:val="14"/>
                <w:szCs w:val="14"/>
                <w:color w:val="auto"/>
              </w:rPr>
              <w:t>457,569</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959595"/>
            </w:tcBorders>
          </w:tcPr>
          <w:p>
            <w:pPr>
              <w:spacing w:after="0"/>
              <w:rPr>
                <w:sz w:val="16"/>
                <w:szCs w:val="16"/>
                <w:color w:val="auto"/>
              </w:rPr>
            </w:pPr>
          </w:p>
        </w:tc>
        <w:tc>
          <w:tcPr>
            <w:tcW w:w="1040" w:type="dxa"/>
            <w:vAlign w:val="bottom"/>
            <w:tcBorders>
              <w:bottom w:val="single" w:sz="8" w:color="959595"/>
            </w:tcBorders>
            <w:shd w:val="clear" w:color="auto" w:fill="E5E7E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9595"/>
            </w:tcBorders>
            <w:shd w:val="clear" w:color="auto" w:fill="E5E7E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9595"/>
            </w:tcBorders>
            <w:shd w:val="clear" w:color="auto" w:fill="E5E7EF"/>
          </w:tcPr>
          <w:p>
            <w:pPr>
              <w:jc w:val="center"/>
              <w:ind w:left="549"/>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959595"/>
            </w:tcBorders>
            <w:gridSpan w:val="2"/>
            <w:shd w:val="clear" w:color="auto" w:fill="E5E7EF"/>
          </w:tcPr>
          <w:p>
            <w:pPr>
              <w:jc w:val="right"/>
              <w:spacing w:after="0"/>
              <w:rPr>
                <w:sz w:val="20"/>
                <w:szCs w:val="20"/>
                <w:color w:val="auto"/>
              </w:rPr>
            </w:pPr>
            <w:r>
              <w:rPr>
                <w:rFonts w:ascii="Arial" w:cs="Arial" w:eastAsia="Arial" w:hAnsi="Arial"/>
                <w:sz w:val="14"/>
                <w:szCs w:val="14"/>
                <w:color w:val="auto"/>
              </w:rPr>
              <w:t>496</w:t>
            </w:r>
          </w:p>
        </w:tc>
        <w:tc>
          <w:tcPr>
            <w:tcW w:w="360" w:type="dxa"/>
            <w:vAlign w:val="bottom"/>
            <w:tcBorders>
              <w:bottom w:val="single" w:sz="8" w:color="959595"/>
            </w:tcBorders>
            <w:shd w:val="clear" w:color="auto" w:fill="E5E7EF"/>
          </w:tcPr>
          <w:p>
            <w:pPr>
              <w:ind w:left="60"/>
              <w:spacing w:after="0"/>
              <w:rPr>
                <w:sz w:val="20"/>
                <w:szCs w:val="20"/>
                <w:color w:val="auto"/>
              </w:rPr>
            </w:pPr>
            <w:r>
              <w:rPr>
                <w:rFonts w:ascii="Arial" w:cs="Arial" w:eastAsia="Arial" w:hAnsi="Arial"/>
                <w:sz w:val="11"/>
                <w:szCs w:val="11"/>
                <w:color w:val="auto"/>
              </w:rPr>
              <w:t>13</w:t>
            </w:r>
          </w:p>
        </w:tc>
        <w:tc>
          <w:tcPr>
            <w:tcW w:w="1320" w:type="dxa"/>
            <w:vAlign w:val="bottom"/>
            <w:tcBorders>
              <w:bottom w:val="single" w:sz="8" w:color="959595"/>
            </w:tcBorders>
            <w:shd w:val="clear" w:color="auto" w:fill="E5E7EF"/>
          </w:tcPr>
          <w:p>
            <w:pPr>
              <w:jc w:val="right"/>
              <w:ind w:right="130"/>
              <w:spacing w:after="0"/>
              <w:rPr>
                <w:sz w:val="20"/>
                <w:szCs w:val="20"/>
                <w:color w:val="auto"/>
              </w:rPr>
            </w:pPr>
            <w:r>
              <w:rPr>
                <w:rFonts w:ascii="Arial" w:cs="Arial" w:eastAsia="Arial" w:hAnsi="Arial"/>
                <w:sz w:val="14"/>
                <w:szCs w:val="14"/>
                <w:color w:val="auto"/>
              </w:rPr>
              <w:t>176,070</w:t>
            </w:r>
          </w:p>
        </w:tc>
        <w:tc>
          <w:tcPr>
            <w:tcW w:w="8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959595"/>
            </w:tcBorders>
            <w:shd w:val="clear" w:color="auto" w:fill="E5E7EF"/>
          </w:tcPr>
          <w:p>
            <w:pPr>
              <w:spacing w:after="0"/>
              <w:rPr>
                <w:sz w:val="16"/>
                <w:szCs w:val="16"/>
                <w:color w:val="auto"/>
              </w:rPr>
            </w:pPr>
          </w:p>
        </w:tc>
        <w:tc>
          <w:tcPr>
            <w:tcW w:w="126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260" w:right="80" w:hanging="252"/>
        <w:spacing w:after="0" w:line="232" w:lineRule="auto"/>
        <w:tabs>
          <w:tab w:leader="none" w:pos="266"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Includes all unvested RSUs as well as PSUs granted on February 22, 2018 for the 2018-2020 performance period. The vesting period for the PSUs ended on February 22, 2021 and the performance period ended on December 31, 2020. The number of shares shown in column (g) for the 2018-2020 PSUs is the number of shares earned under the PSU metrics and paid upon vesting.</w:t>
      </w:r>
    </w:p>
    <w:p>
      <w:pPr>
        <w:spacing w:after="0" w:line="58" w:lineRule="exact"/>
        <w:rPr>
          <w:rFonts w:ascii="Arial" w:cs="Arial" w:eastAsia="Arial" w:hAnsi="Arial"/>
          <w:sz w:val="19"/>
          <w:szCs w:val="19"/>
          <w:color w:val="auto"/>
          <w:vertAlign w:val="superscript"/>
        </w:rPr>
      </w:pPr>
    </w:p>
    <w:p>
      <w:pPr>
        <w:ind w:left="260" w:right="60" w:hanging="252"/>
        <w:spacing w:after="0" w:line="232" w:lineRule="auto"/>
        <w:tabs>
          <w:tab w:leader="none" w:pos="266"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The market value shown in column (h) is calculated by multiplying the number of shares shown in column (g) by the December 31, 2020 per share closing price of our stock ($354.98). NEOs also receive a cash payment for deferred dividend equivalents accrued through the end of the performance period for PSUs and the end of the vesting period for RSUs.</w:t>
      </w:r>
    </w:p>
    <w:p>
      <w:pPr>
        <w:spacing w:after="0" w:line="58" w:lineRule="exact"/>
        <w:rPr>
          <w:rFonts w:ascii="Arial" w:cs="Arial" w:eastAsia="Arial" w:hAnsi="Arial"/>
          <w:sz w:val="19"/>
          <w:szCs w:val="19"/>
          <w:color w:val="auto"/>
          <w:vertAlign w:val="superscript"/>
        </w:rPr>
      </w:pPr>
    </w:p>
    <w:p>
      <w:pPr>
        <w:ind w:left="260" w:right="60" w:hanging="252"/>
        <w:spacing w:after="0" w:line="244" w:lineRule="auto"/>
        <w:tabs>
          <w:tab w:leader="none" w:pos="266"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Represents PSUs granted on February 27, 2020 and July 27, 2020 for the 2020-2022 performance period and on February 21, 2019 for the 2019-2021 performance period; the PSUs are earned and paid out in shares of our common stock at the end of the three-year vesting period based upon performance on three separate metrics (Relative TSR, Performance Cash, and ROIC). The number of shares of stock shown in column (i) is based upon the threshold level of performance for each of the three metrics or, if performance to date on the metric has exceeded the threshold level (as is the case for performance through December 31, 2020), the estimated level of performance as of December 31, 2020.</w:t>
      </w:r>
    </w:p>
    <w:p>
      <w:pPr>
        <w:spacing w:after="0" w:line="54" w:lineRule="exact"/>
        <w:rPr>
          <w:rFonts w:ascii="Arial" w:cs="Arial" w:eastAsia="Arial" w:hAnsi="Arial"/>
          <w:sz w:val="19"/>
          <w:szCs w:val="19"/>
          <w:color w:val="auto"/>
          <w:vertAlign w:val="superscript"/>
        </w:rPr>
      </w:pPr>
    </w:p>
    <w:p>
      <w:pPr>
        <w:ind w:left="260" w:right="100" w:hanging="252"/>
        <w:spacing w:after="0" w:line="219" w:lineRule="auto"/>
        <w:tabs>
          <w:tab w:leader="none" w:pos="266"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The market value shown in column (j) is calculated by multiplying the number of PSUs reported in column (i) by the December 31, 2020 per share closing price of our stock ($354.98). NEOs also receive cash payment for deferred dividend equivalents accrued through the end of the performance period.</w:t>
      </w:r>
    </w:p>
    <w:p>
      <w:pPr>
        <w:spacing w:after="0" w:line="58" w:lineRule="exact"/>
        <w:rPr>
          <w:rFonts w:ascii="Arial" w:cs="Arial" w:eastAsia="Arial" w:hAnsi="Arial"/>
          <w:sz w:val="19"/>
          <w:szCs w:val="19"/>
          <w:color w:val="auto"/>
          <w:vertAlign w:val="superscript"/>
        </w:rPr>
      </w:pPr>
    </w:p>
    <w:p>
      <w:pPr>
        <w:ind w:left="260" w:right="300" w:hanging="252"/>
        <w:spacing w:after="0" w:line="219" w:lineRule="auto"/>
        <w:tabs>
          <w:tab w:leader="none" w:pos="266"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Represents RSUs granted on July 27, 2020, which vest on July 27, 2023, except that vesting may occur earlier as described in the “2020 Grants of Plan-Based Awards” table.</w:t>
      </w:r>
    </w:p>
    <w:p>
      <w:pPr>
        <w:spacing w:after="0" w:line="58" w:lineRule="exact"/>
        <w:rPr>
          <w:rFonts w:ascii="Arial" w:cs="Arial" w:eastAsia="Arial" w:hAnsi="Arial"/>
          <w:sz w:val="19"/>
          <w:szCs w:val="19"/>
          <w:color w:val="auto"/>
          <w:vertAlign w:val="superscript"/>
        </w:rPr>
      </w:pPr>
    </w:p>
    <w:p>
      <w:pPr>
        <w:ind w:left="260" w:right="260" w:hanging="252"/>
        <w:spacing w:after="0" w:line="219" w:lineRule="auto"/>
        <w:tabs>
          <w:tab w:leader="none" w:pos="266"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Represents PSUs granted on July 27, 2020 that have a performance period through December 31, 2022 and a vesting date of February 27, 2023 but provide for pro rata payments for certain terminations as described in the “2020 Grants of Plan-Based Awards” table.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65</w:t>
      </w:r>
    </w:p>
    <w:p>
      <w:pPr>
        <w:sectPr>
          <w:pgSz w:w="11900" w:h="16838" w:orient="portrait"/>
          <w:cols w:equalWidth="0" w:num="1">
            <w:col w:w="11240"/>
          </w:cols>
          <w:pgMar w:left="320" w:top="609" w:right="339" w:bottom="1440" w:gutter="0" w:footer="0" w:header="0"/>
        </w:sectPr>
      </w:pPr>
    </w:p>
    <w:bookmarkStart w:id="69" w:name="page70"/>
    <w:bookmarkEnd w:id="69"/>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1" w:lineRule="exact"/>
        <w:rPr>
          <w:sz w:val="20"/>
          <w:szCs w:val="20"/>
          <w:color w:val="auto"/>
        </w:rPr>
      </w:pPr>
    </w:p>
    <w:p>
      <w:pPr>
        <w:ind w:left="260" w:right="120" w:hanging="252"/>
        <w:spacing w:after="0" w:line="219" w:lineRule="auto"/>
        <w:tabs>
          <w:tab w:leader="none" w:pos="266"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RSUs granted to Mr. Taiclet as an equity replacement award to offset forfeited unvested incentives from his former employer, of which 7,689 RSUs vest on July 27, 2021 and 7,180 RSUs vest on July 27, 2022, except that vesting may occur earlier as described in the “2020 Grants of Plan-Based Awards” table.</w:t>
      </w:r>
    </w:p>
    <w:p>
      <w:pPr>
        <w:spacing w:after="0" w:line="58" w:lineRule="exact"/>
        <w:rPr>
          <w:rFonts w:ascii="Arial" w:cs="Arial" w:eastAsia="Arial" w:hAnsi="Arial"/>
          <w:sz w:val="19"/>
          <w:szCs w:val="19"/>
          <w:color w:val="auto"/>
          <w:vertAlign w:val="superscript"/>
        </w:rPr>
      </w:pPr>
    </w:p>
    <w:p>
      <w:pPr>
        <w:ind w:left="260" w:right="420" w:hanging="252"/>
        <w:spacing w:after="0" w:line="219" w:lineRule="auto"/>
        <w:tabs>
          <w:tab w:leader="none" w:pos="266"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RSUs granted on February 27, 2020, which vest February 27, 2023, except that vesting may occur earlier as described in the “2020 Grants of Plan-Based Awards” table.</w:t>
      </w:r>
    </w:p>
    <w:p>
      <w:pPr>
        <w:spacing w:after="0" w:line="58" w:lineRule="exact"/>
        <w:rPr>
          <w:rFonts w:ascii="Arial" w:cs="Arial" w:eastAsia="Arial" w:hAnsi="Arial"/>
          <w:sz w:val="19"/>
          <w:szCs w:val="19"/>
          <w:color w:val="auto"/>
          <w:vertAlign w:val="superscript"/>
        </w:rPr>
      </w:pPr>
    </w:p>
    <w:p>
      <w:pPr>
        <w:ind w:left="260" w:right="220" w:hanging="252"/>
        <w:spacing w:after="0" w:line="219" w:lineRule="auto"/>
        <w:tabs>
          <w:tab w:leader="none" w:pos="266"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PSUs granted on February 27, 2020 and which are earned over a three-year period but provide for pro rata payments for certain terminations as described in the “2020 Grants of Plan-Based Awards” table.</w:t>
      </w:r>
    </w:p>
    <w:p>
      <w:pPr>
        <w:spacing w:after="0" w:line="58" w:lineRule="exact"/>
        <w:rPr>
          <w:rFonts w:ascii="Arial" w:cs="Arial" w:eastAsia="Arial" w:hAnsi="Arial"/>
          <w:sz w:val="19"/>
          <w:szCs w:val="19"/>
          <w:color w:val="auto"/>
          <w:vertAlign w:val="superscript"/>
        </w:rPr>
      </w:pPr>
    </w:p>
    <w:p>
      <w:pPr>
        <w:ind w:left="260" w:right="220" w:hanging="252"/>
        <w:spacing w:after="0" w:line="219" w:lineRule="auto"/>
        <w:tabs>
          <w:tab w:leader="none" w:pos="264"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RSUs granted on February 21, 2019, which vest on February 21, 2022, except that vesting may occur earlier as described in the “2020 Grants of Plan-Based Awards” table.</w:t>
      </w:r>
    </w:p>
    <w:p>
      <w:pPr>
        <w:spacing w:after="0" w:line="58" w:lineRule="exact"/>
        <w:rPr>
          <w:rFonts w:ascii="Arial" w:cs="Arial" w:eastAsia="Arial" w:hAnsi="Arial"/>
          <w:sz w:val="19"/>
          <w:szCs w:val="19"/>
          <w:color w:val="auto"/>
          <w:vertAlign w:val="superscript"/>
        </w:rPr>
      </w:pPr>
    </w:p>
    <w:p>
      <w:pPr>
        <w:ind w:left="260" w:right="220" w:hanging="252"/>
        <w:spacing w:after="0" w:line="219" w:lineRule="auto"/>
        <w:tabs>
          <w:tab w:leader="none" w:pos="264"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PSUs granted on February 21, 2019 and which are earned over a three-year period but provide for pro rata payments for certain terminations as described in the “2020 Grants of Plan-Based Awards” table.</w:t>
      </w:r>
    </w:p>
    <w:p>
      <w:pPr>
        <w:spacing w:after="0" w:line="12"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RSUs granted on February 22, 2018, which vested on February 22, 2021.</w:t>
      </w:r>
    </w:p>
    <w:p>
      <w:pPr>
        <w:spacing w:after="0" w:line="57"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PSUs granted on February 22, 2018, which vested on February 22, 2021.</w:t>
      </w: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color w:val="002E6D"/>
        </w:rPr>
        <w:t>Option Exercises and Stock Vested During 2020</w:t>
      </w:r>
    </w:p>
    <w:p>
      <w:pPr>
        <w:spacing w:after="0" w:line="143" w:lineRule="exact"/>
        <w:rPr>
          <w:sz w:val="20"/>
          <w:szCs w:val="20"/>
          <w:color w:val="auto"/>
        </w:rPr>
      </w:pPr>
    </w:p>
    <w:tbl>
      <w:tblPr>
        <w:tblLayout w:type="fixed"/>
        <w:tblInd w:w="260" w:type="dxa"/>
        <w:tblCellMar>
          <w:top w:w="0" w:type="dxa"/>
          <w:left w:w="0" w:type="dxa"/>
          <w:bottom w:w="0" w:type="dxa"/>
          <w:right w:w="0" w:type="dxa"/>
        </w:tblCellMar>
      </w:tblPr>
      <w:tr>
        <w:trPr>
          <w:trHeight w:val="208"/>
        </w:trPr>
        <w:tc>
          <w:tcPr>
            <w:tcW w:w="4800" w:type="dxa"/>
            <w:vAlign w:val="bottom"/>
            <w:tcBorders>
              <w:bottom w:val="single" w:sz="8" w:color="E5E7EF"/>
            </w:tcBorders>
            <w:shd w:val="clear" w:color="auto" w:fill="E5E7EF"/>
          </w:tcPr>
          <w:p>
            <w:pPr>
              <w:spacing w:after="0"/>
              <w:rPr>
                <w:sz w:val="17"/>
                <w:szCs w:val="17"/>
                <w:color w:val="auto"/>
              </w:rPr>
            </w:pPr>
          </w:p>
        </w:tc>
        <w:tc>
          <w:tcPr>
            <w:tcW w:w="2020" w:type="dxa"/>
            <w:vAlign w:val="bottom"/>
            <w:tcBorders>
              <w:bottom w:val="single" w:sz="8" w:color="E5E7EF"/>
            </w:tcBorders>
            <w:shd w:val="clear" w:color="auto" w:fill="E5E7EF"/>
          </w:tcPr>
          <w:p>
            <w:pPr>
              <w:jc w:val="right"/>
              <w:ind w:right="52"/>
              <w:spacing w:after="0"/>
              <w:rPr>
                <w:sz w:val="20"/>
                <w:szCs w:val="20"/>
                <w:color w:val="auto"/>
              </w:rPr>
            </w:pPr>
            <w:r>
              <w:rPr>
                <w:rFonts w:ascii="Arial" w:cs="Arial" w:eastAsia="Arial" w:hAnsi="Arial"/>
                <w:sz w:val="13"/>
                <w:szCs w:val="13"/>
                <w:color w:val="auto"/>
              </w:rPr>
              <w:t>Option Awards</w:t>
            </w:r>
          </w:p>
        </w:tc>
        <w:tc>
          <w:tcPr>
            <w:tcW w:w="980" w:type="dxa"/>
            <w:vAlign w:val="bottom"/>
            <w:tcBorders>
              <w:bottom w:val="single" w:sz="8" w:color="E5E7EF"/>
            </w:tcBorders>
            <w:shd w:val="clear" w:color="auto" w:fill="E5E7EF"/>
          </w:tcPr>
          <w:p>
            <w:pPr>
              <w:spacing w:after="0"/>
              <w:rPr>
                <w:sz w:val="17"/>
                <w:szCs w:val="17"/>
                <w:color w:val="auto"/>
              </w:rPr>
            </w:pPr>
          </w:p>
        </w:tc>
        <w:tc>
          <w:tcPr>
            <w:tcW w:w="200" w:type="dxa"/>
            <w:vAlign w:val="bottom"/>
            <w:tcBorders>
              <w:bottom w:val="single" w:sz="8" w:color="E5E7EF"/>
            </w:tcBorders>
            <w:shd w:val="clear" w:color="auto" w:fill="E5E7EF"/>
          </w:tcPr>
          <w:p>
            <w:pPr>
              <w:spacing w:after="0"/>
              <w:rPr>
                <w:sz w:val="17"/>
                <w:szCs w:val="17"/>
                <w:color w:val="auto"/>
              </w:rPr>
            </w:pPr>
          </w:p>
        </w:tc>
        <w:tc>
          <w:tcPr>
            <w:tcW w:w="2000" w:type="dxa"/>
            <w:vAlign w:val="bottom"/>
            <w:tcBorders>
              <w:bottom w:val="single" w:sz="8" w:color="E5E7EF"/>
            </w:tcBorders>
            <w:shd w:val="clear" w:color="auto" w:fill="E5E7EF"/>
          </w:tcPr>
          <w:p>
            <w:pPr>
              <w:jc w:val="right"/>
              <w:ind w:right="55"/>
              <w:spacing w:after="0"/>
              <w:rPr>
                <w:sz w:val="20"/>
                <w:szCs w:val="20"/>
                <w:color w:val="auto"/>
              </w:rPr>
            </w:pPr>
            <w:r>
              <w:rPr>
                <w:rFonts w:ascii="Arial" w:cs="Arial" w:eastAsia="Arial" w:hAnsi="Arial"/>
                <w:sz w:val="13"/>
                <w:szCs w:val="13"/>
                <w:color w:val="auto"/>
              </w:rPr>
              <w:t>Stock Awards</w:t>
            </w:r>
          </w:p>
        </w:tc>
        <w:tc>
          <w:tcPr>
            <w:tcW w:w="980" w:type="dxa"/>
            <w:vAlign w:val="bottom"/>
            <w:tcBorders>
              <w:bottom w:val="single" w:sz="8" w:color="E5E7EF"/>
            </w:tcBorders>
            <w:shd w:val="clear" w:color="auto" w:fill="E5E7EF"/>
          </w:tcPr>
          <w:p>
            <w:pPr>
              <w:spacing w:after="0"/>
              <w:rPr>
                <w:sz w:val="17"/>
                <w:szCs w:val="17"/>
                <w:color w:val="auto"/>
              </w:rPr>
            </w:pPr>
          </w:p>
        </w:tc>
      </w:tr>
      <w:tr>
        <w:trPr>
          <w:trHeight w:val="162"/>
        </w:trPr>
        <w:tc>
          <w:tcPr>
            <w:tcW w:w="4800" w:type="dxa"/>
            <w:vAlign w:val="bottom"/>
            <w:tcBorders>
              <w:top w:val="single" w:sz="8" w:color="E5E7EF"/>
            </w:tcBorders>
            <w:shd w:val="clear" w:color="auto" w:fill="E5E7EF"/>
          </w:tcPr>
          <w:p>
            <w:pPr>
              <w:spacing w:after="0"/>
              <w:rPr>
                <w:sz w:val="14"/>
                <w:szCs w:val="14"/>
                <w:color w:val="auto"/>
              </w:rPr>
            </w:pPr>
          </w:p>
        </w:tc>
        <w:tc>
          <w:tcPr>
            <w:tcW w:w="2020" w:type="dxa"/>
            <w:vAlign w:val="bottom"/>
            <w:tcBorders>
              <w:top w:val="single" w:sz="8" w:color="959595"/>
            </w:tcBorders>
            <w:shd w:val="clear" w:color="auto" w:fill="E5E7EF"/>
          </w:tcPr>
          <w:p>
            <w:pPr>
              <w:jc w:val="right"/>
              <w:ind w:right="392"/>
              <w:spacing w:after="0"/>
              <w:rPr>
                <w:sz w:val="20"/>
                <w:szCs w:val="20"/>
                <w:color w:val="auto"/>
              </w:rPr>
            </w:pPr>
            <w:r>
              <w:rPr>
                <w:rFonts w:ascii="Arial" w:cs="Arial" w:eastAsia="Arial" w:hAnsi="Arial"/>
                <w:sz w:val="13"/>
                <w:szCs w:val="13"/>
                <w:color w:val="auto"/>
              </w:rPr>
              <w:t>Number of Shares</w:t>
            </w:r>
          </w:p>
        </w:tc>
        <w:tc>
          <w:tcPr>
            <w:tcW w:w="980" w:type="dxa"/>
            <w:vAlign w:val="bottom"/>
            <w:tcBorders>
              <w:top w:val="single" w:sz="8" w:color="959595"/>
            </w:tcBorders>
            <w:shd w:val="clear" w:color="auto" w:fill="E5E7EF"/>
          </w:tcPr>
          <w:p>
            <w:pPr>
              <w:jc w:val="right"/>
              <w:spacing w:after="0"/>
              <w:rPr>
                <w:sz w:val="20"/>
                <w:szCs w:val="20"/>
                <w:color w:val="auto"/>
              </w:rPr>
            </w:pPr>
            <w:r>
              <w:rPr>
                <w:rFonts w:ascii="Arial" w:cs="Arial" w:eastAsia="Arial" w:hAnsi="Arial"/>
                <w:sz w:val="13"/>
                <w:szCs w:val="13"/>
                <w:color w:val="auto"/>
              </w:rPr>
              <w:t>Value Realized</w:t>
            </w:r>
          </w:p>
        </w:tc>
        <w:tc>
          <w:tcPr>
            <w:tcW w:w="200" w:type="dxa"/>
            <w:vAlign w:val="bottom"/>
            <w:tcBorders>
              <w:top w:val="single" w:sz="8" w:color="E5E7EF"/>
            </w:tcBorders>
            <w:shd w:val="clear" w:color="auto" w:fill="E5E7EF"/>
          </w:tcPr>
          <w:p>
            <w:pPr>
              <w:spacing w:after="0"/>
              <w:rPr>
                <w:sz w:val="14"/>
                <w:szCs w:val="14"/>
                <w:color w:val="auto"/>
              </w:rPr>
            </w:pPr>
          </w:p>
        </w:tc>
        <w:tc>
          <w:tcPr>
            <w:tcW w:w="2000" w:type="dxa"/>
            <w:vAlign w:val="bottom"/>
            <w:tcBorders>
              <w:top w:val="single" w:sz="8" w:color="959595"/>
            </w:tcBorders>
            <w:shd w:val="clear" w:color="auto" w:fill="E5E7EF"/>
          </w:tcPr>
          <w:p>
            <w:pPr>
              <w:jc w:val="right"/>
              <w:ind w:right="335"/>
              <w:spacing w:after="0"/>
              <w:rPr>
                <w:sz w:val="20"/>
                <w:szCs w:val="20"/>
                <w:color w:val="auto"/>
              </w:rPr>
            </w:pPr>
            <w:r>
              <w:rPr>
                <w:rFonts w:ascii="Arial" w:cs="Arial" w:eastAsia="Arial" w:hAnsi="Arial"/>
                <w:sz w:val="13"/>
                <w:szCs w:val="13"/>
                <w:color w:val="auto"/>
              </w:rPr>
              <w:t>Number of Shares</w:t>
            </w:r>
          </w:p>
        </w:tc>
        <w:tc>
          <w:tcPr>
            <w:tcW w:w="980" w:type="dxa"/>
            <w:vAlign w:val="bottom"/>
            <w:tcBorders>
              <w:top w:val="single" w:sz="8" w:color="959595"/>
            </w:tcBorders>
            <w:shd w:val="clear" w:color="auto" w:fill="E5E7EF"/>
          </w:tcPr>
          <w:p>
            <w:pPr>
              <w:jc w:val="right"/>
              <w:spacing w:after="0"/>
              <w:rPr>
                <w:sz w:val="20"/>
                <w:szCs w:val="20"/>
                <w:color w:val="auto"/>
              </w:rPr>
            </w:pPr>
            <w:r>
              <w:rPr>
                <w:rFonts w:ascii="Arial" w:cs="Arial" w:eastAsia="Arial" w:hAnsi="Arial"/>
                <w:sz w:val="13"/>
                <w:szCs w:val="13"/>
                <w:color w:val="auto"/>
              </w:rPr>
              <w:t>Value Realized</w:t>
            </w:r>
          </w:p>
        </w:tc>
      </w:tr>
      <w:tr>
        <w:trPr>
          <w:trHeight w:val="182"/>
        </w:trPr>
        <w:tc>
          <w:tcPr>
            <w:tcW w:w="4800" w:type="dxa"/>
            <w:vAlign w:val="bottom"/>
            <w:shd w:val="clear" w:color="auto" w:fill="E5E7EF"/>
          </w:tcPr>
          <w:p>
            <w:pPr>
              <w:spacing w:after="0"/>
              <w:rPr>
                <w:sz w:val="15"/>
                <w:szCs w:val="15"/>
                <w:color w:val="auto"/>
              </w:rPr>
            </w:pPr>
          </w:p>
        </w:tc>
        <w:tc>
          <w:tcPr>
            <w:tcW w:w="2020" w:type="dxa"/>
            <w:vAlign w:val="bottom"/>
            <w:shd w:val="clear" w:color="auto" w:fill="E5E7EF"/>
          </w:tcPr>
          <w:p>
            <w:pPr>
              <w:jc w:val="right"/>
              <w:ind w:right="392"/>
              <w:spacing w:after="0"/>
              <w:rPr>
                <w:sz w:val="20"/>
                <w:szCs w:val="20"/>
                <w:color w:val="auto"/>
              </w:rPr>
            </w:pPr>
            <w:r>
              <w:rPr>
                <w:rFonts w:ascii="Arial" w:cs="Arial" w:eastAsia="Arial" w:hAnsi="Arial"/>
                <w:sz w:val="13"/>
                <w:szCs w:val="13"/>
                <w:color w:val="auto"/>
              </w:rPr>
              <w:t>Acquired on Exercise</w:t>
            </w:r>
          </w:p>
        </w:tc>
        <w:tc>
          <w:tcPr>
            <w:tcW w:w="9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on Exercise</w:t>
            </w:r>
          </w:p>
        </w:tc>
        <w:tc>
          <w:tcPr>
            <w:tcW w:w="200" w:type="dxa"/>
            <w:vAlign w:val="bottom"/>
            <w:shd w:val="clear" w:color="auto" w:fill="E5E7EF"/>
          </w:tcPr>
          <w:p>
            <w:pPr>
              <w:spacing w:after="0"/>
              <w:rPr>
                <w:sz w:val="15"/>
                <w:szCs w:val="15"/>
                <w:color w:val="auto"/>
              </w:rPr>
            </w:pPr>
          </w:p>
        </w:tc>
        <w:tc>
          <w:tcPr>
            <w:tcW w:w="2000" w:type="dxa"/>
            <w:vAlign w:val="bottom"/>
            <w:shd w:val="clear" w:color="auto" w:fill="E5E7EF"/>
          </w:tcPr>
          <w:p>
            <w:pPr>
              <w:jc w:val="right"/>
              <w:ind w:right="335"/>
              <w:spacing w:after="0" w:line="182" w:lineRule="exact"/>
              <w:rPr>
                <w:sz w:val="20"/>
                <w:szCs w:val="20"/>
                <w:color w:val="auto"/>
              </w:rPr>
            </w:pPr>
            <w:r>
              <w:rPr>
                <w:rFonts w:ascii="Arial" w:cs="Arial" w:eastAsia="Arial" w:hAnsi="Arial"/>
                <w:sz w:val="13"/>
                <w:szCs w:val="13"/>
                <w:color w:val="auto"/>
              </w:rPr>
              <w:t>Acquired on Vesting</w:t>
            </w:r>
            <w:r>
              <w:rPr>
                <w:rFonts w:ascii="Arial" w:cs="Arial" w:eastAsia="Arial" w:hAnsi="Arial"/>
                <w:sz w:val="16"/>
                <w:szCs w:val="16"/>
                <w:color w:val="auto"/>
                <w:vertAlign w:val="superscript"/>
              </w:rPr>
              <w:t>(1)</w:t>
            </w:r>
          </w:p>
        </w:tc>
        <w:tc>
          <w:tcPr>
            <w:tcW w:w="980" w:type="dxa"/>
            <w:vAlign w:val="bottom"/>
            <w:shd w:val="clear" w:color="auto" w:fill="E5E7EF"/>
          </w:tcPr>
          <w:p>
            <w:pPr>
              <w:jc w:val="right"/>
              <w:spacing w:after="0" w:line="182" w:lineRule="exact"/>
              <w:rPr>
                <w:sz w:val="20"/>
                <w:szCs w:val="20"/>
                <w:color w:val="auto"/>
              </w:rPr>
            </w:pPr>
            <w:r>
              <w:rPr>
                <w:rFonts w:ascii="Arial" w:cs="Arial" w:eastAsia="Arial" w:hAnsi="Arial"/>
                <w:sz w:val="13"/>
                <w:szCs w:val="13"/>
                <w:color w:val="auto"/>
              </w:rPr>
              <w:t xml:space="preserve">on Vesting </w:t>
            </w:r>
            <w:r>
              <w:rPr>
                <w:rFonts w:ascii="Arial" w:cs="Arial" w:eastAsia="Arial" w:hAnsi="Arial"/>
                <w:sz w:val="16"/>
                <w:szCs w:val="16"/>
                <w:color w:val="auto"/>
                <w:vertAlign w:val="superscript"/>
              </w:rPr>
              <w:t>(2)</w:t>
            </w:r>
          </w:p>
        </w:tc>
      </w:tr>
      <w:tr>
        <w:trPr>
          <w:trHeight w:val="208"/>
        </w:trPr>
        <w:tc>
          <w:tcPr>
            <w:tcW w:w="4800" w:type="dxa"/>
            <w:vAlign w:val="bottom"/>
            <w:tcBorders>
              <w:bottom w:val="single" w:sz="8" w:color="E5E7EF"/>
            </w:tcBorders>
            <w:shd w:val="clear" w:color="auto" w:fill="E5E7EF"/>
          </w:tcPr>
          <w:p>
            <w:pPr>
              <w:spacing w:after="0"/>
              <w:rPr>
                <w:sz w:val="20"/>
                <w:szCs w:val="20"/>
                <w:color w:val="auto"/>
              </w:rPr>
            </w:pPr>
            <w:r>
              <w:rPr>
                <w:rFonts w:ascii="Arial" w:cs="Arial" w:eastAsia="Arial" w:hAnsi="Arial"/>
                <w:sz w:val="13"/>
                <w:szCs w:val="13"/>
                <w:color w:val="auto"/>
              </w:rPr>
              <w:t>Name</w:t>
            </w:r>
          </w:p>
        </w:tc>
        <w:tc>
          <w:tcPr>
            <w:tcW w:w="2020" w:type="dxa"/>
            <w:vAlign w:val="bottom"/>
            <w:tcBorders>
              <w:bottom w:val="single" w:sz="8" w:color="E5E7EF"/>
            </w:tcBorders>
            <w:shd w:val="clear" w:color="auto" w:fill="E5E7EF"/>
          </w:tcPr>
          <w:p>
            <w:pPr>
              <w:jc w:val="right"/>
              <w:ind w:right="392"/>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2200" w:type="dxa"/>
            <w:vAlign w:val="bottom"/>
            <w:tcBorders>
              <w:bottom w:val="single" w:sz="8" w:color="E5E7EF"/>
            </w:tcBorders>
            <w:gridSpan w:val="2"/>
            <w:shd w:val="clear" w:color="auto" w:fill="E5E7EF"/>
          </w:tcPr>
          <w:p>
            <w:pPr>
              <w:jc w:val="right"/>
              <w:ind w:right="33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4800" w:type="dxa"/>
            <w:vAlign w:val="bottom"/>
            <w:tcBorders>
              <w:top w:val="single" w:sz="8" w:color="959595"/>
              <w:bottom w:val="single" w:sz="8" w:color="E5E7EF"/>
            </w:tcBorders>
            <w:shd w:val="clear" w:color="auto" w:fill="E5E7EF"/>
          </w:tcPr>
          <w:p>
            <w:pPr>
              <w:spacing w:after="0"/>
              <w:rPr>
                <w:sz w:val="20"/>
                <w:szCs w:val="20"/>
                <w:color w:val="auto"/>
              </w:rPr>
            </w:pPr>
            <w:r>
              <w:rPr>
                <w:rFonts w:ascii="Arial" w:cs="Arial" w:eastAsia="Arial" w:hAnsi="Arial"/>
                <w:sz w:val="13"/>
                <w:szCs w:val="13"/>
                <w:color w:val="auto"/>
              </w:rPr>
              <w:t>(a)</w:t>
            </w:r>
          </w:p>
        </w:tc>
        <w:tc>
          <w:tcPr>
            <w:tcW w:w="2020" w:type="dxa"/>
            <w:vAlign w:val="bottom"/>
            <w:tcBorders>
              <w:top w:val="single" w:sz="8" w:color="959595"/>
              <w:bottom w:val="single" w:sz="8" w:color="E5E7EF"/>
            </w:tcBorders>
            <w:shd w:val="clear" w:color="auto" w:fill="E5E7EF"/>
          </w:tcPr>
          <w:p>
            <w:pPr>
              <w:jc w:val="right"/>
              <w:ind w:right="392"/>
              <w:spacing w:after="0"/>
              <w:rPr>
                <w:sz w:val="20"/>
                <w:szCs w:val="20"/>
                <w:color w:val="auto"/>
              </w:rPr>
            </w:pPr>
            <w:r>
              <w:rPr>
                <w:rFonts w:ascii="Arial" w:cs="Arial" w:eastAsia="Arial" w:hAnsi="Arial"/>
                <w:sz w:val="13"/>
                <w:szCs w:val="13"/>
                <w:color w:val="auto"/>
              </w:rPr>
              <w:t>(b)</w:t>
            </w:r>
          </w:p>
        </w:tc>
        <w:tc>
          <w:tcPr>
            <w:tcW w:w="980" w:type="dxa"/>
            <w:vAlign w:val="bottom"/>
            <w:tcBorders>
              <w:top w:val="single" w:sz="8" w:color="959595"/>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(c)</w:t>
            </w:r>
          </w:p>
        </w:tc>
        <w:tc>
          <w:tcPr>
            <w:tcW w:w="200" w:type="dxa"/>
            <w:vAlign w:val="bottom"/>
            <w:tcBorders>
              <w:top w:val="single" w:sz="8" w:color="959595"/>
              <w:bottom w:val="single" w:sz="8" w:color="E5E7EF"/>
            </w:tcBorders>
            <w:shd w:val="clear" w:color="auto" w:fill="E5E7EF"/>
          </w:tcPr>
          <w:p>
            <w:pPr>
              <w:spacing w:after="0"/>
              <w:rPr>
                <w:sz w:val="17"/>
                <w:szCs w:val="17"/>
                <w:color w:val="auto"/>
              </w:rPr>
            </w:pPr>
          </w:p>
        </w:tc>
        <w:tc>
          <w:tcPr>
            <w:tcW w:w="2000" w:type="dxa"/>
            <w:vAlign w:val="bottom"/>
            <w:tcBorders>
              <w:top w:val="single" w:sz="8" w:color="959595"/>
              <w:bottom w:val="single" w:sz="8" w:color="E5E7EF"/>
            </w:tcBorders>
            <w:shd w:val="clear" w:color="auto" w:fill="E5E7EF"/>
          </w:tcPr>
          <w:p>
            <w:pPr>
              <w:jc w:val="right"/>
              <w:ind w:right="335"/>
              <w:spacing w:after="0"/>
              <w:rPr>
                <w:sz w:val="20"/>
                <w:szCs w:val="20"/>
                <w:color w:val="auto"/>
              </w:rPr>
            </w:pPr>
            <w:r>
              <w:rPr>
                <w:rFonts w:ascii="Arial" w:cs="Arial" w:eastAsia="Arial" w:hAnsi="Arial"/>
                <w:sz w:val="13"/>
                <w:szCs w:val="13"/>
                <w:color w:val="auto"/>
              </w:rPr>
              <w:t>(d)</w:t>
            </w:r>
          </w:p>
        </w:tc>
        <w:tc>
          <w:tcPr>
            <w:tcW w:w="980" w:type="dxa"/>
            <w:vAlign w:val="bottom"/>
            <w:tcBorders>
              <w:top w:val="single" w:sz="8" w:color="959595"/>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(e)</w:t>
            </w:r>
          </w:p>
        </w:tc>
      </w:tr>
      <w:tr>
        <w:trPr>
          <w:trHeight w:val="183"/>
        </w:trPr>
        <w:tc>
          <w:tcPr>
            <w:tcW w:w="4800" w:type="dxa"/>
            <w:vAlign w:val="bottom"/>
            <w:tcBorders>
              <w:top w:val="single" w:sz="8" w:color="959595"/>
              <w:bottom w:val="single" w:sz="8" w:color="959595"/>
            </w:tcBorders>
          </w:tcPr>
          <w:p>
            <w:pPr>
              <w:spacing w:after="0"/>
              <w:rPr>
                <w:sz w:val="20"/>
                <w:szCs w:val="20"/>
                <w:color w:val="auto"/>
              </w:rPr>
            </w:pPr>
            <w:r>
              <w:rPr>
                <w:rFonts w:ascii="Arial" w:cs="Arial" w:eastAsia="Arial" w:hAnsi="Arial"/>
                <w:sz w:val="14"/>
                <w:szCs w:val="14"/>
                <w:b w:val="1"/>
                <w:bCs w:val="1"/>
                <w:color w:val="002E6D"/>
              </w:rPr>
              <w:t>James D. Taiclet</w:t>
            </w:r>
          </w:p>
        </w:tc>
        <w:tc>
          <w:tcPr>
            <w:tcW w:w="2020" w:type="dxa"/>
            <w:vAlign w:val="bottom"/>
            <w:tcBorders>
              <w:top w:val="single" w:sz="8" w:color="959595"/>
              <w:bottom w:val="single" w:sz="8" w:color="959595"/>
            </w:tcBorders>
            <w:shd w:val="clear" w:color="auto" w:fill="E5E7EF"/>
          </w:tcPr>
          <w:p>
            <w:pPr>
              <w:jc w:val="right"/>
              <w:ind w:right="452"/>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959595"/>
              <w:bottom w:val="single" w:sz="8" w:color="959595"/>
            </w:tcBorders>
            <w:shd w:val="clear" w:color="auto" w:fill="E5E7EF"/>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959595"/>
              <w:bottom w:val="single" w:sz="8" w:color="959595"/>
            </w:tcBorders>
            <w:shd w:val="clear" w:color="auto" w:fill="E5E7EF"/>
          </w:tcPr>
          <w:p>
            <w:pPr>
              <w:spacing w:after="0"/>
              <w:rPr>
                <w:sz w:val="15"/>
                <w:szCs w:val="15"/>
                <w:color w:val="auto"/>
              </w:rPr>
            </w:pPr>
          </w:p>
        </w:tc>
        <w:tc>
          <w:tcPr>
            <w:tcW w:w="2000" w:type="dxa"/>
            <w:vAlign w:val="bottom"/>
            <w:tcBorders>
              <w:top w:val="single" w:sz="8" w:color="959595"/>
              <w:bottom w:val="single" w:sz="8" w:color="959595"/>
            </w:tcBorders>
            <w:shd w:val="clear" w:color="auto" w:fill="E5E7EF"/>
          </w:tcPr>
          <w:p>
            <w:pPr>
              <w:jc w:val="right"/>
              <w:ind w:right="395"/>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959595"/>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800" w:type="dxa"/>
            <w:vAlign w:val="bottom"/>
            <w:tcBorders>
              <w:bottom w:val="single" w:sz="8" w:color="959595"/>
            </w:tcBorders>
          </w:tcPr>
          <w:p>
            <w:pPr>
              <w:spacing w:after="0"/>
              <w:rPr>
                <w:sz w:val="20"/>
                <w:szCs w:val="20"/>
                <w:color w:val="auto"/>
              </w:rPr>
            </w:pPr>
            <w:r>
              <w:rPr>
                <w:rFonts w:ascii="Arial" w:cs="Arial" w:eastAsia="Arial" w:hAnsi="Arial"/>
                <w:sz w:val="14"/>
                <w:szCs w:val="14"/>
                <w:b w:val="1"/>
                <w:bCs w:val="1"/>
                <w:color w:val="002E6D"/>
              </w:rPr>
              <w:t>Marillyn A. Hewson</w:t>
            </w:r>
          </w:p>
        </w:tc>
        <w:tc>
          <w:tcPr>
            <w:tcW w:w="2020" w:type="dxa"/>
            <w:vAlign w:val="bottom"/>
            <w:tcBorders>
              <w:bottom w:val="single" w:sz="8" w:color="959595"/>
            </w:tcBorders>
          </w:tcPr>
          <w:p>
            <w:pPr>
              <w:jc w:val="right"/>
              <w:ind w:right="4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959595"/>
            </w:tcBorders>
            <w:gridSpan w:val="2"/>
          </w:tcPr>
          <w:p>
            <w:pPr>
              <w:jc w:val="right"/>
              <w:ind w:right="395"/>
              <w:spacing w:after="0"/>
              <w:rPr>
                <w:sz w:val="20"/>
                <w:szCs w:val="20"/>
                <w:color w:val="auto"/>
              </w:rPr>
            </w:pPr>
            <w:r>
              <w:rPr>
                <w:rFonts w:ascii="Arial" w:cs="Arial" w:eastAsia="Arial" w:hAnsi="Arial"/>
                <w:sz w:val="14"/>
                <w:szCs w:val="14"/>
                <w:color w:val="auto"/>
              </w:rPr>
              <w:t>53,113</w:t>
            </w:r>
          </w:p>
        </w:tc>
        <w:tc>
          <w:tcPr>
            <w:tcW w:w="9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22,942,579</w:t>
            </w:r>
          </w:p>
        </w:tc>
      </w:tr>
      <w:tr>
        <w:trPr>
          <w:trHeight w:val="183"/>
        </w:trPr>
        <w:tc>
          <w:tcPr>
            <w:tcW w:w="4800" w:type="dxa"/>
            <w:vAlign w:val="bottom"/>
            <w:tcBorders>
              <w:bottom w:val="single" w:sz="8" w:color="959595"/>
            </w:tcBorders>
          </w:tcPr>
          <w:p>
            <w:pPr>
              <w:spacing w:after="0"/>
              <w:rPr>
                <w:sz w:val="20"/>
                <w:szCs w:val="20"/>
                <w:color w:val="auto"/>
              </w:rPr>
            </w:pPr>
            <w:r>
              <w:rPr>
                <w:rFonts w:ascii="Arial" w:cs="Arial" w:eastAsia="Arial" w:hAnsi="Arial"/>
                <w:sz w:val="14"/>
                <w:szCs w:val="14"/>
                <w:b w:val="1"/>
                <w:bCs w:val="1"/>
                <w:color w:val="002E6D"/>
              </w:rPr>
              <w:t>Kenneth R. Possenriede</w:t>
            </w:r>
          </w:p>
        </w:tc>
        <w:tc>
          <w:tcPr>
            <w:tcW w:w="2020" w:type="dxa"/>
            <w:vAlign w:val="bottom"/>
            <w:tcBorders>
              <w:bottom w:val="single" w:sz="8" w:color="959595"/>
            </w:tcBorders>
            <w:shd w:val="clear" w:color="auto" w:fill="E5E7EF"/>
          </w:tcPr>
          <w:p>
            <w:pPr>
              <w:jc w:val="right"/>
              <w:ind w:right="4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shd w:val="clear" w:color="auto" w:fill="E5E7EF"/>
          </w:tcPr>
          <w:p>
            <w:pPr>
              <w:jc w:val="right"/>
              <w:ind w:right="12"/>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959595"/>
            </w:tcBorders>
            <w:gridSpan w:val="2"/>
            <w:shd w:val="clear" w:color="auto" w:fill="E5E7EF"/>
          </w:tcPr>
          <w:p>
            <w:pPr>
              <w:jc w:val="right"/>
              <w:ind w:right="395"/>
              <w:spacing w:after="0"/>
              <w:rPr>
                <w:sz w:val="20"/>
                <w:szCs w:val="20"/>
                <w:color w:val="auto"/>
              </w:rPr>
            </w:pPr>
            <w:r>
              <w:rPr>
                <w:rFonts w:ascii="Arial" w:cs="Arial" w:eastAsia="Arial" w:hAnsi="Arial"/>
                <w:sz w:val="14"/>
                <w:szCs w:val="14"/>
                <w:color w:val="auto"/>
              </w:rPr>
              <w:t>2,197</w:t>
            </w:r>
          </w:p>
        </w:tc>
        <w:tc>
          <w:tcPr>
            <w:tcW w:w="9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939,858</w:t>
            </w:r>
          </w:p>
        </w:tc>
      </w:tr>
      <w:tr>
        <w:trPr>
          <w:trHeight w:val="183"/>
        </w:trPr>
        <w:tc>
          <w:tcPr>
            <w:tcW w:w="4800" w:type="dxa"/>
            <w:vAlign w:val="bottom"/>
            <w:tcBorders>
              <w:bottom w:val="single" w:sz="8" w:color="959595"/>
            </w:tcBorders>
          </w:tcPr>
          <w:p>
            <w:pPr>
              <w:spacing w:after="0"/>
              <w:rPr>
                <w:sz w:val="20"/>
                <w:szCs w:val="20"/>
                <w:color w:val="auto"/>
              </w:rPr>
            </w:pPr>
            <w:r>
              <w:rPr>
                <w:rFonts w:ascii="Arial" w:cs="Arial" w:eastAsia="Arial" w:hAnsi="Arial"/>
                <w:sz w:val="14"/>
                <w:szCs w:val="14"/>
                <w:b w:val="1"/>
                <w:bCs w:val="1"/>
                <w:color w:val="002E6D"/>
              </w:rPr>
              <w:t>Frank A. St. John</w:t>
            </w:r>
          </w:p>
        </w:tc>
        <w:tc>
          <w:tcPr>
            <w:tcW w:w="2020" w:type="dxa"/>
            <w:vAlign w:val="bottom"/>
            <w:tcBorders>
              <w:bottom w:val="single" w:sz="8" w:color="959595"/>
            </w:tcBorders>
          </w:tcPr>
          <w:p>
            <w:pPr>
              <w:jc w:val="right"/>
              <w:ind w:right="4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959595"/>
            </w:tcBorders>
            <w:gridSpan w:val="2"/>
          </w:tcPr>
          <w:p>
            <w:pPr>
              <w:jc w:val="right"/>
              <w:ind w:right="395"/>
              <w:spacing w:after="0"/>
              <w:rPr>
                <w:sz w:val="20"/>
                <w:szCs w:val="20"/>
                <w:color w:val="auto"/>
              </w:rPr>
            </w:pPr>
            <w:r>
              <w:rPr>
                <w:rFonts w:ascii="Arial" w:cs="Arial" w:eastAsia="Arial" w:hAnsi="Arial"/>
                <w:sz w:val="14"/>
                <w:szCs w:val="14"/>
                <w:color w:val="auto"/>
              </w:rPr>
              <w:t>2,305</w:t>
            </w:r>
          </w:p>
        </w:tc>
        <w:tc>
          <w:tcPr>
            <w:tcW w:w="9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996,913</w:t>
            </w:r>
          </w:p>
        </w:tc>
      </w:tr>
      <w:tr>
        <w:trPr>
          <w:trHeight w:val="183"/>
        </w:trPr>
        <w:tc>
          <w:tcPr>
            <w:tcW w:w="4800" w:type="dxa"/>
            <w:vAlign w:val="bottom"/>
            <w:tcBorders>
              <w:bottom w:val="single" w:sz="8" w:color="959595"/>
            </w:tcBorders>
          </w:tcPr>
          <w:p>
            <w:pPr>
              <w:spacing w:after="0"/>
              <w:rPr>
                <w:sz w:val="20"/>
                <w:szCs w:val="20"/>
                <w:color w:val="auto"/>
              </w:rPr>
            </w:pPr>
            <w:r>
              <w:rPr>
                <w:rFonts w:ascii="Arial" w:cs="Arial" w:eastAsia="Arial" w:hAnsi="Arial"/>
                <w:sz w:val="14"/>
                <w:szCs w:val="14"/>
                <w:b w:val="1"/>
                <w:bCs w:val="1"/>
                <w:color w:val="002E6D"/>
              </w:rPr>
              <w:t>Richard F. Ambrose</w:t>
            </w:r>
          </w:p>
        </w:tc>
        <w:tc>
          <w:tcPr>
            <w:tcW w:w="2020" w:type="dxa"/>
            <w:vAlign w:val="bottom"/>
            <w:tcBorders>
              <w:bottom w:val="single" w:sz="8" w:color="959595"/>
            </w:tcBorders>
            <w:shd w:val="clear" w:color="auto" w:fill="E5E7EF"/>
          </w:tcPr>
          <w:p>
            <w:pPr>
              <w:jc w:val="right"/>
              <w:ind w:right="45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959595"/>
            </w:tcBorders>
            <w:shd w:val="clear" w:color="auto" w:fill="E5E7EF"/>
          </w:tcPr>
          <w:p>
            <w:pPr>
              <w:jc w:val="right"/>
              <w:ind w:right="12"/>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959595"/>
            </w:tcBorders>
            <w:gridSpan w:val="2"/>
            <w:shd w:val="clear" w:color="auto" w:fill="E5E7EF"/>
          </w:tcPr>
          <w:p>
            <w:pPr>
              <w:jc w:val="right"/>
              <w:ind w:right="395"/>
              <w:spacing w:after="0"/>
              <w:rPr>
                <w:sz w:val="20"/>
                <w:szCs w:val="20"/>
                <w:color w:val="auto"/>
              </w:rPr>
            </w:pPr>
            <w:r>
              <w:rPr>
                <w:rFonts w:ascii="Arial" w:cs="Arial" w:eastAsia="Arial" w:hAnsi="Arial"/>
                <w:sz w:val="14"/>
                <w:szCs w:val="14"/>
                <w:color w:val="auto"/>
              </w:rPr>
              <w:t>12,331</w:t>
            </w:r>
          </w:p>
        </w:tc>
        <w:tc>
          <w:tcPr>
            <w:tcW w:w="98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5,324,855</w:t>
            </w:r>
          </w:p>
        </w:tc>
      </w:tr>
      <w:tr>
        <w:trPr>
          <w:trHeight w:val="183"/>
        </w:trPr>
        <w:tc>
          <w:tcPr>
            <w:tcW w:w="4800" w:type="dxa"/>
            <w:vAlign w:val="bottom"/>
            <w:tcBorders>
              <w:bottom w:val="single" w:sz="8" w:color="959595"/>
            </w:tcBorders>
          </w:tcPr>
          <w:p>
            <w:pPr>
              <w:spacing w:after="0"/>
              <w:rPr>
                <w:sz w:val="20"/>
                <w:szCs w:val="20"/>
                <w:color w:val="auto"/>
              </w:rPr>
            </w:pPr>
            <w:r>
              <w:rPr>
                <w:rFonts w:ascii="Arial" w:cs="Arial" w:eastAsia="Arial" w:hAnsi="Arial"/>
                <w:sz w:val="14"/>
                <w:szCs w:val="14"/>
                <w:b w:val="1"/>
                <w:bCs w:val="1"/>
                <w:color w:val="002E6D"/>
              </w:rPr>
              <w:t>Michele A. Evans</w:t>
            </w:r>
          </w:p>
        </w:tc>
        <w:tc>
          <w:tcPr>
            <w:tcW w:w="2020" w:type="dxa"/>
            <w:vAlign w:val="bottom"/>
            <w:tcBorders>
              <w:bottom w:val="single" w:sz="8" w:color="959595"/>
            </w:tcBorders>
          </w:tcPr>
          <w:p>
            <w:pPr>
              <w:jc w:val="right"/>
              <w:ind w:right="452"/>
              <w:spacing w:after="0"/>
              <w:rPr>
                <w:sz w:val="20"/>
                <w:szCs w:val="20"/>
                <w:color w:val="auto"/>
              </w:rPr>
            </w:pPr>
            <w:r>
              <w:rPr>
                <w:rFonts w:ascii="Arial" w:cs="Arial" w:eastAsia="Arial" w:hAnsi="Arial"/>
                <w:sz w:val="14"/>
                <w:szCs w:val="14"/>
                <w:color w:val="auto"/>
              </w:rPr>
              <w:t>8,360</w:t>
            </w:r>
          </w:p>
        </w:tc>
        <w:tc>
          <w:tcPr>
            <w:tcW w:w="9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2,926,772</w:t>
            </w:r>
          </w:p>
        </w:tc>
        <w:tc>
          <w:tcPr>
            <w:tcW w:w="2200" w:type="dxa"/>
            <w:vAlign w:val="bottom"/>
            <w:tcBorders>
              <w:bottom w:val="single" w:sz="8" w:color="959595"/>
            </w:tcBorders>
            <w:gridSpan w:val="2"/>
          </w:tcPr>
          <w:p>
            <w:pPr>
              <w:jc w:val="right"/>
              <w:ind w:right="395"/>
              <w:spacing w:after="0"/>
              <w:rPr>
                <w:sz w:val="20"/>
                <w:szCs w:val="20"/>
                <w:color w:val="auto"/>
              </w:rPr>
            </w:pPr>
            <w:r>
              <w:rPr>
                <w:rFonts w:ascii="Arial" w:cs="Arial" w:eastAsia="Arial" w:hAnsi="Arial"/>
                <w:sz w:val="14"/>
                <w:szCs w:val="14"/>
                <w:color w:val="auto"/>
              </w:rPr>
              <w:t>2,428</w:t>
            </w:r>
          </w:p>
        </w:tc>
        <w:tc>
          <w:tcPr>
            <w:tcW w:w="9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1,028,630</w:t>
            </w:r>
          </w:p>
        </w:tc>
      </w:tr>
    </w:tbl>
    <w:p>
      <w:pPr>
        <w:spacing w:after="0" w:line="99" w:lineRule="exact"/>
        <w:rPr>
          <w:sz w:val="20"/>
          <w:szCs w:val="20"/>
          <w:color w:val="auto"/>
        </w:rPr>
      </w:pPr>
    </w:p>
    <w:p>
      <w:pPr>
        <w:ind w:left="260" w:right="120" w:hanging="252"/>
        <w:spacing w:after="0" w:line="244" w:lineRule="auto"/>
        <w:tabs>
          <w:tab w:leader="none" w:pos="291"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Vesting on January 26, 2020 of RSUs and PSUs granted on January 26, 2017 following the three-year vesting period (for all NEOs except Mr. Taiclet); accelerated vesting on December 4, 2020 of a portion of RSUs granted on February 27, 2020 equal to the value of the tax withholding obligation due upon retirement-eligibility of the NEO (Ms. Hewson, Mr. Possenriede, and Mr. Ambrose); and accelerated vesting on December 4, 2020 of a portion of RSUs granted on February 27, 2020, February 21, 2019, and February 22, 2018 equal to the value of the tax withholding obligation due upon retirement-eligibility of the NEO (Ms. Evans). Represents aggregate number of shares vested prior to disposition of shares to the Corporation to satisfy tax withholding obligation.</w:t>
      </w:r>
    </w:p>
    <w:p>
      <w:pPr>
        <w:spacing w:after="0" w:line="54" w:lineRule="exact"/>
        <w:rPr>
          <w:rFonts w:ascii="Arial" w:cs="Arial" w:eastAsia="Arial" w:hAnsi="Arial"/>
          <w:sz w:val="19"/>
          <w:szCs w:val="19"/>
          <w:color w:val="auto"/>
          <w:vertAlign w:val="superscript"/>
        </w:rPr>
      </w:pPr>
    </w:p>
    <w:p>
      <w:pPr>
        <w:ind w:left="260" w:right="400" w:hanging="252"/>
        <w:spacing w:after="0" w:line="219" w:lineRule="auto"/>
        <w:tabs>
          <w:tab w:leader="none" w:pos="291"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Value realized was calculated based on the number of shares acquired on vesting multiplied by the per share closing price of our common stock on the date of vesting (January 26, 2020, $432.50 and December 4, 2020, $366.61).</w:t>
      </w:r>
    </w:p>
    <w:p>
      <w:pPr>
        <w:spacing w:after="0" w:line="158" w:lineRule="exact"/>
        <w:rPr>
          <w:sz w:val="20"/>
          <w:szCs w:val="20"/>
          <w:color w:val="auto"/>
        </w:rPr>
      </w:pPr>
    </w:p>
    <w:p>
      <w:pPr>
        <w:spacing w:after="0"/>
        <w:rPr>
          <w:sz w:val="20"/>
          <w:szCs w:val="20"/>
          <w:color w:val="auto"/>
        </w:rPr>
      </w:pPr>
      <w:r>
        <w:rPr>
          <w:rFonts w:ascii="Arial" w:cs="Arial" w:eastAsia="Arial" w:hAnsi="Arial"/>
          <w:sz w:val="29"/>
          <w:szCs w:val="29"/>
          <w:color w:val="002E6D"/>
        </w:rPr>
        <w:t>2020 Pension Benefits</w:t>
      </w:r>
    </w:p>
    <w:p>
      <w:pPr>
        <w:spacing w:after="0" w:line="12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2020, the NEOs (except Mr. Taiclet) participated in the Lockheed Martin Corporation Salaried Employee Retirement Program (LMRP), which is a combination of several prior plans (collectively, the “Prior Plan”) for some salaried employees with protected benefits.</w:t>
      </w:r>
    </w:p>
    <w:p>
      <w:pPr>
        <w:spacing w:after="0" w:line="9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calculation of retirement benefits under the LMRP is determined by a formula that takes into account the participant’s years of credited service ending with 2019 and average compensation for the highest three years of the last ten years of employment ending with 2015. Average compensation includes the NEO’s base salary and annual incentive bonuses. Normal retirement age is 65; however, benefits are payable as early as age 55 at a reduced amount or without reduction at age 60. Benefits are payable as a monthly annuity for the lifetime of the employee, as a joint and survivor annuity, as a life annuity with a five- or ten-year guarantee, or as a level income annuity. The calculation of retirement benefits under the Prior Plan is based on a number of formulas, some of which take into account the participant’s years of credited service and pay over the career of the NEO. Certain other formulas in the Prior Plan are based upon the final average compensation and credited service of the employee. Pay under certain formulas in the Prior Plan included salary, commissions, overtime, shift differential, lump sum pay in lieu of a salary increase and annual incentive bonuses awarded that year.</w:t>
      </w:r>
    </w:p>
    <w:p>
      <w:pPr>
        <w:spacing w:after="0" w:line="1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All of the NEOs who participate in the LMRP were vested and (with the exception of Mr. St. John) are eligible for early retirement as of December 31, 2020 under the LMRP.</w:t>
      </w:r>
    </w:p>
    <w:p>
      <w:pPr>
        <w:spacing w:after="0" w:line="9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During 2020, the NEOs (except Mr. Taiclet) also participated in the Lockheed Martin Corporation Consolidated Supplemental Retirement Benefit Plan (Supplemental Pension), which is a restorative plan that provides benefits in excess of the benefit payable under IRS rules through the LMRP, our tax-qualified plan (see the footnote to column (d) to the “2020 Pension Benefits”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262255</wp:posOffset>
            </wp:positionV>
            <wp:extent cx="969010" cy="2228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66</w:t>
      </w:r>
    </w:p>
    <w:p>
      <w:pPr>
        <w:sectPr>
          <w:pgSz w:w="11900" w:h="16838" w:orient="portrait"/>
          <w:cols w:equalWidth="0" w:num="1">
            <w:col w:w="11240"/>
          </w:cols>
          <w:pgMar w:left="320" w:top="609" w:right="339" w:bottom="1440" w:gutter="0" w:footer="0" w:header="0"/>
        </w:sectPr>
      </w:pPr>
    </w:p>
    <w:bookmarkStart w:id="70" w:name="page71"/>
    <w:bookmarkEnd w:id="70"/>
    <w:p>
      <w:pPr>
        <w:ind w:left="9540"/>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The LMRP was frozen in two steps. Increases in compensation ceased to be taken into account effective January 1, 2016. Increases in service ceased to be taken into account effective January 1, 2020. This change in plan structure also carried over to the Supplemental Pension. As of January 1, 2020, eligible salaried employees (including the NEOs) receive a Corporation contribution of 6% of their base salary to the Lockheed Martin Corporation Salaried Savings Plan. The NEOs receive the 6% Corporation contribution in the NCAP after reaching the Internal Revenue Code limitation for this contribution in the qualified plan.</w:t>
      </w:r>
    </w:p>
    <w:p>
      <w:pPr>
        <w:spacing w:after="0" w:line="139" w:lineRule="exact"/>
        <w:rPr>
          <w:sz w:val="20"/>
          <w:szCs w:val="20"/>
          <w:color w:val="auto"/>
        </w:rPr>
      </w:pPr>
    </w:p>
    <w:p>
      <w:pPr>
        <w:spacing w:after="0"/>
        <w:rPr>
          <w:sz w:val="20"/>
          <w:szCs w:val="20"/>
          <w:color w:val="auto"/>
        </w:rPr>
      </w:pPr>
      <w:r>
        <w:rPr>
          <w:rFonts w:ascii="Arial" w:cs="Arial" w:eastAsia="Arial" w:hAnsi="Arial"/>
          <w:sz w:val="29"/>
          <w:szCs w:val="29"/>
          <w:color w:val="002E6D"/>
        </w:rPr>
        <w:t>2020 Pension Benefits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shd w:val="clear" w:color="auto" w:fill="E5E7EF"/>
          </w:tcPr>
          <w:p>
            <w:pPr>
              <w:spacing w:after="0"/>
              <w:rPr>
                <w:sz w:val="14"/>
                <w:szCs w:val="14"/>
                <w:color w:val="auto"/>
              </w:rPr>
            </w:pPr>
          </w:p>
        </w:tc>
        <w:tc>
          <w:tcPr>
            <w:tcW w:w="6000" w:type="dxa"/>
            <w:vAlign w:val="bottom"/>
            <w:shd w:val="clear" w:color="auto" w:fill="E5E7EF"/>
          </w:tcPr>
          <w:p>
            <w:pPr>
              <w:spacing w:after="0"/>
              <w:rPr>
                <w:sz w:val="14"/>
                <w:szCs w:val="14"/>
                <w:color w:val="auto"/>
              </w:rPr>
            </w:pPr>
          </w:p>
        </w:tc>
        <w:tc>
          <w:tcPr>
            <w:tcW w:w="1220" w:type="dxa"/>
            <w:vAlign w:val="bottom"/>
            <w:shd w:val="clear" w:color="auto" w:fill="E5E7EF"/>
          </w:tcPr>
          <w:p>
            <w:pPr>
              <w:jc w:val="right"/>
              <w:ind w:right="91"/>
              <w:spacing w:after="0"/>
              <w:rPr>
                <w:sz w:val="20"/>
                <w:szCs w:val="20"/>
                <w:color w:val="auto"/>
              </w:rPr>
            </w:pPr>
            <w:r>
              <w:rPr>
                <w:rFonts w:ascii="Arial" w:cs="Arial" w:eastAsia="Arial" w:hAnsi="Arial"/>
                <w:sz w:val="13"/>
                <w:szCs w:val="13"/>
                <w:color w:val="auto"/>
              </w:rPr>
              <w:t>Number of Years</w:t>
            </w:r>
          </w:p>
        </w:tc>
        <w:tc>
          <w:tcPr>
            <w:tcW w:w="1300" w:type="dxa"/>
            <w:vAlign w:val="bottom"/>
            <w:shd w:val="clear" w:color="auto" w:fill="E5E7EF"/>
          </w:tcPr>
          <w:p>
            <w:pPr>
              <w:jc w:val="right"/>
              <w:ind w:right="151"/>
              <w:spacing w:after="0"/>
              <w:rPr>
                <w:sz w:val="20"/>
                <w:szCs w:val="20"/>
                <w:color w:val="auto"/>
              </w:rPr>
            </w:pPr>
            <w:r>
              <w:rPr>
                <w:rFonts w:ascii="Arial" w:cs="Arial" w:eastAsia="Arial" w:hAnsi="Arial"/>
                <w:sz w:val="13"/>
                <w:szCs w:val="13"/>
                <w:color w:val="auto"/>
              </w:rPr>
              <w:t>Present Value of</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Payments</w:t>
            </w:r>
          </w:p>
        </w:tc>
      </w:tr>
      <w:tr>
        <w:trPr>
          <w:trHeight w:val="148"/>
        </w:trPr>
        <w:tc>
          <w:tcPr>
            <w:tcW w:w="1840" w:type="dxa"/>
            <w:vAlign w:val="bottom"/>
            <w:shd w:val="clear" w:color="auto" w:fill="E5E7EF"/>
          </w:tcPr>
          <w:p>
            <w:pPr>
              <w:spacing w:after="0"/>
              <w:rPr>
                <w:sz w:val="12"/>
                <w:szCs w:val="12"/>
                <w:color w:val="auto"/>
              </w:rPr>
            </w:pPr>
          </w:p>
        </w:tc>
        <w:tc>
          <w:tcPr>
            <w:tcW w:w="6000" w:type="dxa"/>
            <w:vAlign w:val="bottom"/>
            <w:shd w:val="clear" w:color="auto" w:fill="E5E7EF"/>
          </w:tcPr>
          <w:p>
            <w:pPr>
              <w:spacing w:after="0"/>
              <w:rPr>
                <w:sz w:val="12"/>
                <w:szCs w:val="12"/>
                <w:color w:val="auto"/>
              </w:rPr>
            </w:pPr>
          </w:p>
        </w:tc>
        <w:tc>
          <w:tcPr>
            <w:tcW w:w="1220" w:type="dxa"/>
            <w:vAlign w:val="bottom"/>
            <w:shd w:val="clear" w:color="auto" w:fill="E5E7EF"/>
          </w:tcPr>
          <w:p>
            <w:pPr>
              <w:jc w:val="right"/>
              <w:ind w:right="91"/>
              <w:spacing w:after="0" w:line="148" w:lineRule="exact"/>
              <w:rPr>
                <w:sz w:val="20"/>
                <w:szCs w:val="20"/>
                <w:color w:val="auto"/>
              </w:rPr>
            </w:pPr>
            <w:r>
              <w:rPr>
                <w:rFonts w:ascii="Arial" w:cs="Arial" w:eastAsia="Arial" w:hAnsi="Arial"/>
                <w:sz w:val="13"/>
                <w:szCs w:val="13"/>
                <w:color w:val="auto"/>
              </w:rPr>
              <w:t>of</w:t>
            </w:r>
          </w:p>
        </w:tc>
        <w:tc>
          <w:tcPr>
            <w:tcW w:w="1300" w:type="dxa"/>
            <w:vAlign w:val="bottom"/>
            <w:shd w:val="clear" w:color="auto" w:fill="E5E7EF"/>
          </w:tcPr>
          <w:p>
            <w:pPr>
              <w:jc w:val="right"/>
              <w:ind w:right="151"/>
              <w:spacing w:after="0" w:line="148" w:lineRule="exact"/>
              <w:rPr>
                <w:sz w:val="20"/>
                <w:szCs w:val="20"/>
                <w:color w:val="auto"/>
              </w:rPr>
            </w:pPr>
            <w:r>
              <w:rPr>
                <w:rFonts w:ascii="Arial" w:cs="Arial" w:eastAsia="Arial" w:hAnsi="Arial"/>
                <w:sz w:val="13"/>
                <w:szCs w:val="13"/>
                <w:color w:val="auto"/>
              </w:rPr>
              <w:t>Accumulated</w:t>
            </w:r>
          </w:p>
        </w:tc>
        <w:tc>
          <w:tcPr>
            <w:tcW w:w="88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During Last</w:t>
            </w:r>
          </w:p>
        </w:tc>
      </w:tr>
      <w:tr>
        <w:trPr>
          <w:trHeight w:val="182"/>
        </w:trPr>
        <w:tc>
          <w:tcPr>
            <w:tcW w:w="1840" w:type="dxa"/>
            <w:vAlign w:val="bottom"/>
            <w:shd w:val="clear" w:color="auto" w:fill="E5E7EF"/>
          </w:tcPr>
          <w:p>
            <w:pPr>
              <w:spacing w:after="0"/>
              <w:rPr>
                <w:sz w:val="15"/>
                <w:szCs w:val="15"/>
                <w:color w:val="auto"/>
              </w:rPr>
            </w:pPr>
          </w:p>
        </w:tc>
        <w:tc>
          <w:tcPr>
            <w:tcW w:w="6000" w:type="dxa"/>
            <w:vAlign w:val="bottom"/>
            <w:shd w:val="clear" w:color="auto" w:fill="E5E7EF"/>
          </w:tcPr>
          <w:p>
            <w:pPr>
              <w:spacing w:after="0"/>
              <w:rPr>
                <w:sz w:val="15"/>
                <w:szCs w:val="15"/>
                <w:color w:val="auto"/>
              </w:rPr>
            </w:pPr>
          </w:p>
        </w:tc>
        <w:tc>
          <w:tcPr>
            <w:tcW w:w="1220" w:type="dxa"/>
            <w:vAlign w:val="bottom"/>
            <w:shd w:val="clear" w:color="auto" w:fill="E5E7EF"/>
          </w:tcPr>
          <w:p>
            <w:pPr>
              <w:jc w:val="right"/>
              <w:ind w:right="91"/>
              <w:spacing w:after="0" w:line="182" w:lineRule="exact"/>
              <w:rPr>
                <w:sz w:val="20"/>
                <w:szCs w:val="20"/>
                <w:color w:val="auto"/>
              </w:rPr>
            </w:pPr>
            <w:r>
              <w:rPr>
                <w:rFonts w:ascii="Arial" w:cs="Arial" w:eastAsia="Arial" w:hAnsi="Arial"/>
                <w:sz w:val="13"/>
                <w:szCs w:val="13"/>
                <w:color w:val="auto"/>
                <w:w w:val="95"/>
              </w:rPr>
              <w:t>Credited Service</w:t>
            </w:r>
            <w:r>
              <w:rPr>
                <w:rFonts w:ascii="Arial" w:cs="Arial" w:eastAsia="Arial" w:hAnsi="Arial"/>
                <w:sz w:val="16"/>
                <w:szCs w:val="16"/>
                <w:color w:val="auto"/>
                <w:w w:val="95"/>
                <w:vertAlign w:val="superscript"/>
              </w:rPr>
              <w:t>(1)</w:t>
            </w:r>
          </w:p>
        </w:tc>
        <w:tc>
          <w:tcPr>
            <w:tcW w:w="1300" w:type="dxa"/>
            <w:vAlign w:val="bottom"/>
            <w:shd w:val="clear" w:color="auto" w:fill="E5E7EF"/>
          </w:tcPr>
          <w:p>
            <w:pPr>
              <w:jc w:val="right"/>
              <w:ind w:right="151"/>
              <w:spacing w:after="0"/>
              <w:rPr>
                <w:sz w:val="20"/>
                <w:szCs w:val="20"/>
                <w:color w:val="auto"/>
              </w:rPr>
            </w:pPr>
            <w:r>
              <w:rPr>
                <w:rFonts w:ascii="Arial" w:cs="Arial" w:eastAsia="Arial" w:hAnsi="Arial"/>
                <w:sz w:val="13"/>
                <w:szCs w:val="13"/>
                <w:color w:val="auto"/>
              </w:rPr>
              <w:t>Benefit</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Fiscal Year</w:t>
            </w:r>
          </w:p>
        </w:tc>
      </w:tr>
      <w:tr>
        <w:trPr>
          <w:trHeight w:val="208"/>
        </w:trPr>
        <w:tc>
          <w:tcPr>
            <w:tcW w:w="184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6000" w:type="dxa"/>
            <w:vAlign w:val="bottom"/>
            <w:tcBorders>
              <w:bottom w:val="single" w:sz="8" w:color="E5E7EF"/>
            </w:tcBorders>
            <w:shd w:val="clear" w:color="auto" w:fill="E5E7EF"/>
          </w:tcPr>
          <w:p>
            <w:pPr>
              <w:spacing w:after="0"/>
              <w:rPr>
                <w:sz w:val="20"/>
                <w:szCs w:val="20"/>
                <w:color w:val="auto"/>
              </w:rPr>
            </w:pPr>
            <w:r>
              <w:rPr>
                <w:rFonts w:ascii="Arial" w:cs="Arial" w:eastAsia="Arial" w:hAnsi="Arial"/>
                <w:sz w:val="13"/>
                <w:szCs w:val="13"/>
                <w:color w:val="auto"/>
              </w:rPr>
              <w:t>Plan Name</w:t>
            </w:r>
          </w:p>
        </w:tc>
        <w:tc>
          <w:tcPr>
            <w:tcW w:w="1220" w:type="dxa"/>
            <w:vAlign w:val="bottom"/>
            <w:tcBorders>
              <w:bottom w:val="single" w:sz="8" w:color="E5E7EF"/>
            </w:tcBorders>
            <w:shd w:val="clear" w:color="auto" w:fill="E5E7EF"/>
          </w:tcPr>
          <w:p>
            <w:pPr>
              <w:jc w:val="right"/>
              <w:ind w:right="91"/>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E5E7EF"/>
            </w:tcBorders>
            <w:shd w:val="clear" w:color="auto" w:fill="E5E7EF"/>
          </w:tcPr>
          <w:p>
            <w:pPr>
              <w:jc w:val="right"/>
              <w:ind w:right="151"/>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7EF"/>
            </w:tcBorders>
            <w:shd w:val="clear" w:color="auto" w:fill="E5E7EF"/>
          </w:tcPr>
          <w:p>
            <w:pPr>
              <w:jc w:val="center"/>
              <w:ind w:left="611"/>
              <w:spacing w:after="0"/>
              <w:rPr>
                <w:sz w:val="20"/>
                <w:szCs w:val="20"/>
                <w:color w:val="auto"/>
              </w:rPr>
            </w:pPr>
            <w:r>
              <w:rPr>
                <w:rFonts w:ascii="Arial" w:cs="Arial" w:eastAsia="Arial" w:hAnsi="Arial"/>
                <w:sz w:val="13"/>
                <w:szCs w:val="13"/>
                <w:color w:val="auto"/>
              </w:rPr>
              <w:t>($)</w:t>
            </w:r>
          </w:p>
        </w:tc>
      </w:tr>
      <w:tr>
        <w:trPr>
          <w:trHeight w:val="201"/>
        </w:trPr>
        <w:tc>
          <w:tcPr>
            <w:tcW w:w="1840" w:type="dxa"/>
            <w:vAlign w:val="bottom"/>
            <w:tcBorders>
              <w:top w:val="single" w:sz="8" w:color="959595"/>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6000" w:type="dxa"/>
            <w:vAlign w:val="bottom"/>
            <w:tcBorders>
              <w:top w:val="single" w:sz="8" w:color="959595"/>
              <w:bottom w:val="single" w:sz="8" w:color="E5E7EF"/>
            </w:tcBorders>
            <w:shd w:val="clear" w:color="auto" w:fill="E5E7EF"/>
          </w:tcPr>
          <w:p>
            <w:pPr>
              <w:spacing w:after="0"/>
              <w:rPr>
                <w:sz w:val="20"/>
                <w:szCs w:val="20"/>
                <w:color w:val="auto"/>
              </w:rPr>
            </w:pPr>
            <w:r>
              <w:rPr>
                <w:rFonts w:ascii="Arial" w:cs="Arial" w:eastAsia="Arial" w:hAnsi="Arial"/>
                <w:sz w:val="13"/>
                <w:szCs w:val="13"/>
                <w:color w:val="auto"/>
              </w:rPr>
              <w:t>(b)</w:t>
            </w:r>
          </w:p>
        </w:tc>
        <w:tc>
          <w:tcPr>
            <w:tcW w:w="1220" w:type="dxa"/>
            <w:vAlign w:val="bottom"/>
            <w:tcBorders>
              <w:top w:val="single" w:sz="8" w:color="959595"/>
              <w:bottom w:val="single" w:sz="8" w:color="E5E7EF"/>
            </w:tcBorders>
            <w:shd w:val="clear" w:color="auto" w:fill="E5E7EF"/>
          </w:tcPr>
          <w:p>
            <w:pPr>
              <w:jc w:val="right"/>
              <w:ind w:right="91"/>
              <w:spacing w:after="0"/>
              <w:rPr>
                <w:sz w:val="20"/>
                <w:szCs w:val="20"/>
                <w:color w:val="auto"/>
              </w:rPr>
            </w:pPr>
            <w:r>
              <w:rPr>
                <w:rFonts w:ascii="Arial" w:cs="Arial" w:eastAsia="Arial" w:hAnsi="Arial"/>
                <w:sz w:val="13"/>
                <w:szCs w:val="13"/>
                <w:color w:val="auto"/>
              </w:rPr>
              <w:t>(c)</w:t>
            </w:r>
          </w:p>
        </w:tc>
        <w:tc>
          <w:tcPr>
            <w:tcW w:w="1300" w:type="dxa"/>
            <w:vAlign w:val="bottom"/>
            <w:tcBorders>
              <w:top w:val="single" w:sz="8" w:color="959595"/>
              <w:bottom w:val="single" w:sz="8" w:color="E5E7EF"/>
            </w:tcBorders>
            <w:shd w:val="clear" w:color="auto" w:fill="E5E7EF"/>
          </w:tcPr>
          <w:p>
            <w:pPr>
              <w:jc w:val="right"/>
              <w:ind w:right="151"/>
              <w:spacing w:after="0"/>
              <w:rPr>
                <w:sz w:val="20"/>
                <w:szCs w:val="20"/>
                <w:color w:val="auto"/>
              </w:rPr>
            </w:pPr>
            <w:r>
              <w:rPr>
                <w:rFonts w:ascii="Arial" w:cs="Arial" w:eastAsia="Arial" w:hAnsi="Arial"/>
                <w:sz w:val="13"/>
                <w:szCs w:val="13"/>
                <w:color w:val="auto"/>
              </w:rPr>
              <w:t>(d)</w:t>
            </w:r>
          </w:p>
        </w:tc>
        <w:tc>
          <w:tcPr>
            <w:tcW w:w="880" w:type="dxa"/>
            <w:vAlign w:val="bottom"/>
            <w:tcBorders>
              <w:top w:val="single" w:sz="8" w:color="959595"/>
              <w:bottom w:val="single" w:sz="8" w:color="E5E7EF"/>
            </w:tcBorders>
            <w:shd w:val="clear" w:color="auto" w:fill="E5E7EF"/>
          </w:tcPr>
          <w:p>
            <w:pPr>
              <w:jc w:val="center"/>
              <w:ind w:left="611"/>
              <w:spacing w:after="0"/>
              <w:rPr>
                <w:sz w:val="20"/>
                <w:szCs w:val="20"/>
                <w:color w:val="auto"/>
              </w:rPr>
            </w:pPr>
            <w:r>
              <w:rPr>
                <w:rFonts w:ascii="Arial" w:cs="Arial" w:eastAsia="Arial" w:hAnsi="Arial"/>
                <w:sz w:val="13"/>
                <w:szCs w:val="13"/>
                <w:color w:val="auto"/>
              </w:rPr>
              <w:t>(e)</w:t>
            </w:r>
          </w:p>
        </w:tc>
      </w:tr>
      <w:tr>
        <w:trPr>
          <w:trHeight w:val="183"/>
        </w:trPr>
        <w:tc>
          <w:tcPr>
            <w:tcW w:w="1840" w:type="dxa"/>
            <w:vAlign w:val="bottom"/>
            <w:tcBorders>
              <w:top w:val="single" w:sz="8" w:color="959595"/>
            </w:tcBorders>
          </w:tcPr>
          <w:p>
            <w:pPr>
              <w:ind w:left="20"/>
              <w:spacing w:after="0"/>
              <w:rPr>
                <w:sz w:val="20"/>
                <w:szCs w:val="20"/>
                <w:color w:val="auto"/>
              </w:rPr>
            </w:pPr>
            <w:r>
              <w:rPr>
                <w:rFonts w:ascii="Arial" w:cs="Arial" w:eastAsia="Arial" w:hAnsi="Arial"/>
                <w:sz w:val="14"/>
                <w:szCs w:val="14"/>
                <w:b w:val="1"/>
                <w:bCs w:val="1"/>
                <w:color w:val="002E6D"/>
              </w:rPr>
              <w:t>James D. Taiclet</w:t>
            </w:r>
          </w:p>
        </w:tc>
        <w:tc>
          <w:tcPr>
            <w:tcW w:w="6000" w:type="dxa"/>
            <w:vAlign w:val="bottom"/>
            <w:tcBorders>
              <w:top w:val="single" w:sz="8" w:color="959595"/>
              <w:bottom w:val="single" w:sz="8" w:color="959595"/>
            </w:tcBorders>
            <w:shd w:val="clear" w:color="auto" w:fill="E5E7EF"/>
          </w:tcPr>
          <w:p>
            <w:pPr>
              <w:spacing w:after="0"/>
              <w:rPr>
                <w:sz w:val="20"/>
                <w:szCs w:val="20"/>
                <w:color w:val="auto"/>
              </w:rPr>
            </w:pPr>
            <w:r>
              <w:rPr>
                <w:rFonts w:ascii="Arial" w:cs="Arial" w:eastAsia="Arial" w:hAnsi="Arial"/>
                <w:sz w:val="14"/>
                <w:szCs w:val="14"/>
                <w:color w:val="auto"/>
              </w:rPr>
              <w:t>Lockheed Martin Corporation Salaried Employee Retirement Program</w:t>
            </w:r>
          </w:p>
        </w:tc>
        <w:tc>
          <w:tcPr>
            <w:tcW w:w="1220" w:type="dxa"/>
            <w:vAlign w:val="bottom"/>
            <w:tcBorders>
              <w:top w:val="single" w:sz="8" w:color="959595"/>
              <w:bottom w:val="single" w:sz="8" w:color="939598"/>
            </w:tcBorders>
            <w:shd w:val="clear" w:color="auto" w:fill="E5E7EF"/>
          </w:tcPr>
          <w:p>
            <w:pPr>
              <w:jc w:val="right"/>
              <w:ind w:right="131"/>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959595"/>
              <w:bottom w:val="single" w:sz="8" w:color="939598"/>
            </w:tcBorders>
            <w:shd w:val="clear" w:color="auto" w:fill="E5E7EF"/>
          </w:tcPr>
          <w:p>
            <w:pPr>
              <w:jc w:val="right"/>
              <w:ind w:right="1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959595"/>
              <w:bottom w:val="single" w:sz="8" w:color="939598"/>
            </w:tcBorders>
            <w:shd w:val="clear" w:color="auto" w:fill="E5E7EF"/>
          </w:tcPr>
          <w:p>
            <w:pPr>
              <w:jc w:val="center"/>
              <w:ind w:left="611"/>
              <w:spacing w:after="0"/>
              <w:rPr>
                <w:sz w:val="20"/>
                <w:szCs w:val="20"/>
                <w:color w:val="auto"/>
              </w:rPr>
            </w:pPr>
            <w:r>
              <w:rPr>
                <w:rFonts w:ascii="Arial" w:cs="Arial" w:eastAsia="Arial" w:hAnsi="Arial"/>
                <w:sz w:val="14"/>
                <w:szCs w:val="14"/>
                <w:color w:val="auto"/>
              </w:rPr>
              <w:t>0</w:t>
            </w:r>
          </w:p>
        </w:tc>
      </w:tr>
      <w:tr>
        <w:trPr>
          <w:trHeight w:val="183"/>
        </w:trPr>
        <w:tc>
          <w:tcPr>
            <w:tcW w:w="1840" w:type="dxa"/>
            <w:vAlign w:val="bottom"/>
            <w:tcBorders>
              <w:bottom w:val="single" w:sz="8" w:color="959595"/>
            </w:tcBorders>
          </w:tcPr>
          <w:p>
            <w:pPr>
              <w:spacing w:after="0"/>
              <w:rPr>
                <w:sz w:val="15"/>
                <w:szCs w:val="15"/>
                <w:color w:val="auto"/>
              </w:rPr>
            </w:pPr>
          </w:p>
        </w:tc>
        <w:tc>
          <w:tcPr>
            <w:tcW w:w="6000" w:type="dxa"/>
            <w:vAlign w:val="bottom"/>
            <w:tcBorders>
              <w:bottom w:val="single" w:sz="8" w:color="959595"/>
            </w:tcBorders>
            <w:shd w:val="clear" w:color="auto" w:fill="E5E7EF"/>
          </w:tcPr>
          <w:p>
            <w:pPr>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220" w:type="dxa"/>
            <w:vAlign w:val="bottom"/>
            <w:tcBorders>
              <w:bottom w:val="single" w:sz="8" w:color="959595"/>
            </w:tcBorders>
            <w:shd w:val="clear" w:color="auto" w:fill="E5E7EF"/>
          </w:tcPr>
          <w:p>
            <w:pPr>
              <w:jc w:val="right"/>
              <w:ind w:right="13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shd w:val="clear" w:color="auto" w:fill="E5E7EF"/>
          </w:tcPr>
          <w:p>
            <w:pPr>
              <w:jc w:val="right"/>
              <w:ind w:right="1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9595"/>
            </w:tcBorders>
            <w:shd w:val="clear" w:color="auto" w:fill="E5E7EF"/>
          </w:tcPr>
          <w:p>
            <w:pPr>
              <w:jc w:val="center"/>
              <w:ind w:left="611"/>
              <w:spacing w:after="0"/>
              <w:rPr>
                <w:sz w:val="20"/>
                <w:szCs w:val="20"/>
                <w:color w:val="auto"/>
              </w:rPr>
            </w:pPr>
            <w:r>
              <w:rPr>
                <w:rFonts w:ascii="Arial" w:cs="Arial" w:eastAsia="Arial" w:hAnsi="Arial"/>
                <w:sz w:val="14"/>
                <w:szCs w:val="14"/>
                <w:color w:val="auto"/>
              </w:rPr>
              <w:t>0</w:t>
            </w:r>
          </w:p>
        </w:tc>
      </w:tr>
      <w:tr>
        <w:trPr>
          <w:trHeight w:val="183"/>
        </w:trPr>
        <w:tc>
          <w:tcPr>
            <w:tcW w:w="1840" w:type="dxa"/>
            <w:vAlign w:val="bottom"/>
          </w:tcPr>
          <w:p>
            <w:pPr>
              <w:ind w:left="20"/>
              <w:spacing w:after="0"/>
              <w:rPr>
                <w:sz w:val="20"/>
                <w:szCs w:val="20"/>
                <w:color w:val="auto"/>
              </w:rPr>
            </w:pPr>
            <w:r>
              <w:rPr>
                <w:rFonts w:ascii="Arial" w:cs="Arial" w:eastAsia="Arial" w:hAnsi="Arial"/>
                <w:sz w:val="14"/>
                <w:szCs w:val="14"/>
                <w:b w:val="1"/>
                <w:bCs w:val="1"/>
                <w:color w:val="002E6D"/>
              </w:rPr>
              <w:t>Marillyn A. Hewson</w:t>
            </w:r>
          </w:p>
        </w:tc>
        <w:tc>
          <w:tcPr>
            <w:tcW w:w="6000" w:type="dxa"/>
            <w:vAlign w:val="bottom"/>
            <w:tcBorders>
              <w:bottom w:val="single" w:sz="8" w:color="959595"/>
            </w:tcBorders>
          </w:tcPr>
          <w:p>
            <w:pPr>
              <w:spacing w:after="0"/>
              <w:rPr>
                <w:sz w:val="20"/>
                <w:szCs w:val="20"/>
                <w:color w:val="auto"/>
              </w:rPr>
            </w:pPr>
            <w:r>
              <w:rPr>
                <w:rFonts w:ascii="Arial" w:cs="Arial" w:eastAsia="Arial" w:hAnsi="Arial"/>
                <w:sz w:val="14"/>
                <w:szCs w:val="14"/>
                <w:color w:val="auto"/>
              </w:rPr>
              <w:t>Lockheed Martin Corporation Salaried Employee Retirement Program</w:t>
            </w:r>
          </w:p>
        </w:tc>
        <w:tc>
          <w:tcPr>
            <w:tcW w:w="122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37.1</w:t>
            </w:r>
          </w:p>
        </w:tc>
        <w:tc>
          <w:tcPr>
            <w:tcW w:w="1300" w:type="dxa"/>
            <w:vAlign w:val="bottom"/>
            <w:tcBorders>
              <w:bottom w:val="single" w:sz="8" w:color="959595"/>
            </w:tcBorders>
          </w:tcPr>
          <w:p>
            <w:pPr>
              <w:jc w:val="right"/>
              <w:ind w:right="191"/>
              <w:spacing w:after="0"/>
              <w:rPr>
                <w:sz w:val="20"/>
                <w:szCs w:val="20"/>
                <w:color w:val="auto"/>
              </w:rPr>
            </w:pPr>
            <w:r>
              <w:rPr>
                <w:rFonts w:ascii="Arial" w:cs="Arial" w:eastAsia="Arial" w:hAnsi="Arial"/>
                <w:sz w:val="14"/>
                <w:szCs w:val="14"/>
                <w:color w:val="auto"/>
              </w:rPr>
              <w:t>2,240,194</w:t>
            </w:r>
          </w:p>
        </w:tc>
        <w:tc>
          <w:tcPr>
            <w:tcW w:w="880" w:type="dxa"/>
            <w:vAlign w:val="bottom"/>
            <w:tcBorders>
              <w:bottom w:val="single" w:sz="8" w:color="959595"/>
            </w:tcBorders>
          </w:tcPr>
          <w:p>
            <w:pPr>
              <w:jc w:val="center"/>
              <w:ind w:left="611"/>
              <w:spacing w:after="0"/>
              <w:rPr>
                <w:sz w:val="20"/>
                <w:szCs w:val="20"/>
                <w:color w:val="auto"/>
              </w:rPr>
            </w:pPr>
            <w:r>
              <w:rPr>
                <w:rFonts w:ascii="Arial" w:cs="Arial" w:eastAsia="Arial" w:hAnsi="Arial"/>
                <w:sz w:val="14"/>
                <w:szCs w:val="14"/>
                <w:color w:val="auto"/>
              </w:rPr>
              <w:t>0</w:t>
            </w:r>
          </w:p>
        </w:tc>
      </w:tr>
      <w:tr>
        <w:trPr>
          <w:trHeight w:val="183"/>
        </w:trPr>
        <w:tc>
          <w:tcPr>
            <w:tcW w:w="1840" w:type="dxa"/>
            <w:vAlign w:val="bottom"/>
            <w:tcBorders>
              <w:bottom w:val="single" w:sz="8" w:color="959595"/>
            </w:tcBorders>
          </w:tcPr>
          <w:p>
            <w:pPr>
              <w:spacing w:after="0"/>
              <w:rPr>
                <w:sz w:val="15"/>
                <w:szCs w:val="15"/>
                <w:color w:val="auto"/>
              </w:rPr>
            </w:pPr>
          </w:p>
        </w:tc>
        <w:tc>
          <w:tcPr>
            <w:tcW w:w="6000" w:type="dxa"/>
            <w:vAlign w:val="bottom"/>
            <w:tcBorders>
              <w:bottom w:val="single" w:sz="8" w:color="959595"/>
            </w:tcBorders>
          </w:tcPr>
          <w:p>
            <w:pPr>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22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tcPr>
          <w:p>
            <w:pPr>
              <w:jc w:val="right"/>
              <w:ind w:right="191"/>
              <w:spacing w:after="0"/>
              <w:rPr>
                <w:sz w:val="20"/>
                <w:szCs w:val="20"/>
                <w:color w:val="auto"/>
              </w:rPr>
            </w:pPr>
            <w:r>
              <w:rPr>
                <w:rFonts w:ascii="Arial" w:cs="Arial" w:eastAsia="Arial" w:hAnsi="Arial"/>
                <w:sz w:val="14"/>
                <w:szCs w:val="14"/>
                <w:color w:val="auto"/>
              </w:rPr>
              <w:t>54,495,289</w:t>
            </w:r>
          </w:p>
        </w:tc>
        <w:tc>
          <w:tcPr>
            <w:tcW w:w="880" w:type="dxa"/>
            <w:vAlign w:val="bottom"/>
            <w:tcBorders>
              <w:bottom w:val="single" w:sz="8" w:color="959595"/>
            </w:tcBorders>
          </w:tcPr>
          <w:p>
            <w:pPr>
              <w:jc w:val="center"/>
              <w:ind w:left="611"/>
              <w:spacing w:after="0"/>
              <w:rPr>
                <w:sz w:val="20"/>
                <w:szCs w:val="20"/>
                <w:color w:val="auto"/>
              </w:rPr>
            </w:pPr>
            <w:r>
              <w:rPr>
                <w:rFonts w:ascii="Arial" w:cs="Arial" w:eastAsia="Arial" w:hAnsi="Arial"/>
                <w:sz w:val="14"/>
                <w:szCs w:val="14"/>
                <w:color w:val="auto"/>
              </w:rPr>
              <w:t>0</w:t>
            </w:r>
          </w:p>
        </w:tc>
      </w:tr>
      <w:tr>
        <w:trPr>
          <w:trHeight w:val="183"/>
        </w:trPr>
        <w:tc>
          <w:tcPr>
            <w:tcW w:w="1840" w:type="dxa"/>
            <w:vAlign w:val="bottom"/>
          </w:tcPr>
          <w:p>
            <w:pPr>
              <w:ind w:left="20"/>
              <w:spacing w:after="0"/>
              <w:rPr>
                <w:sz w:val="20"/>
                <w:szCs w:val="20"/>
                <w:color w:val="auto"/>
              </w:rPr>
            </w:pPr>
            <w:r>
              <w:rPr>
                <w:rFonts w:ascii="Arial" w:cs="Arial" w:eastAsia="Arial" w:hAnsi="Arial"/>
                <w:sz w:val="14"/>
                <w:szCs w:val="14"/>
                <w:b w:val="1"/>
                <w:bCs w:val="1"/>
                <w:color w:val="002E6D"/>
              </w:rPr>
              <w:t>Kenneth R. Possenriede</w:t>
            </w:r>
          </w:p>
        </w:tc>
        <w:tc>
          <w:tcPr>
            <w:tcW w:w="6000" w:type="dxa"/>
            <w:vAlign w:val="bottom"/>
            <w:tcBorders>
              <w:bottom w:val="single" w:sz="8" w:color="959595"/>
            </w:tcBorders>
            <w:shd w:val="clear" w:color="auto" w:fill="E5E7EF"/>
          </w:tcPr>
          <w:p>
            <w:pPr>
              <w:spacing w:after="0"/>
              <w:rPr>
                <w:sz w:val="20"/>
                <w:szCs w:val="20"/>
                <w:color w:val="auto"/>
              </w:rPr>
            </w:pPr>
            <w:r>
              <w:rPr>
                <w:rFonts w:ascii="Arial" w:cs="Arial" w:eastAsia="Arial" w:hAnsi="Arial"/>
                <w:sz w:val="14"/>
                <w:szCs w:val="14"/>
                <w:color w:val="auto"/>
              </w:rPr>
              <w:t>Lockheed Martin Corporation Salaried Employee Retirement Program</w:t>
            </w:r>
          </w:p>
        </w:tc>
        <w:tc>
          <w:tcPr>
            <w:tcW w:w="1220" w:type="dxa"/>
            <w:vAlign w:val="bottom"/>
            <w:tcBorders>
              <w:bottom w:val="single" w:sz="8" w:color="959595"/>
            </w:tcBorders>
            <w:shd w:val="clear" w:color="auto" w:fill="E5E7EF"/>
          </w:tcPr>
          <w:p>
            <w:pPr>
              <w:jc w:val="right"/>
              <w:ind w:right="131"/>
              <w:spacing w:after="0"/>
              <w:rPr>
                <w:sz w:val="20"/>
                <w:szCs w:val="20"/>
                <w:color w:val="auto"/>
              </w:rPr>
            </w:pPr>
            <w:r>
              <w:rPr>
                <w:rFonts w:ascii="Arial" w:cs="Arial" w:eastAsia="Arial" w:hAnsi="Arial"/>
                <w:sz w:val="14"/>
                <w:szCs w:val="14"/>
                <w:color w:val="auto"/>
              </w:rPr>
              <w:t>33.4</w:t>
            </w:r>
          </w:p>
        </w:tc>
        <w:tc>
          <w:tcPr>
            <w:tcW w:w="1300" w:type="dxa"/>
            <w:vAlign w:val="bottom"/>
            <w:tcBorders>
              <w:bottom w:val="single" w:sz="8" w:color="959595"/>
            </w:tcBorders>
            <w:shd w:val="clear" w:color="auto" w:fill="E5E7EF"/>
          </w:tcPr>
          <w:p>
            <w:pPr>
              <w:jc w:val="right"/>
              <w:ind w:right="191"/>
              <w:spacing w:after="0"/>
              <w:rPr>
                <w:sz w:val="20"/>
                <w:szCs w:val="20"/>
                <w:color w:val="auto"/>
              </w:rPr>
            </w:pPr>
            <w:r>
              <w:rPr>
                <w:rFonts w:ascii="Arial" w:cs="Arial" w:eastAsia="Arial" w:hAnsi="Arial"/>
                <w:sz w:val="14"/>
                <w:szCs w:val="14"/>
                <w:color w:val="auto"/>
              </w:rPr>
              <w:t>2,223,290</w:t>
            </w:r>
          </w:p>
        </w:tc>
        <w:tc>
          <w:tcPr>
            <w:tcW w:w="880" w:type="dxa"/>
            <w:vAlign w:val="bottom"/>
            <w:tcBorders>
              <w:bottom w:val="single" w:sz="8" w:color="959595"/>
            </w:tcBorders>
            <w:shd w:val="clear" w:color="auto" w:fill="E5E7EF"/>
          </w:tcPr>
          <w:p>
            <w:pPr>
              <w:jc w:val="center"/>
              <w:ind w:left="611"/>
              <w:spacing w:after="0"/>
              <w:rPr>
                <w:sz w:val="20"/>
                <w:szCs w:val="20"/>
                <w:color w:val="auto"/>
              </w:rPr>
            </w:pPr>
            <w:r>
              <w:rPr>
                <w:rFonts w:ascii="Arial" w:cs="Arial" w:eastAsia="Arial" w:hAnsi="Arial"/>
                <w:sz w:val="14"/>
                <w:szCs w:val="14"/>
                <w:color w:val="auto"/>
              </w:rPr>
              <w:t>0</w:t>
            </w:r>
          </w:p>
        </w:tc>
      </w:tr>
      <w:tr>
        <w:trPr>
          <w:trHeight w:val="183"/>
        </w:trPr>
        <w:tc>
          <w:tcPr>
            <w:tcW w:w="1840" w:type="dxa"/>
            <w:vAlign w:val="bottom"/>
            <w:tcBorders>
              <w:bottom w:val="single" w:sz="8" w:color="959595"/>
            </w:tcBorders>
          </w:tcPr>
          <w:p>
            <w:pPr>
              <w:spacing w:after="0"/>
              <w:rPr>
                <w:sz w:val="15"/>
                <w:szCs w:val="15"/>
                <w:color w:val="auto"/>
              </w:rPr>
            </w:pPr>
          </w:p>
        </w:tc>
        <w:tc>
          <w:tcPr>
            <w:tcW w:w="6000" w:type="dxa"/>
            <w:vAlign w:val="bottom"/>
            <w:tcBorders>
              <w:bottom w:val="single" w:sz="8" w:color="959595"/>
            </w:tcBorders>
            <w:shd w:val="clear" w:color="auto" w:fill="E5E7EF"/>
          </w:tcPr>
          <w:p>
            <w:pPr>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220" w:type="dxa"/>
            <w:vAlign w:val="bottom"/>
            <w:tcBorders>
              <w:bottom w:val="single" w:sz="8" w:color="959595"/>
            </w:tcBorders>
            <w:shd w:val="clear" w:color="auto" w:fill="E5E7EF"/>
          </w:tcPr>
          <w:p>
            <w:pPr>
              <w:jc w:val="right"/>
              <w:ind w:right="13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shd w:val="clear" w:color="auto" w:fill="E5E7EF"/>
          </w:tcPr>
          <w:p>
            <w:pPr>
              <w:jc w:val="right"/>
              <w:ind w:right="191"/>
              <w:spacing w:after="0"/>
              <w:rPr>
                <w:sz w:val="20"/>
                <w:szCs w:val="20"/>
                <w:color w:val="auto"/>
              </w:rPr>
            </w:pPr>
            <w:r>
              <w:rPr>
                <w:rFonts w:ascii="Arial" w:cs="Arial" w:eastAsia="Arial" w:hAnsi="Arial"/>
                <w:sz w:val="14"/>
                <w:szCs w:val="14"/>
                <w:color w:val="auto"/>
              </w:rPr>
              <w:t>6,586,393</w:t>
            </w:r>
          </w:p>
        </w:tc>
        <w:tc>
          <w:tcPr>
            <w:tcW w:w="880" w:type="dxa"/>
            <w:vAlign w:val="bottom"/>
            <w:tcBorders>
              <w:bottom w:val="single" w:sz="8" w:color="959595"/>
            </w:tcBorders>
            <w:shd w:val="clear" w:color="auto" w:fill="E5E7EF"/>
          </w:tcPr>
          <w:p>
            <w:pPr>
              <w:jc w:val="center"/>
              <w:ind w:left="611"/>
              <w:spacing w:after="0"/>
              <w:rPr>
                <w:sz w:val="20"/>
                <w:szCs w:val="20"/>
                <w:color w:val="auto"/>
              </w:rPr>
            </w:pPr>
            <w:r>
              <w:rPr>
                <w:rFonts w:ascii="Arial" w:cs="Arial" w:eastAsia="Arial" w:hAnsi="Arial"/>
                <w:sz w:val="14"/>
                <w:szCs w:val="14"/>
                <w:color w:val="auto"/>
              </w:rPr>
              <w:t>0</w:t>
            </w:r>
          </w:p>
        </w:tc>
      </w:tr>
      <w:tr>
        <w:trPr>
          <w:trHeight w:val="183"/>
        </w:trPr>
        <w:tc>
          <w:tcPr>
            <w:tcW w:w="1840" w:type="dxa"/>
            <w:vAlign w:val="bottom"/>
          </w:tcPr>
          <w:p>
            <w:pPr>
              <w:ind w:left="20"/>
              <w:spacing w:after="0"/>
              <w:rPr>
                <w:sz w:val="20"/>
                <w:szCs w:val="20"/>
                <w:color w:val="auto"/>
              </w:rPr>
            </w:pPr>
            <w:r>
              <w:rPr>
                <w:rFonts w:ascii="Arial" w:cs="Arial" w:eastAsia="Arial" w:hAnsi="Arial"/>
                <w:sz w:val="14"/>
                <w:szCs w:val="14"/>
                <w:b w:val="1"/>
                <w:bCs w:val="1"/>
                <w:color w:val="002E6D"/>
              </w:rPr>
              <w:t>Frank A. St. John</w:t>
            </w:r>
          </w:p>
        </w:tc>
        <w:tc>
          <w:tcPr>
            <w:tcW w:w="6000" w:type="dxa"/>
            <w:vAlign w:val="bottom"/>
            <w:tcBorders>
              <w:bottom w:val="single" w:sz="8" w:color="959595"/>
            </w:tcBorders>
          </w:tcPr>
          <w:p>
            <w:pPr>
              <w:spacing w:after="0"/>
              <w:rPr>
                <w:sz w:val="20"/>
                <w:szCs w:val="20"/>
                <w:color w:val="auto"/>
              </w:rPr>
            </w:pPr>
            <w:r>
              <w:rPr>
                <w:rFonts w:ascii="Arial" w:cs="Arial" w:eastAsia="Arial" w:hAnsi="Arial"/>
                <w:sz w:val="14"/>
                <w:szCs w:val="14"/>
                <w:color w:val="auto"/>
              </w:rPr>
              <w:t>Lockheed Martin Corporation Salaried Employee Retirement Program</w:t>
            </w:r>
          </w:p>
        </w:tc>
        <w:tc>
          <w:tcPr>
            <w:tcW w:w="122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32.6</w:t>
            </w:r>
          </w:p>
        </w:tc>
        <w:tc>
          <w:tcPr>
            <w:tcW w:w="1300" w:type="dxa"/>
            <w:vAlign w:val="bottom"/>
            <w:tcBorders>
              <w:bottom w:val="single" w:sz="8" w:color="959595"/>
            </w:tcBorders>
          </w:tcPr>
          <w:p>
            <w:pPr>
              <w:jc w:val="right"/>
              <w:ind w:right="191"/>
              <w:spacing w:after="0"/>
              <w:rPr>
                <w:sz w:val="20"/>
                <w:szCs w:val="20"/>
                <w:color w:val="auto"/>
              </w:rPr>
            </w:pPr>
            <w:r>
              <w:rPr>
                <w:rFonts w:ascii="Arial" w:cs="Arial" w:eastAsia="Arial" w:hAnsi="Arial"/>
                <w:sz w:val="14"/>
                <w:szCs w:val="14"/>
                <w:color w:val="auto"/>
              </w:rPr>
              <w:t>1,932,165</w:t>
            </w:r>
          </w:p>
        </w:tc>
        <w:tc>
          <w:tcPr>
            <w:tcW w:w="880" w:type="dxa"/>
            <w:vAlign w:val="bottom"/>
            <w:tcBorders>
              <w:bottom w:val="single" w:sz="8" w:color="959595"/>
            </w:tcBorders>
          </w:tcPr>
          <w:p>
            <w:pPr>
              <w:jc w:val="center"/>
              <w:ind w:left="611"/>
              <w:spacing w:after="0"/>
              <w:rPr>
                <w:sz w:val="20"/>
                <w:szCs w:val="20"/>
                <w:color w:val="auto"/>
              </w:rPr>
            </w:pPr>
            <w:r>
              <w:rPr>
                <w:rFonts w:ascii="Arial" w:cs="Arial" w:eastAsia="Arial" w:hAnsi="Arial"/>
                <w:sz w:val="14"/>
                <w:szCs w:val="14"/>
                <w:color w:val="auto"/>
              </w:rPr>
              <w:t>0</w:t>
            </w:r>
          </w:p>
        </w:tc>
      </w:tr>
      <w:tr>
        <w:trPr>
          <w:trHeight w:val="183"/>
        </w:trPr>
        <w:tc>
          <w:tcPr>
            <w:tcW w:w="1840" w:type="dxa"/>
            <w:vAlign w:val="bottom"/>
            <w:tcBorders>
              <w:bottom w:val="single" w:sz="8" w:color="959595"/>
            </w:tcBorders>
          </w:tcPr>
          <w:p>
            <w:pPr>
              <w:spacing w:after="0"/>
              <w:rPr>
                <w:sz w:val="15"/>
                <w:szCs w:val="15"/>
                <w:color w:val="auto"/>
              </w:rPr>
            </w:pPr>
          </w:p>
        </w:tc>
        <w:tc>
          <w:tcPr>
            <w:tcW w:w="6000" w:type="dxa"/>
            <w:vAlign w:val="bottom"/>
            <w:tcBorders>
              <w:bottom w:val="single" w:sz="8" w:color="959595"/>
            </w:tcBorders>
          </w:tcPr>
          <w:p>
            <w:pPr>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22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tcPr>
          <w:p>
            <w:pPr>
              <w:jc w:val="right"/>
              <w:ind w:right="191"/>
              <w:spacing w:after="0"/>
              <w:rPr>
                <w:sz w:val="20"/>
                <w:szCs w:val="20"/>
                <w:color w:val="auto"/>
              </w:rPr>
            </w:pPr>
            <w:r>
              <w:rPr>
                <w:rFonts w:ascii="Arial" w:cs="Arial" w:eastAsia="Arial" w:hAnsi="Arial"/>
                <w:sz w:val="14"/>
                <w:szCs w:val="14"/>
                <w:color w:val="auto"/>
              </w:rPr>
              <w:t>4,576,038</w:t>
            </w:r>
          </w:p>
        </w:tc>
        <w:tc>
          <w:tcPr>
            <w:tcW w:w="880" w:type="dxa"/>
            <w:vAlign w:val="bottom"/>
            <w:tcBorders>
              <w:bottom w:val="single" w:sz="8" w:color="959595"/>
            </w:tcBorders>
          </w:tcPr>
          <w:p>
            <w:pPr>
              <w:jc w:val="center"/>
              <w:ind w:left="611"/>
              <w:spacing w:after="0"/>
              <w:rPr>
                <w:sz w:val="20"/>
                <w:szCs w:val="20"/>
                <w:color w:val="auto"/>
              </w:rPr>
            </w:pPr>
            <w:r>
              <w:rPr>
                <w:rFonts w:ascii="Arial" w:cs="Arial" w:eastAsia="Arial" w:hAnsi="Arial"/>
                <w:sz w:val="14"/>
                <w:szCs w:val="14"/>
                <w:color w:val="auto"/>
              </w:rPr>
              <w:t>0</w:t>
            </w:r>
          </w:p>
        </w:tc>
      </w:tr>
      <w:tr>
        <w:trPr>
          <w:trHeight w:val="183"/>
        </w:trPr>
        <w:tc>
          <w:tcPr>
            <w:tcW w:w="1840" w:type="dxa"/>
            <w:vAlign w:val="bottom"/>
          </w:tcPr>
          <w:p>
            <w:pPr>
              <w:ind w:left="20"/>
              <w:spacing w:after="0"/>
              <w:rPr>
                <w:sz w:val="20"/>
                <w:szCs w:val="20"/>
                <w:color w:val="auto"/>
              </w:rPr>
            </w:pPr>
            <w:r>
              <w:rPr>
                <w:rFonts w:ascii="Arial" w:cs="Arial" w:eastAsia="Arial" w:hAnsi="Arial"/>
                <w:sz w:val="14"/>
                <w:szCs w:val="14"/>
                <w:b w:val="1"/>
                <w:bCs w:val="1"/>
                <w:color w:val="002E6D"/>
              </w:rPr>
              <w:t>Richard F. Ambrose</w:t>
            </w:r>
          </w:p>
        </w:tc>
        <w:tc>
          <w:tcPr>
            <w:tcW w:w="6000" w:type="dxa"/>
            <w:vAlign w:val="bottom"/>
            <w:tcBorders>
              <w:bottom w:val="single" w:sz="8" w:color="959595"/>
            </w:tcBorders>
            <w:shd w:val="clear" w:color="auto" w:fill="E5E7EF"/>
          </w:tcPr>
          <w:p>
            <w:pPr>
              <w:spacing w:after="0"/>
              <w:rPr>
                <w:sz w:val="20"/>
                <w:szCs w:val="20"/>
                <w:color w:val="auto"/>
              </w:rPr>
            </w:pPr>
            <w:r>
              <w:rPr>
                <w:rFonts w:ascii="Arial" w:cs="Arial" w:eastAsia="Arial" w:hAnsi="Arial"/>
                <w:sz w:val="14"/>
                <w:szCs w:val="14"/>
                <w:color w:val="auto"/>
              </w:rPr>
              <w:t>Lockheed Martin Corporation Salaried Employee Retirement Program</w:t>
            </w:r>
          </w:p>
        </w:tc>
        <w:tc>
          <w:tcPr>
            <w:tcW w:w="1220" w:type="dxa"/>
            <w:vAlign w:val="bottom"/>
            <w:tcBorders>
              <w:bottom w:val="single" w:sz="8" w:color="959595"/>
            </w:tcBorders>
            <w:shd w:val="clear" w:color="auto" w:fill="E5E7EF"/>
          </w:tcPr>
          <w:p>
            <w:pPr>
              <w:jc w:val="right"/>
              <w:ind w:right="131"/>
              <w:spacing w:after="0"/>
              <w:rPr>
                <w:sz w:val="20"/>
                <w:szCs w:val="20"/>
                <w:color w:val="auto"/>
              </w:rPr>
            </w:pPr>
            <w:r>
              <w:rPr>
                <w:rFonts w:ascii="Arial" w:cs="Arial" w:eastAsia="Arial" w:hAnsi="Arial"/>
                <w:sz w:val="14"/>
                <w:szCs w:val="14"/>
                <w:color w:val="auto"/>
              </w:rPr>
              <w:t>19.5</w:t>
            </w:r>
          </w:p>
        </w:tc>
        <w:tc>
          <w:tcPr>
            <w:tcW w:w="1300" w:type="dxa"/>
            <w:vAlign w:val="bottom"/>
            <w:tcBorders>
              <w:bottom w:val="single" w:sz="8" w:color="959595"/>
            </w:tcBorders>
            <w:shd w:val="clear" w:color="auto" w:fill="E5E7EF"/>
          </w:tcPr>
          <w:p>
            <w:pPr>
              <w:jc w:val="right"/>
              <w:ind w:right="191"/>
              <w:spacing w:after="0"/>
              <w:rPr>
                <w:sz w:val="20"/>
                <w:szCs w:val="20"/>
                <w:color w:val="auto"/>
              </w:rPr>
            </w:pPr>
            <w:r>
              <w:rPr>
                <w:rFonts w:ascii="Arial" w:cs="Arial" w:eastAsia="Arial" w:hAnsi="Arial"/>
                <w:sz w:val="14"/>
                <w:szCs w:val="14"/>
                <w:color w:val="auto"/>
              </w:rPr>
              <w:t>1,271,946</w:t>
            </w:r>
          </w:p>
        </w:tc>
        <w:tc>
          <w:tcPr>
            <w:tcW w:w="880" w:type="dxa"/>
            <w:vAlign w:val="bottom"/>
            <w:tcBorders>
              <w:bottom w:val="single" w:sz="8" w:color="959595"/>
            </w:tcBorders>
            <w:shd w:val="clear" w:color="auto" w:fill="E5E7EF"/>
          </w:tcPr>
          <w:p>
            <w:pPr>
              <w:jc w:val="center"/>
              <w:ind w:left="611"/>
              <w:spacing w:after="0"/>
              <w:rPr>
                <w:sz w:val="20"/>
                <w:szCs w:val="20"/>
                <w:color w:val="auto"/>
              </w:rPr>
            </w:pPr>
            <w:r>
              <w:rPr>
                <w:rFonts w:ascii="Arial" w:cs="Arial" w:eastAsia="Arial" w:hAnsi="Arial"/>
                <w:sz w:val="14"/>
                <w:szCs w:val="14"/>
                <w:color w:val="auto"/>
              </w:rPr>
              <w:t>0</w:t>
            </w:r>
          </w:p>
        </w:tc>
      </w:tr>
      <w:tr>
        <w:trPr>
          <w:trHeight w:val="183"/>
        </w:trPr>
        <w:tc>
          <w:tcPr>
            <w:tcW w:w="1840" w:type="dxa"/>
            <w:vAlign w:val="bottom"/>
            <w:tcBorders>
              <w:bottom w:val="single" w:sz="8" w:color="959595"/>
            </w:tcBorders>
          </w:tcPr>
          <w:p>
            <w:pPr>
              <w:spacing w:after="0"/>
              <w:rPr>
                <w:sz w:val="15"/>
                <w:szCs w:val="15"/>
                <w:color w:val="auto"/>
              </w:rPr>
            </w:pPr>
          </w:p>
        </w:tc>
        <w:tc>
          <w:tcPr>
            <w:tcW w:w="6000" w:type="dxa"/>
            <w:vAlign w:val="bottom"/>
            <w:tcBorders>
              <w:bottom w:val="single" w:sz="8" w:color="959595"/>
            </w:tcBorders>
            <w:shd w:val="clear" w:color="auto" w:fill="E5E7EF"/>
          </w:tcPr>
          <w:p>
            <w:pPr>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220" w:type="dxa"/>
            <w:vAlign w:val="bottom"/>
            <w:tcBorders>
              <w:bottom w:val="single" w:sz="8" w:color="959595"/>
            </w:tcBorders>
            <w:shd w:val="clear" w:color="auto" w:fill="E5E7EF"/>
          </w:tcPr>
          <w:p>
            <w:pPr>
              <w:jc w:val="right"/>
              <w:ind w:right="13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shd w:val="clear" w:color="auto" w:fill="E5E7EF"/>
          </w:tcPr>
          <w:p>
            <w:pPr>
              <w:jc w:val="right"/>
              <w:ind w:right="191"/>
              <w:spacing w:after="0"/>
              <w:rPr>
                <w:sz w:val="20"/>
                <w:szCs w:val="20"/>
                <w:color w:val="auto"/>
              </w:rPr>
            </w:pPr>
            <w:r>
              <w:rPr>
                <w:rFonts w:ascii="Arial" w:cs="Arial" w:eastAsia="Arial" w:hAnsi="Arial"/>
                <w:sz w:val="14"/>
                <w:szCs w:val="14"/>
                <w:color w:val="auto"/>
              </w:rPr>
              <w:t>8,143,748</w:t>
            </w:r>
          </w:p>
        </w:tc>
        <w:tc>
          <w:tcPr>
            <w:tcW w:w="880" w:type="dxa"/>
            <w:vAlign w:val="bottom"/>
            <w:tcBorders>
              <w:bottom w:val="single" w:sz="8" w:color="959595"/>
            </w:tcBorders>
            <w:shd w:val="clear" w:color="auto" w:fill="E5E7EF"/>
          </w:tcPr>
          <w:p>
            <w:pPr>
              <w:jc w:val="center"/>
              <w:ind w:left="611"/>
              <w:spacing w:after="0"/>
              <w:rPr>
                <w:sz w:val="20"/>
                <w:szCs w:val="20"/>
                <w:color w:val="auto"/>
              </w:rPr>
            </w:pPr>
            <w:r>
              <w:rPr>
                <w:rFonts w:ascii="Arial" w:cs="Arial" w:eastAsia="Arial" w:hAnsi="Arial"/>
                <w:sz w:val="14"/>
                <w:szCs w:val="14"/>
                <w:color w:val="auto"/>
              </w:rPr>
              <w:t>0</w:t>
            </w:r>
          </w:p>
        </w:tc>
      </w:tr>
      <w:tr>
        <w:trPr>
          <w:trHeight w:val="183"/>
        </w:trPr>
        <w:tc>
          <w:tcPr>
            <w:tcW w:w="1840" w:type="dxa"/>
            <w:vAlign w:val="bottom"/>
          </w:tcPr>
          <w:p>
            <w:pPr>
              <w:ind w:left="20"/>
              <w:spacing w:after="0"/>
              <w:rPr>
                <w:sz w:val="20"/>
                <w:szCs w:val="20"/>
                <w:color w:val="auto"/>
              </w:rPr>
            </w:pPr>
            <w:r>
              <w:rPr>
                <w:rFonts w:ascii="Arial" w:cs="Arial" w:eastAsia="Arial" w:hAnsi="Arial"/>
                <w:sz w:val="14"/>
                <w:szCs w:val="14"/>
                <w:b w:val="1"/>
                <w:bCs w:val="1"/>
                <w:color w:val="002E6D"/>
              </w:rPr>
              <w:t>Michele A. Evans</w:t>
            </w:r>
          </w:p>
        </w:tc>
        <w:tc>
          <w:tcPr>
            <w:tcW w:w="6000" w:type="dxa"/>
            <w:vAlign w:val="bottom"/>
            <w:tcBorders>
              <w:bottom w:val="single" w:sz="8" w:color="959595"/>
            </w:tcBorders>
          </w:tcPr>
          <w:p>
            <w:pPr>
              <w:spacing w:after="0"/>
              <w:rPr>
                <w:sz w:val="20"/>
                <w:szCs w:val="20"/>
                <w:color w:val="auto"/>
              </w:rPr>
            </w:pPr>
            <w:r>
              <w:rPr>
                <w:rFonts w:ascii="Arial" w:cs="Arial" w:eastAsia="Arial" w:hAnsi="Arial"/>
                <w:sz w:val="14"/>
                <w:szCs w:val="14"/>
                <w:color w:val="auto"/>
              </w:rPr>
              <w:t>Lockheed Martin Corporation Salaried Employee Retirement Program</w:t>
            </w:r>
          </w:p>
        </w:tc>
        <w:tc>
          <w:tcPr>
            <w:tcW w:w="122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33.3</w:t>
            </w:r>
          </w:p>
        </w:tc>
        <w:tc>
          <w:tcPr>
            <w:tcW w:w="1300" w:type="dxa"/>
            <w:vAlign w:val="bottom"/>
            <w:tcBorders>
              <w:bottom w:val="single" w:sz="8" w:color="959595"/>
            </w:tcBorders>
          </w:tcPr>
          <w:p>
            <w:pPr>
              <w:jc w:val="right"/>
              <w:ind w:right="191"/>
              <w:spacing w:after="0"/>
              <w:rPr>
                <w:sz w:val="20"/>
                <w:szCs w:val="20"/>
                <w:color w:val="auto"/>
              </w:rPr>
            </w:pPr>
            <w:r>
              <w:rPr>
                <w:rFonts w:ascii="Arial" w:cs="Arial" w:eastAsia="Arial" w:hAnsi="Arial"/>
                <w:sz w:val="14"/>
                <w:szCs w:val="14"/>
                <w:color w:val="auto"/>
              </w:rPr>
              <w:t>2,099,970</w:t>
            </w:r>
          </w:p>
        </w:tc>
        <w:tc>
          <w:tcPr>
            <w:tcW w:w="880" w:type="dxa"/>
            <w:vAlign w:val="bottom"/>
            <w:tcBorders>
              <w:bottom w:val="single" w:sz="8" w:color="959595"/>
            </w:tcBorders>
          </w:tcPr>
          <w:p>
            <w:pPr>
              <w:jc w:val="center"/>
              <w:ind w:left="611"/>
              <w:spacing w:after="0"/>
              <w:rPr>
                <w:sz w:val="20"/>
                <w:szCs w:val="20"/>
                <w:color w:val="auto"/>
              </w:rPr>
            </w:pPr>
            <w:r>
              <w:rPr>
                <w:rFonts w:ascii="Arial" w:cs="Arial" w:eastAsia="Arial" w:hAnsi="Arial"/>
                <w:sz w:val="14"/>
                <w:szCs w:val="14"/>
                <w:color w:val="auto"/>
              </w:rPr>
              <w:t>0</w:t>
            </w:r>
          </w:p>
        </w:tc>
      </w:tr>
      <w:tr>
        <w:trPr>
          <w:trHeight w:val="183"/>
        </w:trPr>
        <w:tc>
          <w:tcPr>
            <w:tcW w:w="1840" w:type="dxa"/>
            <w:vAlign w:val="bottom"/>
            <w:tcBorders>
              <w:bottom w:val="single" w:sz="8" w:color="959595"/>
            </w:tcBorders>
          </w:tcPr>
          <w:p>
            <w:pPr>
              <w:spacing w:after="0"/>
              <w:rPr>
                <w:sz w:val="15"/>
                <w:szCs w:val="15"/>
                <w:color w:val="auto"/>
              </w:rPr>
            </w:pPr>
          </w:p>
        </w:tc>
        <w:tc>
          <w:tcPr>
            <w:tcW w:w="6000" w:type="dxa"/>
            <w:vAlign w:val="bottom"/>
            <w:tcBorders>
              <w:bottom w:val="single" w:sz="8" w:color="959595"/>
            </w:tcBorders>
          </w:tcPr>
          <w:p>
            <w:pPr>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22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tcPr>
          <w:p>
            <w:pPr>
              <w:jc w:val="right"/>
              <w:ind w:right="191"/>
              <w:spacing w:after="0"/>
              <w:rPr>
                <w:sz w:val="20"/>
                <w:szCs w:val="20"/>
                <w:color w:val="auto"/>
              </w:rPr>
            </w:pPr>
            <w:r>
              <w:rPr>
                <w:rFonts w:ascii="Arial" w:cs="Arial" w:eastAsia="Arial" w:hAnsi="Arial"/>
                <w:sz w:val="14"/>
                <w:szCs w:val="14"/>
                <w:color w:val="auto"/>
              </w:rPr>
              <w:t>3,777,725</w:t>
            </w:r>
          </w:p>
        </w:tc>
        <w:tc>
          <w:tcPr>
            <w:tcW w:w="880" w:type="dxa"/>
            <w:vAlign w:val="bottom"/>
            <w:tcBorders>
              <w:bottom w:val="single" w:sz="8" w:color="959595"/>
            </w:tcBorders>
          </w:tcPr>
          <w:p>
            <w:pPr>
              <w:jc w:val="center"/>
              <w:ind w:left="611"/>
              <w:spacing w:after="0"/>
              <w:rPr>
                <w:sz w:val="20"/>
                <w:szCs w:val="20"/>
                <w:color w:val="auto"/>
              </w:rPr>
            </w:pPr>
            <w:r>
              <w:rPr>
                <w:rFonts w:ascii="Arial" w:cs="Arial" w:eastAsia="Arial" w:hAnsi="Arial"/>
                <w:sz w:val="14"/>
                <w:szCs w:val="14"/>
                <w:color w:val="auto"/>
              </w:rPr>
              <w:t>0</w:t>
            </w:r>
          </w:p>
        </w:tc>
      </w:tr>
    </w:tbl>
    <w:p>
      <w:pPr>
        <w:spacing w:after="0" w:line="99" w:lineRule="exact"/>
        <w:rPr>
          <w:sz w:val="20"/>
          <w:szCs w:val="20"/>
          <w:color w:val="auto"/>
        </w:rPr>
      </w:pPr>
    </w:p>
    <w:p>
      <w:pPr>
        <w:ind w:left="260" w:right="220" w:hanging="252"/>
        <w:spacing w:after="0" w:line="211" w:lineRule="auto"/>
        <w:tabs>
          <w:tab w:leader="none" w:pos="288"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The Number of Years of Credited Service is one year less than the actual number of years of service for the NEOs listed in the table as increases in service ceased to be taken into account effective January 1, 2020.</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475C90"/>
        </w:rPr>
        <w:t>Plan Name (Column (b))</w:t>
      </w:r>
    </w:p>
    <w:p>
      <w:pPr>
        <w:spacing w:after="0" w:line="1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Supplemental Pension uses the same formula for benefits as the tax-qualified plan uses for calculating the NEO’s benefit. Although all service recognized under the tax-qualified plan is recognized under the Supplemental Pension, a benefit would have been earned under the Supplemental Pension only in years when the NEO’s total accrued benefit would have exceeded the benefit accrued under the tax-qualified plan. The Supplemental Pension benefits are payable in the same forms as benefits are paid under the LMRP, except lump sum payments are available under the Supplemental Pension to NEOs who first became eligible to participate in the Supplemental Pension on or before December 16, 2005.</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475C90"/>
        </w:rPr>
        <w:t>Present Value of Accumulated Benefit (Column (d))</w:t>
      </w:r>
    </w:p>
    <w:p>
      <w:pPr>
        <w:spacing w:after="0" w:line="12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amounts in column (d) were computed using the same assumptions we used to account for pension liabilities in our financial statements and as described in Note 12 to our financial statements contained in our 2020 Annual Report, except that the amounts were calculated based on benefits commencing at age 60 (or current age if greater). We used these ages rather than the plan’s normal retirement age of 65 because an employee may commence receiving pension benefits at age 60 without any reduction for early commencement. Amounts paid under our plans use assumptions contained in the plans and may be different than those used for financial statement reporting purposes. Benefits under the LMRP are payable, at the election of the participant, as a monthly annuity for the lifetime of the employee, as a joint and survivor annuity, as a life annuity with a five or ten year guarantee, or as a level income annuity. The Supplemental Pension benefits are payable in the same forms as the benefits are paid under the LMRP, except that participants who first became eligible to participate in the Supplemental Pension on or before December 16, 2005 (all NEOs except Mr. Taiclet and Mr. St. John) may elect a lump sum payment of their SERP benefits. If a NEO elected a lump sum payment, the amount of the lump sum would be based on plan assumptions and not the assumptions used for financial statement reporting purposes. As a result, the actual lump sum payment would be an amount different than what is reported in this table. The age of the NEO at retirement would also impact the size of the lump sum payment. The amount using plan assumptions is shown in the “Potential Payments Upon Termination or Change in Control” table.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67</w:t>
      </w:r>
    </w:p>
    <w:p>
      <w:pPr>
        <w:sectPr>
          <w:pgSz w:w="11900" w:h="16838" w:orient="portrait"/>
          <w:cols w:equalWidth="0" w:num="1">
            <w:col w:w="11240"/>
          </w:cols>
          <w:pgMar w:left="320" w:top="609" w:right="339" w:bottom="1440" w:gutter="0" w:footer="0" w:header="0"/>
        </w:sectPr>
      </w:pPr>
    </w:p>
    <w:bookmarkStart w:id="71" w:name="page72"/>
    <w:bookmarkEnd w:id="71"/>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2020 Nonqualified Deferred Compensation</w:t>
      </w:r>
    </w:p>
    <w:p>
      <w:pPr>
        <w:spacing w:after="0" w:line="1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Participants in our tax-qualified defined contribution plan may defer up to 40% of base salary on a pre-tax, Roth or after-tax basis. In addition, we make a matching contribution equal to 50% of up to the first 8% of base salary contributed by the participant. Employee and Corporation matching contributions in excess of the Internal Revenue Code limitations may be contributed to the NQSSP on a pre-tax basis at the election of the NEO. We also make Corporation contributions in excess of the Internal Revenue Code limitations to the NCAP equal to 6% of the NEO’s base salary. Employee contributions, matching and Corporation contributions to the plans are nonforfeitable at all times. NQSSP and NCAP contributions are credited with earnings or losses, as appropriate, based on the investment options in which the account has been invested, as elected by the participant. Each of the NQSSP and NCAP investment options is available under our tax-qualified defined contribution plan for salaried employees. The NQSSP and NCAP provide for payment following termination of employment in a lump sum or up to 25 annual installments at the participant’s election. All amounts accumulated and unpaid under the NQSSP and NCAP must be paid in a lump sum within 15 calendar days following a change in control.</w:t>
      </w:r>
    </w:p>
    <w:p>
      <w:pPr>
        <w:spacing w:after="0" w:line="10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Deferred Management Incentive Compensation Plan (DMICP) provides the opportunity to defer, until termination of employment or beyond, the receipt of all or a portion of annual incentive bonuses and LTIP awards. NEOs may elect any of the investment funds available in the NQSSP (with the exception of the Company Stock Fund) and two investment alternatives available only under the DMICP for crediting earnings (losses). Under the DMICP Stock Investment Option, earnings (losses) on deferred amounts will accrue at a rate that tracks the performance of our common stock, including reinvestment of dividends. Under the DMICP Interest Investment Option, earnings accrue at a rate equivalent to the then published rate for computing the present value of future benefits under Cost Accounting Standards 415, Deferred Compensation (CAS 415 rate). The Interest Investment Option was closed to new deferrals and transfers from other investment options effective July 1, 2009, however, as was the case for 2018 and 2019, minimal above-market amounts are reported for 2020 for the pre-July 1, 2009 deferrals. Amounts credited to the Stock Investment Option may not be reallocated to other options. In addition, Stock Investment Option deferrals will be paid in shares of our common stock upon distribution. The DMICP provides for payment in January or July following termination of employment in a lump sum or up to 25 annual installments at the NEO’s election. All amounts accumulated under the DMICP must be paid in a lump sum within 15 days following a change in control.</w:t>
      </w:r>
    </w:p>
    <w:p>
      <w:pPr>
        <w:spacing w:after="0" w:line="101"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This table reports compensation earned by the NEOs and deferred under NQSSP, NCAP and DMICP. The NQSSP is a nonqualified defined contribution plan with a match on a portion of the salary deferral. The NCAP is a nonqualified defined contribution excess plan with Corporation contributions. The DMICP is a nonqualified deferred compensation plan through which participants may defer their annual incentive bonus paid under the MICP or the cash-based LTIP received as part of their long-term incentive award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264160</wp:posOffset>
            </wp:positionV>
            <wp:extent cx="969010" cy="2228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68</w:t>
      </w:r>
    </w:p>
    <w:p>
      <w:pPr>
        <w:sectPr>
          <w:pgSz w:w="11900" w:h="16838" w:orient="portrait"/>
          <w:cols w:equalWidth="0" w:num="1">
            <w:col w:w="11200"/>
          </w:cols>
          <w:pgMar w:left="320" w:top="609" w:right="379" w:bottom="1440" w:gutter="0" w:footer="0" w:header="0"/>
        </w:sectPr>
      </w:pPr>
    </w:p>
    <w:bookmarkStart w:id="72" w:name="page73"/>
    <w:bookmarkEnd w:id="72"/>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2020 Nonqualified Deferred Compensation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shd w:val="clear" w:color="auto" w:fill="E5E7EF"/>
          </w:tcPr>
          <w:p>
            <w:pPr>
              <w:spacing w:after="0"/>
              <w:rPr>
                <w:sz w:val="14"/>
                <w:szCs w:val="14"/>
                <w:color w:val="auto"/>
              </w:rPr>
            </w:pPr>
          </w:p>
        </w:tc>
        <w:tc>
          <w:tcPr>
            <w:tcW w:w="1360" w:type="dxa"/>
            <w:vAlign w:val="bottom"/>
            <w:shd w:val="clear" w:color="auto" w:fill="E5E7EF"/>
          </w:tcPr>
          <w:p>
            <w:pPr>
              <w:spacing w:after="0"/>
              <w:rPr>
                <w:sz w:val="14"/>
                <w:szCs w:val="14"/>
                <w:color w:val="auto"/>
              </w:rPr>
            </w:pPr>
          </w:p>
        </w:tc>
        <w:tc>
          <w:tcPr>
            <w:tcW w:w="1300" w:type="dxa"/>
            <w:vAlign w:val="bottom"/>
            <w:shd w:val="clear" w:color="auto" w:fill="E5E7EF"/>
          </w:tcPr>
          <w:p>
            <w:pPr>
              <w:spacing w:after="0"/>
              <w:rPr>
                <w:sz w:val="14"/>
                <w:szCs w:val="14"/>
                <w:color w:val="auto"/>
              </w:rPr>
            </w:pPr>
          </w:p>
        </w:tc>
        <w:tc>
          <w:tcPr>
            <w:tcW w:w="1100" w:type="dxa"/>
            <w:vAlign w:val="bottom"/>
            <w:shd w:val="clear" w:color="auto" w:fill="E5E7EF"/>
          </w:tcPr>
          <w:p>
            <w:pPr>
              <w:spacing w:after="0"/>
              <w:rPr>
                <w:sz w:val="14"/>
                <w:szCs w:val="14"/>
                <w:color w:val="auto"/>
              </w:rPr>
            </w:pPr>
          </w:p>
        </w:tc>
        <w:tc>
          <w:tcPr>
            <w:tcW w:w="1080" w:type="dxa"/>
            <w:vAlign w:val="bottom"/>
            <w:shd w:val="clear" w:color="auto" w:fill="E5E7EF"/>
          </w:tcPr>
          <w:p>
            <w:pPr>
              <w:spacing w:after="0"/>
              <w:rPr>
                <w:sz w:val="14"/>
                <w:szCs w:val="14"/>
                <w:color w:val="auto"/>
              </w:rPr>
            </w:pPr>
          </w:p>
        </w:tc>
        <w:tc>
          <w:tcPr>
            <w:tcW w:w="1040" w:type="dxa"/>
            <w:vAlign w:val="bottom"/>
            <w:shd w:val="clear" w:color="auto" w:fill="E5E7EF"/>
          </w:tcPr>
          <w:p>
            <w:pPr>
              <w:jc w:val="right"/>
              <w:ind w:right="30"/>
              <w:spacing w:after="0"/>
              <w:rPr>
                <w:sz w:val="20"/>
                <w:szCs w:val="20"/>
                <w:color w:val="auto"/>
              </w:rPr>
            </w:pPr>
            <w:r>
              <w:rPr>
                <w:rFonts w:ascii="Arial" w:cs="Arial" w:eastAsia="Arial" w:hAnsi="Arial"/>
                <w:sz w:val="13"/>
                <w:szCs w:val="13"/>
                <w:color w:val="auto"/>
              </w:rPr>
              <w:t>Aggregate</w:t>
            </w:r>
          </w:p>
        </w:tc>
        <w:tc>
          <w:tcPr>
            <w:tcW w:w="880" w:type="dxa"/>
            <w:vAlign w:val="bottom"/>
            <w:shd w:val="clear" w:color="auto" w:fill="E5E7EF"/>
          </w:tcPr>
          <w:p>
            <w:pPr>
              <w:spacing w:after="0"/>
              <w:rPr>
                <w:sz w:val="14"/>
                <w:szCs w:val="14"/>
                <w:color w:val="auto"/>
              </w:rPr>
            </w:pPr>
          </w:p>
        </w:tc>
      </w:tr>
      <w:tr>
        <w:trPr>
          <w:trHeight w:val="148"/>
        </w:trPr>
        <w:tc>
          <w:tcPr>
            <w:tcW w:w="4420" w:type="dxa"/>
            <w:vAlign w:val="bottom"/>
            <w:shd w:val="clear" w:color="auto" w:fill="E5E7EF"/>
          </w:tcPr>
          <w:p>
            <w:pPr>
              <w:spacing w:after="0"/>
              <w:rPr>
                <w:sz w:val="12"/>
                <w:szCs w:val="12"/>
                <w:color w:val="auto"/>
              </w:rPr>
            </w:pPr>
          </w:p>
        </w:tc>
        <w:tc>
          <w:tcPr>
            <w:tcW w:w="1360" w:type="dxa"/>
            <w:vAlign w:val="bottom"/>
            <w:shd w:val="clear" w:color="auto" w:fill="E5E7EF"/>
          </w:tcPr>
          <w:p>
            <w:pPr>
              <w:spacing w:after="0"/>
              <w:rPr>
                <w:sz w:val="12"/>
                <w:szCs w:val="12"/>
                <w:color w:val="auto"/>
              </w:rPr>
            </w:pPr>
          </w:p>
        </w:tc>
        <w:tc>
          <w:tcPr>
            <w:tcW w:w="1300" w:type="dxa"/>
            <w:vAlign w:val="bottom"/>
            <w:shd w:val="clear" w:color="auto" w:fill="E5E7EF"/>
          </w:tcPr>
          <w:p>
            <w:pPr>
              <w:jc w:val="right"/>
              <w:ind w:right="90"/>
              <w:spacing w:after="0"/>
              <w:rPr>
                <w:sz w:val="20"/>
                <w:szCs w:val="20"/>
                <w:color w:val="auto"/>
              </w:rPr>
            </w:pPr>
            <w:r>
              <w:rPr>
                <w:rFonts w:ascii="Arial" w:cs="Arial" w:eastAsia="Arial" w:hAnsi="Arial"/>
                <w:sz w:val="13"/>
                <w:szCs w:val="13"/>
                <w:color w:val="auto"/>
              </w:rPr>
              <w:t>Executive</w:t>
            </w:r>
          </w:p>
        </w:tc>
        <w:tc>
          <w:tcPr>
            <w:tcW w:w="110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Registrant</w:t>
            </w:r>
          </w:p>
        </w:tc>
        <w:tc>
          <w:tcPr>
            <w:tcW w:w="1080" w:type="dxa"/>
            <w:vAlign w:val="bottom"/>
            <w:shd w:val="clear" w:color="auto" w:fill="E5E7EF"/>
          </w:tcPr>
          <w:p>
            <w:pPr>
              <w:jc w:val="right"/>
              <w:ind w:right="150"/>
              <w:spacing w:after="0"/>
              <w:rPr>
                <w:sz w:val="20"/>
                <w:szCs w:val="20"/>
                <w:color w:val="auto"/>
              </w:rPr>
            </w:pPr>
            <w:r>
              <w:rPr>
                <w:rFonts w:ascii="Arial" w:cs="Arial" w:eastAsia="Arial" w:hAnsi="Arial"/>
                <w:sz w:val="13"/>
                <w:szCs w:val="13"/>
                <w:color w:val="auto"/>
              </w:rPr>
              <w:t>Aggregate</w:t>
            </w:r>
          </w:p>
        </w:tc>
        <w:tc>
          <w:tcPr>
            <w:tcW w:w="1040" w:type="dxa"/>
            <w:vAlign w:val="bottom"/>
            <w:shd w:val="clear" w:color="auto" w:fill="E5E7EF"/>
          </w:tcPr>
          <w:p>
            <w:pPr>
              <w:jc w:val="right"/>
              <w:ind w:right="30"/>
              <w:spacing w:after="0"/>
              <w:rPr>
                <w:sz w:val="20"/>
                <w:szCs w:val="20"/>
                <w:color w:val="auto"/>
              </w:rPr>
            </w:pPr>
            <w:r>
              <w:rPr>
                <w:rFonts w:ascii="Arial" w:cs="Arial" w:eastAsia="Arial" w:hAnsi="Arial"/>
                <w:sz w:val="13"/>
                <w:szCs w:val="13"/>
                <w:color w:val="auto"/>
              </w:rPr>
              <w:t>Withdrawals/</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Aggregate</w:t>
            </w:r>
          </w:p>
        </w:tc>
      </w:tr>
      <w:tr>
        <w:trPr>
          <w:trHeight w:val="148"/>
        </w:trPr>
        <w:tc>
          <w:tcPr>
            <w:tcW w:w="4420" w:type="dxa"/>
            <w:vAlign w:val="bottom"/>
            <w:shd w:val="clear" w:color="auto" w:fill="E5E7EF"/>
          </w:tcPr>
          <w:p>
            <w:pPr>
              <w:spacing w:after="0"/>
              <w:rPr>
                <w:sz w:val="12"/>
                <w:szCs w:val="12"/>
                <w:color w:val="auto"/>
              </w:rPr>
            </w:pPr>
          </w:p>
        </w:tc>
        <w:tc>
          <w:tcPr>
            <w:tcW w:w="1360" w:type="dxa"/>
            <w:vAlign w:val="bottom"/>
            <w:shd w:val="clear" w:color="auto" w:fill="E5E7EF"/>
          </w:tcPr>
          <w:p>
            <w:pPr>
              <w:spacing w:after="0"/>
              <w:rPr>
                <w:sz w:val="12"/>
                <w:szCs w:val="12"/>
                <w:color w:val="auto"/>
              </w:rPr>
            </w:pPr>
          </w:p>
        </w:tc>
        <w:tc>
          <w:tcPr>
            <w:tcW w:w="1300" w:type="dxa"/>
            <w:vAlign w:val="bottom"/>
            <w:shd w:val="clear" w:color="auto" w:fill="E5E7EF"/>
          </w:tcPr>
          <w:p>
            <w:pPr>
              <w:jc w:val="right"/>
              <w:ind w:right="90"/>
              <w:spacing w:after="0"/>
              <w:rPr>
                <w:sz w:val="20"/>
                <w:szCs w:val="20"/>
                <w:color w:val="auto"/>
              </w:rPr>
            </w:pPr>
            <w:r>
              <w:rPr>
                <w:rFonts w:ascii="Arial" w:cs="Arial" w:eastAsia="Arial" w:hAnsi="Arial"/>
                <w:sz w:val="13"/>
                <w:szCs w:val="13"/>
                <w:color w:val="auto"/>
              </w:rPr>
              <w:t>Contributions</w:t>
            </w:r>
          </w:p>
        </w:tc>
        <w:tc>
          <w:tcPr>
            <w:tcW w:w="110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Contributions</w:t>
            </w:r>
          </w:p>
        </w:tc>
        <w:tc>
          <w:tcPr>
            <w:tcW w:w="2120" w:type="dxa"/>
            <w:vAlign w:val="bottom"/>
            <w:gridSpan w:val="2"/>
            <w:shd w:val="clear" w:color="auto" w:fill="E5E7EF"/>
          </w:tcPr>
          <w:p>
            <w:pPr>
              <w:jc w:val="right"/>
              <w:ind w:right="30"/>
              <w:spacing w:after="0"/>
              <w:rPr>
                <w:sz w:val="20"/>
                <w:szCs w:val="20"/>
                <w:color w:val="auto"/>
              </w:rPr>
            </w:pPr>
            <w:r>
              <w:rPr>
                <w:rFonts w:ascii="Arial" w:cs="Arial" w:eastAsia="Arial" w:hAnsi="Arial"/>
                <w:sz w:val="13"/>
                <w:szCs w:val="13"/>
                <w:color w:val="auto"/>
              </w:rPr>
              <w:t>Earnings in Distributions in Last</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Balance at</w:t>
            </w:r>
          </w:p>
        </w:tc>
      </w:tr>
      <w:tr>
        <w:trPr>
          <w:trHeight w:val="152"/>
        </w:trPr>
        <w:tc>
          <w:tcPr>
            <w:tcW w:w="4420" w:type="dxa"/>
            <w:vAlign w:val="bottom"/>
            <w:shd w:val="clear" w:color="auto" w:fill="E5E7EF"/>
          </w:tcPr>
          <w:p>
            <w:pPr>
              <w:spacing w:after="0"/>
              <w:rPr>
                <w:sz w:val="13"/>
                <w:szCs w:val="13"/>
                <w:color w:val="auto"/>
              </w:rPr>
            </w:pPr>
          </w:p>
        </w:tc>
        <w:tc>
          <w:tcPr>
            <w:tcW w:w="1360" w:type="dxa"/>
            <w:vAlign w:val="bottom"/>
            <w:shd w:val="clear" w:color="auto" w:fill="E5E7EF"/>
          </w:tcPr>
          <w:p>
            <w:pPr>
              <w:spacing w:after="0"/>
              <w:rPr>
                <w:sz w:val="13"/>
                <w:szCs w:val="13"/>
                <w:color w:val="auto"/>
              </w:rPr>
            </w:pPr>
          </w:p>
        </w:tc>
        <w:tc>
          <w:tcPr>
            <w:tcW w:w="1300" w:type="dxa"/>
            <w:vAlign w:val="bottom"/>
            <w:shd w:val="clear" w:color="auto" w:fill="E5E7EF"/>
          </w:tcPr>
          <w:p>
            <w:pPr>
              <w:jc w:val="right"/>
              <w:ind w:right="90"/>
              <w:spacing w:after="0"/>
              <w:rPr>
                <w:sz w:val="20"/>
                <w:szCs w:val="20"/>
                <w:color w:val="auto"/>
              </w:rPr>
            </w:pPr>
            <w:r>
              <w:rPr>
                <w:rFonts w:ascii="Arial" w:cs="Arial" w:eastAsia="Arial" w:hAnsi="Arial"/>
                <w:sz w:val="13"/>
                <w:szCs w:val="13"/>
                <w:color w:val="auto"/>
              </w:rPr>
              <w:t>in Last FY</w:t>
            </w:r>
          </w:p>
        </w:tc>
        <w:tc>
          <w:tcPr>
            <w:tcW w:w="110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in Last FY</w:t>
            </w:r>
          </w:p>
        </w:tc>
        <w:tc>
          <w:tcPr>
            <w:tcW w:w="1080" w:type="dxa"/>
            <w:vAlign w:val="bottom"/>
            <w:shd w:val="clear" w:color="auto" w:fill="E5E7EF"/>
          </w:tcPr>
          <w:p>
            <w:pPr>
              <w:jc w:val="right"/>
              <w:ind w:right="150"/>
              <w:spacing w:after="0"/>
              <w:rPr>
                <w:sz w:val="20"/>
                <w:szCs w:val="20"/>
                <w:color w:val="auto"/>
              </w:rPr>
            </w:pPr>
            <w:r>
              <w:rPr>
                <w:rFonts w:ascii="Arial" w:cs="Arial" w:eastAsia="Arial" w:hAnsi="Arial"/>
                <w:sz w:val="13"/>
                <w:szCs w:val="13"/>
                <w:color w:val="auto"/>
              </w:rPr>
              <w:t>Last FY</w:t>
            </w:r>
          </w:p>
        </w:tc>
        <w:tc>
          <w:tcPr>
            <w:tcW w:w="1040" w:type="dxa"/>
            <w:vAlign w:val="bottom"/>
            <w:shd w:val="clear" w:color="auto" w:fill="E5E7EF"/>
          </w:tcPr>
          <w:p>
            <w:pPr>
              <w:jc w:val="right"/>
              <w:ind w:right="30"/>
              <w:spacing w:after="0"/>
              <w:rPr>
                <w:sz w:val="20"/>
                <w:szCs w:val="20"/>
                <w:color w:val="auto"/>
              </w:rPr>
            </w:pPr>
            <w:r>
              <w:rPr>
                <w:rFonts w:ascii="Arial" w:cs="Arial" w:eastAsia="Arial" w:hAnsi="Arial"/>
                <w:sz w:val="13"/>
                <w:szCs w:val="13"/>
                <w:color w:val="auto"/>
              </w:rPr>
              <w:t>FY</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Last FYE</w:t>
            </w:r>
          </w:p>
        </w:tc>
      </w:tr>
      <w:tr>
        <w:trPr>
          <w:trHeight w:val="237"/>
        </w:trPr>
        <w:tc>
          <w:tcPr>
            <w:tcW w:w="44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360" w:type="dxa"/>
            <w:vAlign w:val="bottom"/>
            <w:tcBorders>
              <w:bottom w:val="single" w:sz="8" w:color="E5E7EF"/>
            </w:tcBorders>
            <w:shd w:val="clear" w:color="auto" w:fill="E5E7EF"/>
          </w:tcPr>
          <w:p>
            <w:pPr>
              <w:spacing w:after="0"/>
              <w:rPr>
                <w:sz w:val="20"/>
                <w:szCs w:val="20"/>
                <w:color w:val="auto"/>
              </w:rPr>
            </w:pPr>
          </w:p>
        </w:tc>
        <w:tc>
          <w:tcPr>
            <w:tcW w:w="1300" w:type="dxa"/>
            <w:vAlign w:val="bottom"/>
            <w:tcBorders>
              <w:bottom w:val="single" w:sz="8" w:color="E5E7EF"/>
            </w:tcBorders>
            <w:shd w:val="clear" w:color="auto" w:fill="E5E7EF"/>
          </w:tcPr>
          <w:p>
            <w:pPr>
              <w:jc w:val="right"/>
              <w:ind w:right="9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5E7EF"/>
            </w:tcBorders>
            <w:shd w:val="clear" w:color="auto" w:fill="E5E7EF"/>
          </w:tcPr>
          <w:p>
            <w:pPr>
              <w:jc w:val="right"/>
              <w:ind w:right="15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E5E7EF"/>
            </w:tcBorders>
            <w:shd w:val="clear" w:color="auto" w:fill="E5E7EF"/>
          </w:tcPr>
          <w:p>
            <w:pPr>
              <w:jc w:val="right"/>
              <w:ind w:right="3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4420" w:type="dxa"/>
            <w:vAlign w:val="bottom"/>
            <w:tcBorders>
              <w:top w:val="single" w:sz="8" w:color="959595"/>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1360" w:type="dxa"/>
            <w:vAlign w:val="bottom"/>
            <w:tcBorders>
              <w:top w:val="single" w:sz="8" w:color="959595"/>
              <w:bottom w:val="single" w:sz="8" w:color="E5E7EF"/>
            </w:tcBorders>
            <w:shd w:val="clear" w:color="auto" w:fill="E5E7EF"/>
          </w:tcPr>
          <w:p>
            <w:pPr>
              <w:spacing w:after="0"/>
              <w:rPr>
                <w:sz w:val="17"/>
                <w:szCs w:val="17"/>
                <w:color w:val="auto"/>
              </w:rPr>
            </w:pPr>
          </w:p>
        </w:tc>
        <w:tc>
          <w:tcPr>
            <w:tcW w:w="1300" w:type="dxa"/>
            <w:vAlign w:val="bottom"/>
            <w:tcBorders>
              <w:top w:val="single" w:sz="8" w:color="959595"/>
              <w:bottom w:val="single" w:sz="8" w:color="E5E7EF"/>
            </w:tcBorders>
            <w:shd w:val="clear" w:color="auto" w:fill="E5E7EF"/>
          </w:tcPr>
          <w:p>
            <w:pPr>
              <w:jc w:val="right"/>
              <w:ind w:right="90"/>
              <w:spacing w:after="0"/>
              <w:rPr>
                <w:sz w:val="20"/>
                <w:szCs w:val="20"/>
                <w:color w:val="auto"/>
              </w:rPr>
            </w:pPr>
            <w:r>
              <w:rPr>
                <w:rFonts w:ascii="Arial" w:cs="Arial" w:eastAsia="Arial" w:hAnsi="Arial"/>
                <w:sz w:val="13"/>
                <w:szCs w:val="13"/>
                <w:color w:val="auto"/>
              </w:rPr>
              <w:t>(b)</w:t>
            </w:r>
          </w:p>
        </w:tc>
        <w:tc>
          <w:tcPr>
            <w:tcW w:w="1100" w:type="dxa"/>
            <w:vAlign w:val="bottom"/>
            <w:tcBorders>
              <w:top w:val="single" w:sz="8" w:color="959595"/>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(c)</w:t>
            </w:r>
          </w:p>
        </w:tc>
        <w:tc>
          <w:tcPr>
            <w:tcW w:w="1080" w:type="dxa"/>
            <w:vAlign w:val="bottom"/>
            <w:tcBorders>
              <w:top w:val="single" w:sz="8" w:color="959595"/>
              <w:bottom w:val="single" w:sz="8" w:color="E5E7EF"/>
            </w:tcBorders>
            <w:shd w:val="clear" w:color="auto" w:fill="E5E7EF"/>
          </w:tcPr>
          <w:p>
            <w:pPr>
              <w:jc w:val="right"/>
              <w:ind w:right="150"/>
              <w:spacing w:after="0"/>
              <w:rPr>
                <w:sz w:val="20"/>
                <w:szCs w:val="20"/>
                <w:color w:val="auto"/>
              </w:rPr>
            </w:pPr>
            <w:r>
              <w:rPr>
                <w:rFonts w:ascii="Arial" w:cs="Arial" w:eastAsia="Arial" w:hAnsi="Arial"/>
                <w:sz w:val="13"/>
                <w:szCs w:val="13"/>
                <w:color w:val="auto"/>
              </w:rPr>
              <w:t>(d)</w:t>
            </w:r>
          </w:p>
        </w:tc>
        <w:tc>
          <w:tcPr>
            <w:tcW w:w="1040" w:type="dxa"/>
            <w:vAlign w:val="bottom"/>
            <w:tcBorders>
              <w:top w:val="single" w:sz="8" w:color="959595"/>
              <w:bottom w:val="single" w:sz="8" w:color="E5E7EF"/>
            </w:tcBorders>
            <w:shd w:val="clear" w:color="auto" w:fill="E5E7EF"/>
          </w:tcPr>
          <w:p>
            <w:pPr>
              <w:jc w:val="right"/>
              <w:ind w:right="30"/>
              <w:spacing w:after="0"/>
              <w:rPr>
                <w:sz w:val="20"/>
                <w:szCs w:val="20"/>
                <w:color w:val="auto"/>
              </w:rPr>
            </w:pPr>
            <w:r>
              <w:rPr>
                <w:rFonts w:ascii="Arial" w:cs="Arial" w:eastAsia="Arial" w:hAnsi="Arial"/>
                <w:sz w:val="13"/>
                <w:szCs w:val="13"/>
                <w:color w:val="auto"/>
              </w:rPr>
              <w:t>(e)</w:t>
            </w:r>
          </w:p>
        </w:tc>
        <w:tc>
          <w:tcPr>
            <w:tcW w:w="880" w:type="dxa"/>
            <w:vAlign w:val="bottom"/>
            <w:tcBorders>
              <w:top w:val="single" w:sz="8" w:color="959595"/>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(f)</w:t>
            </w:r>
          </w:p>
        </w:tc>
      </w:tr>
      <w:tr>
        <w:trPr>
          <w:trHeight w:val="183"/>
        </w:trPr>
        <w:tc>
          <w:tcPr>
            <w:tcW w:w="4420" w:type="dxa"/>
            <w:vAlign w:val="bottom"/>
            <w:tcBorders>
              <w:top w:val="single" w:sz="8" w:color="959595"/>
            </w:tcBorders>
          </w:tcPr>
          <w:p>
            <w:pPr>
              <w:ind w:left="20"/>
              <w:spacing w:after="0"/>
              <w:rPr>
                <w:sz w:val="20"/>
                <w:szCs w:val="20"/>
                <w:color w:val="auto"/>
              </w:rPr>
            </w:pPr>
            <w:r>
              <w:rPr>
                <w:rFonts w:ascii="Arial" w:cs="Arial" w:eastAsia="Arial" w:hAnsi="Arial"/>
                <w:sz w:val="14"/>
                <w:szCs w:val="14"/>
                <w:b w:val="1"/>
                <w:bCs w:val="1"/>
                <w:color w:val="002E6D"/>
              </w:rPr>
              <w:t>James D. Taiclet</w:t>
            </w:r>
          </w:p>
        </w:tc>
        <w:tc>
          <w:tcPr>
            <w:tcW w:w="1360" w:type="dxa"/>
            <w:vAlign w:val="bottom"/>
            <w:tcBorders>
              <w:top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tcBorders>
              <w:top w:val="single" w:sz="8" w:color="959595"/>
            </w:tcBorders>
            <w:shd w:val="clear" w:color="auto" w:fill="E5E7E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959595"/>
            </w:tcBorders>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59595"/>
            </w:tcBorders>
            <w:shd w:val="clear" w:color="auto" w:fill="E5E7EF"/>
          </w:tcPr>
          <w:p>
            <w:pPr>
              <w:jc w:val="right"/>
              <w:ind w:right="21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59595"/>
            </w:tcBorders>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959595"/>
            </w:tcBorders>
            <w:shd w:val="clear" w:color="auto" w:fill="E5E7E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35,862</w:t>
            </w:r>
          </w:p>
        </w:tc>
        <w:tc>
          <w:tcPr>
            <w:tcW w:w="1080" w:type="dxa"/>
            <w:vAlign w:val="bottom"/>
          </w:tcPr>
          <w:p>
            <w:pPr>
              <w:jc w:val="right"/>
              <w:ind w:right="210"/>
              <w:spacing w:after="0"/>
              <w:rPr>
                <w:sz w:val="20"/>
                <w:szCs w:val="20"/>
                <w:color w:val="auto"/>
              </w:rPr>
            </w:pPr>
            <w:r>
              <w:rPr>
                <w:rFonts w:ascii="Arial" w:cs="Arial" w:eastAsia="Arial" w:hAnsi="Arial"/>
                <w:sz w:val="14"/>
                <w:szCs w:val="14"/>
                <w:color w:val="auto"/>
              </w:rPr>
              <w:t>2,265</w:t>
            </w:r>
          </w:p>
        </w:tc>
        <w:tc>
          <w:tcPr>
            <w:tcW w:w="1040" w:type="dxa"/>
            <w:vAlign w:val="bottom"/>
          </w:tcPr>
          <w:p>
            <w:pPr>
              <w:ind w:left="7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38,126</w:t>
            </w:r>
          </w:p>
        </w:tc>
      </w:tr>
      <w:tr>
        <w:trPr>
          <w:trHeight w:val="189"/>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7EF"/>
          </w:tcPr>
          <w:p>
            <w:pPr>
              <w:jc w:val="right"/>
              <w:ind w:right="21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20" w:type="dxa"/>
            <w:vAlign w:val="bottom"/>
            <w:tcBorders>
              <w:bottom w:val="single" w:sz="8" w:color="959595"/>
            </w:tcBorders>
          </w:tcPr>
          <w:p>
            <w:pPr>
              <w:spacing w:after="0"/>
              <w:rPr>
                <w:sz w:val="16"/>
                <w:szCs w:val="16"/>
                <w:color w:val="auto"/>
              </w:rPr>
            </w:pP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b w:val="1"/>
                <w:bCs w:val="1"/>
                <w:color w:val="auto"/>
              </w:rPr>
              <w:t>35,862</w:t>
            </w:r>
          </w:p>
        </w:tc>
        <w:tc>
          <w:tcPr>
            <w:tcW w:w="108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b w:val="1"/>
                <w:bCs w:val="1"/>
                <w:color w:val="auto"/>
              </w:rPr>
              <w:t>2,265</w:t>
            </w:r>
          </w:p>
        </w:tc>
        <w:tc>
          <w:tcPr>
            <w:tcW w:w="1040" w:type="dxa"/>
            <w:vAlign w:val="bottom"/>
            <w:tcBorders>
              <w:bottom w:val="single" w:sz="8" w:color="959595"/>
            </w:tcBorders>
          </w:tcPr>
          <w:p>
            <w:pPr>
              <w:ind w:left="74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38,126</w:t>
            </w: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002E6D"/>
              </w:rPr>
              <w:t>Marillyn A. Hewson</w:t>
            </w: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349,308</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69,861</w:t>
            </w:r>
          </w:p>
        </w:tc>
        <w:tc>
          <w:tcPr>
            <w:tcW w:w="1080" w:type="dxa"/>
            <w:vAlign w:val="bottom"/>
            <w:shd w:val="clear" w:color="auto" w:fill="E5E7EF"/>
          </w:tcPr>
          <w:p>
            <w:pPr>
              <w:jc w:val="right"/>
              <w:ind w:right="210"/>
              <w:spacing w:after="0"/>
              <w:rPr>
                <w:sz w:val="20"/>
                <w:szCs w:val="20"/>
                <w:color w:val="auto"/>
              </w:rPr>
            </w:pPr>
            <w:r>
              <w:rPr>
                <w:rFonts w:ascii="Arial" w:cs="Arial" w:eastAsia="Arial" w:hAnsi="Arial"/>
                <w:sz w:val="14"/>
                <w:szCs w:val="14"/>
                <w:color w:val="auto"/>
              </w:rPr>
              <w:t>912,131</w:t>
            </w:r>
          </w:p>
        </w:tc>
        <w:tc>
          <w:tcPr>
            <w:tcW w:w="1040" w:type="dxa"/>
            <w:vAlign w:val="bottom"/>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8,489,270</w:t>
            </w:r>
          </w:p>
        </w:tc>
      </w:tr>
      <w:tr>
        <w:trPr>
          <w:trHeight w:val="189"/>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93,542</w:t>
            </w:r>
          </w:p>
        </w:tc>
        <w:tc>
          <w:tcPr>
            <w:tcW w:w="1080" w:type="dxa"/>
            <w:vAlign w:val="bottom"/>
          </w:tcPr>
          <w:p>
            <w:pPr>
              <w:jc w:val="right"/>
              <w:ind w:right="210"/>
              <w:spacing w:after="0"/>
              <w:rPr>
                <w:sz w:val="20"/>
                <w:szCs w:val="20"/>
                <w:color w:val="auto"/>
              </w:rPr>
            </w:pPr>
            <w:r>
              <w:rPr>
                <w:rFonts w:ascii="Arial" w:cs="Arial" w:eastAsia="Arial" w:hAnsi="Arial"/>
                <w:sz w:val="14"/>
                <w:szCs w:val="14"/>
                <w:color w:val="auto"/>
              </w:rPr>
              <w:t>26,201</w:t>
            </w:r>
          </w:p>
        </w:tc>
        <w:tc>
          <w:tcPr>
            <w:tcW w:w="1040" w:type="dxa"/>
            <w:vAlign w:val="bottom"/>
          </w:tcPr>
          <w:p>
            <w:pPr>
              <w:ind w:left="7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252,048</w:t>
            </w:r>
          </w:p>
        </w:tc>
      </w:tr>
      <w:tr>
        <w:trPr>
          <w:trHeight w:val="189"/>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7EF"/>
          </w:tcPr>
          <w:p>
            <w:pPr>
              <w:jc w:val="right"/>
              <w:ind w:right="210"/>
              <w:spacing w:after="0"/>
              <w:rPr>
                <w:sz w:val="20"/>
                <w:szCs w:val="20"/>
                <w:color w:val="auto"/>
              </w:rPr>
            </w:pPr>
            <w:r>
              <w:rPr>
                <w:rFonts w:ascii="Arial" w:cs="Arial" w:eastAsia="Arial" w:hAnsi="Arial"/>
                <w:sz w:val="14"/>
                <w:szCs w:val="14"/>
                <w:color w:val="auto"/>
              </w:rPr>
              <w:t>6,251,951</w:t>
            </w:r>
          </w:p>
        </w:tc>
        <w:tc>
          <w:tcPr>
            <w:tcW w:w="1040" w:type="dxa"/>
            <w:vAlign w:val="bottom"/>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54,505,343</w:t>
            </w:r>
          </w:p>
        </w:tc>
      </w:tr>
      <w:tr>
        <w:trPr>
          <w:trHeight w:val="189"/>
        </w:trPr>
        <w:tc>
          <w:tcPr>
            <w:tcW w:w="4420" w:type="dxa"/>
            <w:vAlign w:val="bottom"/>
            <w:tcBorders>
              <w:bottom w:val="single" w:sz="8" w:color="959595"/>
            </w:tcBorders>
          </w:tcPr>
          <w:p>
            <w:pPr>
              <w:spacing w:after="0"/>
              <w:rPr>
                <w:sz w:val="16"/>
                <w:szCs w:val="16"/>
                <w:color w:val="auto"/>
              </w:rPr>
            </w:pP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b w:val="1"/>
                <w:bCs w:val="1"/>
                <w:color w:val="auto"/>
              </w:rPr>
              <w:t>349,308</w:t>
            </w:r>
          </w:p>
        </w:tc>
        <w:tc>
          <w:tcPr>
            <w:tcW w:w="110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b w:val="1"/>
                <w:bCs w:val="1"/>
                <w:color w:val="auto"/>
              </w:rPr>
              <w:t>163,403</w:t>
            </w:r>
          </w:p>
        </w:tc>
        <w:tc>
          <w:tcPr>
            <w:tcW w:w="108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b w:val="1"/>
                <w:bCs w:val="1"/>
                <w:color w:val="auto"/>
              </w:rPr>
              <w:t>7,190,283</w:t>
            </w:r>
          </w:p>
        </w:tc>
        <w:tc>
          <w:tcPr>
            <w:tcW w:w="1040" w:type="dxa"/>
            <w:vAlign w:val="bottom"/>
            <w:tcBorders>
              <w:bottom w:val="single" w:sz="8" w:color="959595"/>
            </w:tcBorders>
          </w:tcPr>
          <w:p>
            <w:pPr>
              <w:ind w:left="74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63,246,661</w:t>
            </w: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002E6D"/>
              </w:rPr>
              <w:t>Kenneth R. Possenriede</w:t>
            </w: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203,515</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33,919</w:t>
            </w:r>
          </w:p>
        </w:tc>
        <w:tc>
          <w:tcPr>
            <w:tcW w:w="1080" w:type="dxa"/>
            <w:vAlign w:val="bottom"/>
            <w:shd w:val="clear" w:color="auto" w:fill="E5E7EF"/>
          </w:tcPr>
          <w:p>
            <w:pPr>
              <w:jc w:val="right"/>
              <w:ind w:right="210"/>
              <w:spacing w:after="0"/>
              <w:rPr>
                <w:sz w:val="20"/>
                <w:szCs w:val="20"/>
                <w:color w:val="auto"/>
              </w:rPr>
            </w:pPr>
            <w:r>
              <w:rPr>
                <w:rFonts w:ascii="Arial" w:cs="Arial" w:eastAsia="Arial" w:hAnsi="Arial"/>
                <w:sz w:val="14"/>
                <w:szCs w:val="14"/>
                <w:color w:val="auto"/>
              </w:rPr>
              <w:t>147,827</w:t>
            </w:r>
          </w:p>
        </w:tc>
        <w:tc>
          <w:tcPr>
            <w:tcW w:w="1040" w:type="dxa"/>
            <w:vAlign w:val="bottom"/>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2,488,137</w:t>
            </w:r>
          </w:p>
        </w:tc>
      </w:tr>
      <w:tr>
        <w:trPr>
          <w:trHeight w:val="189"/>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38,654</w:t>
            </w:r>
          </w:p>
        </w:tc>
        <w:tc>
          <w:tcPr>
            <w:tcW w:w="1080" w:type="dxa"/>
            <w:vAlign w:val="bottom"/>
          </w:tcPr>
          <w:p>
            <w:pPr>
              <w:jc w:val="right"/>
              <w:ind w:right="210"/>
              <w:spacing w:after="0"/>
              <w:rPr>
                <w:sz w:val="20"/>
                <w:szCs w:val="20"/>
                <w:color w:val="auto"/>
              </w:rPr>
            </w:pPr>
            <w:r>
              <w:rPr>
                <w:rFonts w:ascii="Arial" w:cs="Arial" w:eastAsia="Arial" w:hAnsi="Arial"/>
                <w:sz w:val="14"/>
                <w:szCs w:val="14"/>
                <w:color w:val="auto"/>
              </w:rPr>
              <w:t>12,946</w:t>
            </w:r>
          </w:p>
        </w:tc>
        <w:tc>
          <w:tcPr>
            <w:tcW w:w="1040" w:type="dxa"/>
            <w:vAlign w:val="bottom"/>
          </w:tcPr>
          <w:p>
            <w:pPr>
              <w:ind w:left="7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79,738</w:t>
            </w:r>
          </w:p>
        </w:tc>
      </w:tr>
      <w:tr>
        <w:trPr>
          <w:trHeight w:val="189"/>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910,896</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7EF"/>
          </w:tcPr>
          <w:p>
            <w:pPr>
              <w:jc w:val="right"/>
              <w:ind w:right="210"/>
              <w:spacing w:after="0"/>
              <w:rPr>
                <w:sz w:val="20"/>
                <w:szCs w:val="20"/>
                <w:color w:val="auto"/>
              </w:rPr>
            </w:pPr>
            <w:r>
              <w:rPr>
                <w:rFonts w:ascii="Arial" w:cs="Arial" w:eastAsia="Arial" w:hAnsi="Arial"/>
                <w:sz w:val="14"/>
                <w:szCs w:val="14"/>
                <w:color w:val="auto"/>
              </w:rPr>
              <w:t>608,214</w:t>
            </w:r>
          </w:p>
        </w:tc>
        <w:tc>
          <w:tcPr>
            <w:tcW w:w="1040" w:type="dxa"/>
            <w:vAlign w:val="bottom"/>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6,645,624</w:t>
            </w:r>
          </w:p>
        </w:tc>
      </w:tr>
      <w:tr>
        <w:trPr>
          <w:trHeight w:val="189"/>
        </w:trPr>
        <w:tc>
          <w:tcPr>
            <w:tcW w:w="4420" w:type="dxa"/>
            <w:vAlign w:val="bottom"/>
            <w:tcBorders>
              <w:bottom w:val="single" w:sz="8" w:color="959595"/>
            </w:tcBorders>
          </w:tcPr>
          <w:p>
            <w:pPr>
              <w:spacing w:after="0"/>
              <w:rPr>
                <w:sz w:val="16"/>
                <w:szCs w:val="16"/>
                <w:color w:val="auto"/>
              </w:rPr>
            </w:pP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b w:val="1"/>
                <w:bCs w:val="1"/>
                <w:color w:val="auto"/>
              </w:rPr>
              <w:t>1,114,411</w:t>
            </w:r>
          </w:p>
        </w:tc>
        <w:tc>
          <w:tcPr>
            <w:tcW w:w="110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b w:val="1"/>
                <w:bCs w:val="1"/>
                <w:color w:val="auto"/>
              </w:rPr>
              <w:t>72,573</w:t>
            </w:r>
          </w:p>
        </w:tc>
        <w:tc>
          <w:tcPr>
            <w:tcW w:w="108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b w:val="1"/>
                <w:bCs w:val="1"/>
                <w:color w:val="auto"/>
              </w:rPr>
              <w:t>768,987</w:t>
            </w:r>
          </w:p>
        </w:tc>
        <w:tc>
          <w:tcPr>
            <w:tcW w:w="1040" w:type="dxa"/>
            <w:vAlign w:val="bottom"/>
            <w:tcBorders>
              <w:bottom w:val="single" w:sz="8" w:color="959595"/>
            </w:tcBorders>
          </w:tcPr>
          <w:p>
            <w:pPr>
              <w:ind w:left="74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9,213,499</w:t>
            </w: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002E6D"/>
              </w:rPr>
              <w:t>Frank A. St. John</w:t>
            </w: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203,515</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33,919</w:t>
            </w:r>
          </w:p>
        </w:tc>
        <w:tc>
          <w:tcPr>
            <w:tcW w:w="1080" w:type="dxa"/>
            <w:vAlign w:val="bottom"/>
            <w:shd w:val="clear" w:color="auto" w:fill="E5E7EF"/>
          </w:tcPr>
          <w:p>
            <w:pPr>
              <w:jc w:val="right"/>
              <w:ind w:right="210"/>
              <w:spacing w:after="0"/>
              <w:rPr>
                <w:sz w:val="20"/>
                <w:szCs w:val="20"/>
                <w:color w:val="auto"/>
              </w:rPr>
            </w:pPr>
            <w:r>
              <w:rPr>
                <w:rFonts w:ascii="Arial" w:cs="Arial" w:eastAsia="Arial" w:hAnsi="Arial"/>
                <w:sz w:val="14"/>
                <w:szCs w:val="14"/>
                <w:color w:val="auto"/>
              </w:rPr>
              <w:t>136,440</w:t>
            </w:r>
          </w:p>
        </w:tc>
        <w:tc>
          <w:tcPr>
            <w:tcW w:w="1040" w:type="dxa"/>
            <w:vAlign w:val="bottom"/>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1,229,553</w:t>
            </w:r>
          </w:p>
        </w:tc>
      </w:tr>
      <w:tr>
        <w:trPr>
          <w:trHeight w:val="189"/>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38,654</w:t>
            </w:r>
          </w:p>
        </w:tc>
        <w:tc>
          <w:tcPr>
            <w:tcW w:w="1080" w:type="dxa"/>
            <w:vAlign w:val="bottom"/>
          </w:tcPr>
          <w:p>
            <w:pPr>
              <w:jc w:val="right"/>
              <w:ind w:right="210"/>
              <w:spacing w:after="0"/>
              <w:rPr>
                <w:sz w:val="20"/>
                <w:szCs w:val="20"/>
                <w:color w:val="auto"/>
              </w:rPr>
            </w:pPr>
            <w:r>
              <w:rPr>
                <w:rFonts w:ascii="Arial" w:cs="Arial" w:eastAsia="Arial" w:hAnsi="Arial"/>
                <w:sz w:val="14"/>
                <w:szCs w:val="14"/>
                <w:color w:val="auto"/>
              </w:rPr>
              <w:t>8,992</w:t>
            </w:r>
          </w:p>
        </w:tc>
        <w:tc>
          <w:tcPr>
            <w:tcW w:w="1040" w:type="dxa"/>
            <w:vAlign w:val="bottom"/>
          </w:tcPr>
          <w:p>
            <w:pPr>
              <w:ind w:left="7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83,352</w:t>
            </w:r>
          </w:p>
        </w:tc>
      </w:tr>
      <w:tr>
        <w:trPr>
          <w:trHeight w:val="189"/>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578,437</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7EF"/>
          </w:tcPr>
          <w:p>
            <w:pPr>
              <w:jc w:val="right"/>
              <w:ind w:right="210"/>
              <w:spacing w:after="0"/>
              <w:rPr>
                <w:sz w:val="20"/>
                <w:szCs w:val="20"/>
                <w:color w:val="auto"/>
              </w:rPr>
            </w:pPr>
            <w:r>
              <w:rPr>
                <w:rFonts w:ascii="Arial" w:cs="Arial" w:eastAsia="Arial" w:hAnsi="Arial"/>
                <w:sz w:val="14"/>
                <w:szCs w:val="14"/>
                <w:color w:val="auto"/>
              </w:rPr>
              <w:t>586,283</w:t>
            </w:r>
          </w:p>
        </w:tc>
        <w:tc>
          <w:tcPr>
            <w:tcW w:w="1040" w:type="dxa"/>
            <w:vAlign w:val="bottom"/>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5,754,649</w:t>
            </w:r>
          </w:p>
        </w:tc>
      </w:tr>
      <w:tr>
        <w:trPr>
          <w:trHeight w:val="189"/>
        </w:trPr>
        <w:tc>
          <w:tcPr>
            <w:tcW w:w="4420" w:type="dxa"/>
            <w:vAlign w:val="bottom"/>
            <w:tcBorders>
              <w:bottom w:val="single" w:sz="8" w:color="959595"/>
            </w:tcBorders>
          </w:tcPr>
          <w:p>
            <w:pPr>
              <w:spacing w:after="0"/>
              <w:rPr>
                <w:sz w:val="16"/>
                <w:szCs w:val="16"/>
                <w:color w:val="auto"/>
              </w:rPr>
            </w:pP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b w:val="1"/>
                <w:bCs w:val="1"/>
                <w:color w:val="auto"/>
              </w:rPr>
              <w:t>781,952</w:t>
            </w:r>
          </w:p>
        </w:tc>
        <w:tc>
          <w:tcPr>
            <w:tcW w:w="110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b w:val="1"/>
                <w:bCs w:val="1"/>
                <w:color w:val="auto"/>
              </w:rPr>
              <w:t>72,573</w:t>
            </w:r>
          </w:p>
        </w:tc>
        <w:tc>
          <w:tcPr>
            <w:tcW w:w="108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b w:val="1"/>
                <w:bCs w:val="1"/>
                <w:color w:val="auto"/>
              </w:rPr>
              <w:t>731,715</w:t>
            </w:r>
          </w:p>
        </w:tc>
        <w:tc>
          <w:tcPr>
            <w:tcW w:w="1040" w:type="dxa"/>
            <w:vAlign w:val="bottom"/>
            <w:tcBorders>
              <w:bottom w:val="single" w:sz="8" w:color="959595"/>
            </w:tcBorders>
          </w:tcPr>
          <w:p>
            <w:pPr>
              <w:ind w:left="74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7,067,554</w:t>
            </w: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002E6D"/>
              </w:rPr>
              <w:t>Richard F. Ambrose</w:t>
            </w: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146,846</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29,369</w:t>
            </w:r>
          </w:p>
        </w:tc>
        <w:tc>
          <w:tcPr>
            <w:tcW w:w="1080" w:type="dxa"/>
            <w:vAlign w:val="bottom"/>
            <w:shd w:val="clear" w:color="auto" w:fill="E5E7EF"/>
          </w:tcPr>
          <w:p>
            <w:pPr>
              <w:jc w:val="right"/>
              <w:ind w:right="210"/>
              <w:spacing w:after="0"/>
              <w:rPr>
                <w:sz w:val="20"/>
                <w:szCs w:val="20"/>
                <w:color w:val="auto"/>
              </w:rPr>
            </w:pPr>
            <w:r>
              <w:rPr>
                <w:rFonts w:ascii="Arial" w:cs="Arial" w:eastAsia="Arial" w:hAnsi="Arial"/>
                <w:sz w:val="14"/>
                <w:szCs w:val="14"/>
                <w:color w:val="auto"/>
              </w:rPr>
              <w:t>148,783</w:t>
            </w:r>
          </w:p>
        </w:tc>
        <w:tc>
          <w:tcPr>
            <w:tcW w:w="1040" w:type="dxa"/>
            <w:vAlign w:val="bottom"/>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2,860,964</w:t>
            </w:r>
          </w:p>
        </w:tc>
      </w:tr>
      <w:tr>
        <w:trPr>
          <w:trHeight w:val="189"/>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43,154</w:t>
            </w:r>
          </w:p>
        </w:tc>
        <w:tc>
          <w:tcPr>
            <w:tcW w:w="1080" w:type="dxa"/>
            <w:vAlign w:val="bottom"/>
          </w:tcPr>
          <w:p>
            <w:pPr>
              <w:jc w:val="right"/>
              <w:ind w:right="210"/>
              <w:spacing w:after="0"/>
              <w:rPr>
                <w:sz w:val="20"/>
                <w:szCs w:val="20"/>
                <w:color w:val="auto"/>
              </w:rPr>
            </w:pPr>
            <w:r>
              <w:rPr>
                <w:rFonts w:ascii="Arial" w:cs="Arial" w:eastAsia="Arial" w:hAnsi="Arial"/>
                <w:sz w:val="14"/>
                <w:szCs w:val="14"/>
                <w:color w:val="auto"/>
              </w:rPr>
              <w:t>11,584</w:t>
            </w:r>
          </w:p>
        </w:tc>
        <w:tc>
          <w:tcPr>
            <w:tcW w:w="1040" w:type="dxa"/>
            <w:vAlign w:val="bottom"/>
          </w:tcPr>
          <w:p>
            <w:pPr>
              <w:ind w:left="7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104,151</w:t>
            </w:r>
          </w:p>
        </w:tc>
      </w:tr>
      <w:tr>
        <w:trPr>
          <w:trHeight w:val="189"/>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(117,701)</w:t>
            </w:r>
          </w:p>
        </w:tc>
        <w:tc>
          <w:tcPr>
            <w:tcW w:w="1040" w:type="dxa"/>
            <w:vAlign w:val="bottom"/>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6,595,597</w:t>
            </w:r>
          </w:p>
        </w:tc>
      </w:tr>
      <w:tr>
        <w:trPr>
          <w:trHeight w:val="189"/>
        </w:trPr>
        <w:tc>
          <w:tcPr>
            <w:tcW w:w="4420" w:type="dxa"/>
            <w:vAlign w:val="bottom"/>
            <w:tcBorders>
              <w:bottom w:val="single" w:sz="8" w:color="959595"/>
            </w:tcBorders>
          </w:tcPr>
          <w:p>
            <w:pPr>
              <w:spacing w:after="0"/>
              <w:rPr>
                <w:sz w:val="16"/>
                <w:szCs w:val="16"/>
                <w:color w:val="auto"/>
              </w:rPr>
            </w:pP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b w:val="1"/>
                <w:bCs w:val="1"/>
                <w:color w:val="auto"/>
              </w:rPr>
              <w:t>146,846</w:t>
            </w:r>
          </w:p>
        </w:tc>
        <w:tc>
          <w:tcPr>
            <w:tcW w:w="110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b w:val="1"/>
                <w:bCs w:val="1"/>
                <w:color w:val="auto"/>
              </w:rPr>
              <w:t>72,523</w:t>
            </w:r>
          </w:p>
        </w:tc>
        <w:tc>
          <w:tcPr>
            <w:tcW w:w="108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b w:val="1"/>
                <w:bCs w:val="1"/>
                <w:color w:val="auto"/>
              </w:rPr>
              <w:t>42,666</w:t>
            </w:r>
          </w:p>
        </w:tc>
        <w:tc>
          <w:tcPr>
            <w:tcW w:w="1040" w:type="dxa"/>
            <w:vAlign w:val="bottom"/>
            <w:tcBorders>
              <w:bottom w:val="single" w:sz="8" w:color="959595"/>
            </w:tcBorders>
          </w:tcPr>
          <w:p>
            <w:pPr>
              <w:ind w:left="74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9,560,712</w:t>
            </w: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002E6D"/>
              </w:rPr>
              <w:t>Michele A. Evans</w:t>
            </w: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203,515</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33,919</w:t>
            </w:r>
          </w:p>
        </w:tc>
        <w:tc>
          <w:tcPr>
            <w:tcW w:w="1080" w:type="dxa"/>
            <w:vAlign w:val="bottom"/>
            <w:shd w:val="clear" w:color="auto" w:fill="E5E7EF"/>
          </w:tcPr>
          <w:p>
            <w:pPr>
              <w:jc w:val="right"/>
              <w:ind w:right="210"/>
              <w:spacing w:after="0"/>
              <w:rPr>
                <w:sz w:val="20"/>
                <w:szCs w:val="20"/>
                <w:color w:val="auto"/>
              </w:rPr>
            </w:pPr>
            <w:r>
              <w:rPr>
                <w:rFonts w:ascii="Arial" w:cs="Arial" w:eastAsia="Arial" w:hAnsi="Arial"/>
                <w:sz w:val="14"/>
                <w:szCs w:val="14"/>
                <w:color w:val="auto"/>
              </w:rPr>
              <w:t>149,803</w:t>
            </w:r>
          </w:p>
        </w:tc>
        <w:tc>
          <w:tcPr>
            <w:tcW w:w="1040" w:type="dxa"/>
            <w:vAlign w:val="bottom"/>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1,768,247</w:t>
            </w:r>
          </w:p>
        </w:tc>
      </w:tr>
      <w:tr>
        <w:trPr>
          <w:trHeight w:val="189"/>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38,654</w:t>
            </w:r>
          </w:p>
        </w:tc>
        <w:tc>
          <w:tcPr>
            <w:tcW w:w="1080" w:type="dxa"/>
            <w:vAlign w:val="bottom"/>
          </w:tcPr>
          <w:p>
            <w:pPr>
              <w:jc w:val="right"/>
              <w:ind w:right="210"/>
              <w:spacing w:after="0"/>
              <w:rPr>
                <w:sz w:val="20"/>
                <w:szCs w:val="20"/>
                <w:color w:val="auto"/>
              </w:rPr>
            </w:pPr>
            <w:r>
              <w:rPr>
                <w:rFonts w:ascii="Arial" w:cs="Arial" w:eastAsia="Arial" w:hAnsi="Arial"/>
                <w:sz w:val="14"/>
                <w:szCs w:val="14"/>
                <w:color w:val="auto"/>
              </w:rPr>
              <w:t>8,599</w:t>
            </w:r>
          </w:p>
        </w:tc>
        <w:tc>
          <w:tcPr>
            <w:tcW w:w="1040" w:type="dxa"/>
            <w:vAlign w:val="bottom"/>
          </w:tcPr>
          <w:p>
            <w:pPr>
              <w:ind w:left="7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75,510</w:t>
            </w:r>
          </w:p>
        </w:tc>
      </w:tr>
      <w:tr>
        <w:trPr>
          <w:trHeight w:val="189"/>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2,118,515</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7EF"/>
          </w:tcPr>
          <w:p>
            <w:pPr>
              <w:jc w:val="right"/>
              <w:ind w:right="210"/>
              <w:spacing w:after="0"/>
              <w:rPr>
                <w:sz w:val="20"/>
                <w:szCs w:val="20"/>
                <w:color w:val="auto"/>
              </w:rPr>
            </w:pPr>
            <w:r>
              <w:rPr>
                <w:rFonts w:ascii="Arial" w:cs="Arial" w:eastAsia="Arial" w:hAnsi="Arial"/>
                <w:sz w:val="14"/>
                <w:szCs w:val="14"/>
                <w:color w:val="auto"/>
              </w:rPr>
              <w:t>816,346</w:t>
            </w:r>
          </w:p>
        </w:tc>
        <w:tc>
          <w:tcPr>
            <w:tcW w:w="1040" w:type="dxa"/>
            <w:vAlign w:val="bottom"/>
            <w:shd w:val="clear" w:color="auto" w:fill="E5E7EF"/>
          </w:tcPr>
          <w:p>
            <w:pPr>
              <w:ind w:left="7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7,808,786</w:t>
            </w:r>
          </w:p>
        </w:tc>
      </w:tr>
      <w:tr>
        <w:trPr>
          <w:trHeight w:val="189"/>
        </w:trPr>
        <w:tc>
          <w:tcPr>
            <w:tcW w:w="4420" w:type="dxa"/>
            <w:vAlign w:val="bottom"/>
            <w:tcBorders>
              <w:bottom w:val="single" w:sz="8" w:color="959595"/>
            </w:tcBorders>
          </w:tcPr>
          <w:p>
            <w:pPr>
              <w:spacing w:after="0"/>
              <w:rPr>
                <w:sz w:val="16"/>
                <w:szCs w:val="16"/>
                <w:color w:val="auto"/>
              </w:rPr>
            </w:pPr>
          </w:p>
        </w:tc>
        <w:tc>
          <w:tcPr>
            <w:tcW w:w="136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59595"/>
            </w:tcBorders>
          </w:tcPr>
          <w:p>
            <w:pPr>
              <w:jc w:val="right"/>
              <w:ind w:right="150"/>
              <w:spacing w:after="0"/>
              <w:rPr>
                <w:sz w:val="20"/>
                <w:szCs w:val="20"/>
                <w:color w:val="auto"/>
              </w:rPr>
            </w:pPr>
            <w:r>
              <w:rPr>
                <w:rFonts w:ascii="Arial" w:cs="Arial" w:eastAsia="Arial" w:hAnsi="Arial"/>
                <w:sz w:val="14"/>
                <w:szCs w:val="14"/>
                <w:b w:val="1"/>
                <w:bCs w:val="1"/>
                <w:color w:val="auto"/>
              </w:rPr>
              <w:t>2,322,030</w:t>
            </w:r>
          </w:p>
        </w:tc>
        <w:tc>
          <w:tcPr>
            <w:tcW w:w="1100" w:type="dxa"/>
            <w:vAlign w:val="bottom"/>
            <w:tcBorders>
              <w:bottom w:val="single" w:sz="8" w:color="959595"/>
            </w:tcBorders>
          </w:tcPr>
          <w:p>
            <w:pPr>
              <w:jc w:val="right"/>
              <w:ind w:right="170"/>
              <w:spacing w:after="0"/>
              <w:rPr>
                <w:sz w:val="20"/>
                <w:szCs w:val="20"/>
                <w:color w:val="auto"/>
              </w:rPr>
            </w:pPr>
            <w:r>
              <w:rPr>
                <w:rFonts w:ascii="Arial" w:cs="Arial" w:eastAsia="Arial" w:hAnsi="Arial"/>
                <w:sz w:val="14"/>
                <w:szCs w:val="14"/>
                <w:b w:val="1"/>
                <w:bCs w:val="1"/>
                <w:color w:val="auto"/>
              </w:rPr>
              <w:t>72,573</w:t>
            </w:r>
          </w:p>
        </w:tc>
        <w:tc>
          <w:tcPr>
            <w:tcW w:w="1080" w:type="dxa"/>
            <w:vAlign w:val="bottom"/>
            <w:tcBorders>
              <w:bottom w:val="single" w:sz="8" w:color="959595"/>
            </w:tcBorders>
          </w:tcPr>
          <w:p>
            <w:pPr>
              <w:jc w:val="right"/>
              <w:ind w:right="210"/>
              <w:spacing w:after="0"/>
              <w:rPr>
                <w:sz w:val="20"/>
                <w:szCs w:val="20"/>
                <w:color w:val="auto"/>
              </w:rPr>
            </w:pPr>
            <w:r>
              <w:rPr>
                <w:rFonts w:ascii="Arial" w:cs="Arial" w:eastAsia="Arial" w:hAnsi="Arial"/>
                <w:sz w:val="14"/>
                <w:szCs w:val="14"/>
                <w:b w:val="1"/>
                <w:bCs w:val="1"/>
                <w:color w:val="auto"/>
              </w:rPr>
              <w:t>974,748</w:t>
            </w:r>
          </w:p>
        </w:tc>
        <w:tc>
          <w:tcPr>
            <w:tcW w:w="1040" w:type="dxa"/>
            <w:vAlign w:val="bottom"/>
            <w:tcBorders>
              <w:bottom w:val="single" w:sz="8" w:color="959595"/>
            </w:tcBorders>
          </w:tcPr>
          <w:p>
            <w:pPr>
              <w:ind w:left="74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9,652,543</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475C90"/>
        </w:rPr>
        <w:t>Executive Contributions in Last Fiscal Year (Column (b))</w:t>
      </w:r>
    </w:p>
    <w:p>
      <w:pPr>
        <w:spacing w:after="0" w:line="12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Includes salary deferrals to NQSSP in 2020, annual incentive bonus paid in 2020 for 2019 performance deferred to DMICP, and LTIP paid in 2020 for the 2017-2019 performance period deferred to the DMICP.</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color w:val="475C90"/>
        </w:rPr>
        <w:t>Registrant Contributions in Last Fiscal Year (Column (c))</w:t>
      </w:r>
    </w:p>
    <w:p>
      <w:pPr>
        <w:spacing w:after="0" w:line="12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Includes Corporation matching contributions to NQSSP made in 2020 and Corporation contributions made to NCAP in 2020. The NQSSP match and NCAP Corporation contributions are also included in column (i) of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69</w:t>
      </w:r>
    </w:p>
    <w:p>
      <w:pPr>
        <w:sectPr>
          <w:pgSz w:w="11900" w:h="16838" w:orient="portrait"/>
          <w:cols w:equalWidth="0" w:num="1">
            <w:col w:w="11240"/>
          </w:cols>
          <w:pgMar w:left="320" w:top="609" w:right="339" w:bottom="1440" w:gutter="0" w:footer="0" w:header="0"/>
        </w:sectPr>
      </w:pPr>
    </w:p>
    <w:bookmarkStart w:id="73" w:name="page74"/>
    <w:bookmarkEnd w:id="73"/>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Aggregate Balance at Last Fiscal Year End (Column (f))</w:t>
      </w:r>
    </w:p>
    <w:p>
      <w:pPr>
        <w:spacing w:after="0" w:line="12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following table lists the amounts reported as executive or registrant contributions in columns (b) and (c) of the “2020 Nonqualified Deferred Compensation” table that are also reported as compensation in the “Summary Compensation Table” for 2020. These contributions consist of NEO and Corporation matching contributions made to the NQSSP and Corporation contributions made to the NCAP during 2020. Contributions with respect to 2020 performance deferred in 2021 (annual incentive bonus and LTIP) are not credited until 2021, and are not included in column (f). The following table also lists the amounts reported in column (f) as part of the Aggregate Balance at Last FYE (2020) that is reported as compensation for prior years in the “Summary Compensation Table” for years beginning with 2006. Column (f) includes earnings in excess of 120% of the applicable federal rate (above-market earnings) on deferrals made prior to July 1, 2009 reported for 2020 in column (h) of the Summary Compensation Table as follows: Ms. Hewson $6,661; Mr. Ambrose $2,144; and Ms. Evans $125.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Borders>
              <w:bottom w:val="single" w:sz="8" w:color="E5E7EF"/>
            </w:tcBorders>
            <w:shd w:val="clear" w:color="auto" w:fill="E5E7EF"/>
          </w:tcPr>
          <w:p>
            <w:pPr>
              <w:spacing w:after="0"/>
              <w:rPr>
                <w:sz w:val="17"/>
                <w:szCs w:val="17"/>
                <w:color w:val="auto"/>
              </w:rPr>
            </w:pPr>
          </w:p>
        </w:tc>
        <w:tc>
          <w:tcPr>
            <w:tcW w:w="1660" w:type="dxa"/>
            <w:vAlign w:val="bottom"/>
            <w:tcBorders>
              <w:bottom w:val="single" w:sz="8" w:color="E5E7EF"/>
            </w:tcBorders>
            <w:shd w:val="clear" w:color="auto" w:fill="E5E7EF"/>
          </w:tcPr>
          <w:p>
            <w:pPr>
              <w:spacing w:after="0"/>
              <w:rPr>
                <w:sz w:val="17"/>
                <w:szCs w:val="17"/>
                <w:color w:val="auto"/>
              </w:rPr>
            </w:pPr>
          </w:p>
        </w:tc>
        <w:tc>
          <w:tcPr>
            <w:tcW w:w="220" w:type="dxa"/>
            <w:vAlign w:val="bottom"/>
            <w:tcBorders>
              <w:bottom w:val="single" w:sz="8" w:color="E5E7EF"/>
            </w:tcBorders>
            <w:shd w:val="clear" w:color="auto" w:fill="E5E7EF"/>
          </w:tcPr>
          <w:p>
            <w:pPr>
              <w:spacing w:after="0"/>
              <w:rPr>
                <w:sz w:val="17"/>
                <w:szCs w:val="17"/>
                <w:color w:val="auto"/>
              </w:rPr>
            </w:pPr>
          </w:p>
        </w:tc>
        <w:tc>
          <w:tcPr>
            <w:tcW w:w="5340" w:type="dxa"/>
            <w:vAlign w:val="bottom"/>
            <w:tcBorders>
              <w:bottom w:val="single" w:sz="8" w:color="E5E7EF"/>
            </w:tcBorders>
            <w:gridSpan w:val="2"/>
            <w:shd w:val="clear" w:color="auto" w:fill="E5E7EF"/>
          </w:tcPr>
          <w:p>
            <w:pPr>
              <w:jc w:val="right"/>
              <w:ind w:right="1652"/>
              <w:spacing w:after="0"/>
              <w:rPr>
                <w:sz w:val="20"/>
                <w:szCs w:val="20"/>
                <w:color w:val="auto"/>
              </w:rPr>
            </w:pPr>
            <w:r>
              <w:rPr>
                <w:rFonts w:ascii="Arial" w:cs="Arial" w:eastAsia="Arial" w:hAnsi="Arial"/>
                <w:sz w:val="13"/>
                <w:szCs w:val="13"/>
                <w:color w:val="auto"/>
              </w:rPr>
              <w:t>Of Amount Reported in Column (f)</w:t>
            </w:r>
          </w:p>
        </w:tc>
      </w:tr>
      <w:tr>
        <w:trPr>
          <w:trHeight w:val="163"/>
        </w:trPr>
        <w:tc>
          <w:tcPr>
            <w:tcW w:w="4020" w:type="dxa"/>
            <w:vAlign w:val="bottom"/>
            <w:tcBorders>
              <w:top w:val="single" w:sz="8" w:color="E5E7EF"/>
            </w:tcBorders>
            <w:shd w:val="clear" w:color="auto" w:fill="E5E7EF"/>
          </w:tcPr>
          <w:p>
            <w:pPr>
              <w:spacing w:after="0"/>
              <w:rPr>
                <w:sz w:val="14"/>
                <w:szCs w:val="14"/>
                <w:color w:val="auto"/>
              </w:rPr>
            </w:pPr>
          </w:p>
        </w:tc>
        <w:tc>
          <w:tcPr>
            <w:tcW w:w="1660" w:type="dxa"/>
            <w:vAlign w:val="bottom"/>
            <w:tcBorders>
              <w:top w:val="single" w:sz="8" w:color="E5E7EF"/>
            </w:tcBorders>
            <w:shd w:val="clear" w:color="auto" w:fill="E5E7EF"/>
          </w:tcPr>
          <w:p>
            <w:pPr>
              <w:spacing w:after="0"/>
              <w:rPr>
                <w:sz w:val="14"/>
                <w:szCs w:val="14"/>
                <w:color w:val="auto"/>
              </w:rPr>
            </w:pPr>
          </w:p>
        </w:tc>
        <w:tc>
          <w:tcPr>
            <w:tcW w:w="220" w:type="dxa"/>
            <w:vAlign w:val="bottom"/>
            <w:tcBorders>
              <w:top w:val="single" w:sz="8" w:color="E5E7EF"/>
            </w:tcBorders>
            <w:shd w:val="clear" w:color="auto" w:fill="E5E7EF"/>
          </w:tcPr>
          <w:p>
            <w:pPr>
              <w:spacing w:after="0"/>
              <w:rPr>
                <w:sz w:val="14"/>
                <w:szCs w:val="14"/>
                <w:color w:val="auto"/>
              </w:rPr>
            </w:pPr>
          </w:p>
        </w:tc>
        <w:tc>
          <w:tcPr>
            <w:tcW w:w="3240" w:type="dxa"/>
            <w:vAlign w:val="bottom"/>
            <w:tcBorders>
              <w:top w:val="single" w:sz="8" w:color="959595"/>
            </w:tcBorders>
            <w:shd w:val="clear" w:color="auto" w:fill="E5E7EF"/>
          </w:tcPr>
          <w:p>
            <w:pPr>
              <w:jc w:val="right"/>
              <w:ind w:right="297"/>
              <w:spacing w:after="0"/>
              <w:rPr>
                <w:sz w:val="20"/>
                <w:szCs w:val="20"/>
                <w:color w:val="auto"/>
              </w:rPr>
            </w:pPr>
            <w:r>
              <w:rPr>
                <w:rFonts w:ascii="Arial" w:cs="Arial" w:eastAsia="Arial" w:hAnsi="Arial"/>
                <w:sz w:val="13"/>
                <w:szCs w:val="13"/>
                <w:color w:val="auto"/>
              </w:rPr>
              <w:t>NEO and Corporation Contributions to</w:t>
            </w:r>
          </w:p>
        </w:tc>
        <w:tc>
          <w:tcPr>
            <w:tcW w:w="2100" w:type="dxa"/>
            <w:vAlign w:val="bottom"/>
            <w:tcBorders>
              <w:top w:val="single" w:sz="8" w:color="959595"/>
            </w:tcBorders>
            <w:shd w:val="clear" w:color="auto" w:fill="E5E7EF"/>
          </w:tcPr>
          <w:p>
            <w:pPr>
              <w:spacing w:after="0"/>
              <w:rPr>
                <w:sz w:val="14"/>
                <w:szCs w:val="14"/>
                <w:color w:val="auto"/>
              </w:rPr>
            </w:pPr>
          </w:p>
        </w:tc>
      </w:tr>
      <w:tr>
        <w:trPr>
          <w:trHeight w:val="148"/>
        </w:trPr>
        <w:tc>
          <w:tcPr>
            <w:tcW w:w="4020" w:type="dxa"/>
            <w:vAlign w:val="bottom"/>
            <w:shd w:val="clear" w:color="auto" w:fill="E5E7EF"/>
          </w:tcPr>
          <w:p>
            <w:pPr>
              <w:spacing w:after="0"/>
              <w:rPr>
                <w:sz w:val="12"/>
                <w:szCs w:val="12"/>
                <w:color w:val="auto"/>
              </w:rPr>
            </w:pPr>
          </w:p>
        </w:tc>
        <w:tc>
          <w:tcPr>
            <w:tcW w:w="16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Aggregate Balance</w:t>
            </w:r>
          </w:p>
        </w:tc>
        <w:tc>
          <w:tcPr>
            <w:tcW w:w="220" w:type="dxa"/>
            <w:vAlign w:val="bottom"/>
            <w:shd w:val="clear" w:color="auto" w:fill="E5E7EF"/>
          </w:tcPr>
          <w:p>
            <w:pPr>
              <w:spacing w:after="0"/>
              <w:rPr>
                <w:sz w:val="12"/>
                <w:szCs w:val="12"/>
                <w:color w:val="auto"/>
              </w:rPr>
            </w:pPr>
          </w:p>
        </w:tc>
        <w:tc>
          <w:tcPr>
            <w:tcW w:w="3240" w:type="dxa"/>
            <w:vAlign w:val="bottom"/>
            <w:shd w:val="clear" w:color="auto" w:fill="E5E7EF"/>
          </w:tcPr>
          <w:p>
            <w:pPr>
              <w:jc w:val="right"/>
              <w:ind w:right="297"/>
              <w:spacing w:after="0"/>
              <w:rPr>
                <w:sz w:val="20"/>
                <w:szCs w:val="20"/>
                <w:color w:val="auto"/>
              </w:rPr>
            </w:pPr>
            <w:r>
              <w:rPr>
                <w:rFonts w:ascii="Arial" w:cs="Arial" w:eastAsia="Arial" w:hAnsi="Arial"/>
                <w:sz w:val="13"/>
                <w:szCs w:val="13"/>
                <w:color w:val="auto"/>
              </w:rPr>
              <w:t>NQSSP and Corporation Contributions to</w:t>
            </w:r>
          </w:p>
        </w:tc>
        <w:tc>
          <w:tcPr>
            <w:tcW w:w="21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Amount Reported in “Summary</w:t>
            </w:r>
          </w:p>
        </w:tc>
      </w:tr>
      <w:tr>
        <w:trPr>
          <w:trHeight w:val="148"/>
        </w:trPr>
        <w:tc>
          <w:tcPr>
            <w:tcW w:w="4020" w:type="dxa"/>
            <w:vAlign w:val="bottom"/>
            <w:shd w:val="clear" w:color="auto" w:fill="E5E7EF"/>
          </w:tcPr>
          <w:p>
            <w:pPr>
              <w:spacing w:after="0"/>
              <w:rPr>
                <w:sz w:val="12"/>
                <w:szCs w:val="12"/>
                <w:color w:val="auto"/>
              </w:rPr>
            </w:pPr>
          </w:p>
        </w:tc>
        <w:tc>
          <w:tcPr>
            <w:tcW w:w="16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at December 31,</w:t>
            </w:r>
          </w:p>
        </w:tc>
        <w:tc>
          <w:tcPr>
            <w:tcW w:w="220" w:type="dxa"/>
            <w:vAlign w:val="bottom"/>
            <w:shd w:val="clear" w:color="auto" w:fill="E5E7EF"/>
          </w:tcPr>
          <w:p>
            <w:pPr>
              <w:spacing w:after="0"/>
              <w:rPr>
                <w:sz w:val="12"/>
                <w:szCs w:val="12"/>
                <w:color w:val="auto"/>
              </w:rPr>
            </w:pPr>
          </w:p>
        </w:tc>
        <w:tc>
          <w:tcPr>
            <w:tcW w:w="3240" w:type="dxa"/>
            <w:vAlign w:val="bottom"/>
            <w:shd w:val="clear" w:color="auto" w:fill="E5E7EF"/>
          </w:tcPr>
          <w:p>
            <w:pPr>
              <w:jc w:val="right"/>
              <w:ind w:right="297"/>
              <w:spacing w:after="0"/>
              <w:rPr>
                <w:sz w:val="20"/>
                <w:szCs w:val="20"/>
                <w:color w:val="auto"/>
              </w:rPr>
            </w:pPr>
            <w:r>
              <w:rPr>
                <w:rFonts w:ascii="Arial" w:cs="Arial" w:eastAsia="Arial" w:hAnsi="Arial"/>
                <w:sz w:val="13"/>
                <w:szCs w:val="13"/>
                <w:color w:val="auto"/>
              </w:rPr>
              <w:t>NCAP Reported in “Summary</w:t>
            </w:r>
          </w:p>
        </w:tc>
        <w:tc>
          <w:tcPr>
            <w:tcW w:w="21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Compensation Table” for Prior</w:t>
            </w:r>
          </w:p>
        </w:tc>
      </w:tr>
      <w:tr>
        <w:trPr>
          <w:trHeight w:val="152"/>
        </w:trPr>
        <w:tc>
          <w:tcPr>
            <w:tcW w:w="4020" w:type="dxa"/>
            <w:vAlign w:val="bottom"/>
            <w:shd w:val="clear" w:color="auto" w:fill="E5E7EF"/>
          </w:tcPr>
          <w:p>
            <w:pPr>
              <w:spacing w:after="0"/>
              <w:rPr>
                <w:sz w:val="13"/>
                <w:szCs w:val="13"/>
                <w:color w:val="auto"/>
              </w:rPr>
            </w:pPr>
          </w:p>
        </w:tc>
        <w:tc>
          <w:tcPr>
            <w:tcW w:w="16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2020 in Column (f)</w:t>
            </w:r>
          </w:p>
        </w:tc>
        <w:tc>
          <w:tcPr>
            <w:tcW w:w="220" w:type="dxa"/>
            <w:vAlign w:val="bottom"/>
            <w:shd w:val="clear" w:color="auto" w:fill="E5E7EF"/>
          </w:tcPr>
          <w:p>
            <w:pPr>
              <w:spacing w:after="0"/>
              <w:rPr>
                <w:sz w:val="13"/>
                <w:szCs w:val="13"/>
                <w:color w:val="auto"/>
              </w:rPr>
            </w:pPr>
          </w:p>
        </w:tc>
        <w:tc>
          <w:tcPr>
            <w:tcW w:w="3240" w:type="dxa"/>
            <w:vAlign w:val="bottom"/>
            <w:shd w:val="clear" w:color="auto" w:fill="E5E7EF"/>
          </w:tcPr>
          <w:p>
            <w:pPr>
              <w:jc w:val="right"/>
              <w:ind w:right="297"/>
              <w:spacing w:after="0"/>
              <w:rPr>
                <w:sz w:val="20"/>
                <w:szCs w:val="20"/>
                <w:color w:val="auto"/>
              </w:rPr>
            </w:pPr>
            <w:r>
              <w:rPr>
                <w:rFonts w:ascii="Arial" w:cs="Arial" w:eastAsia="Arial" w:hAnsi="Arial"/>
                <w:sz w:val="13"/>
                <w:szCs w:val="13"/>
                <w:color w:val="auto"/>
              </w:rPr>
              <w:t>Compensation Table” for 2020</w:t>
            </w:r>
          </w:p>
        </w:tc>
        <w:tc>
          <w:tcPr>
            <w:tcW w:w="21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Years (Beginning with 2006)</w:t>
            </w:r>
          </w:p>
        </w:tc>
      </w:tr>
      <w:tr>
        <w:trPr>
          <w:trHeight w:val="237"/>
        </w:trPr>
        <w:tc>
          <w:tcPr>
            <w:tcW w:w="40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6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3460" w:type="dxa"/>
            <w:vAlign w:val="bottom"/>
            <w:tcBorders>
              <w:bottom w:val="single" w:sz="8" w:color="E5E7EF"/>
            </w:tcBorders>
            <w:gridSpan w:val="2"/>
            <w:shd w:val="clear" w:color="auto" w:fill="E5E7EF"/>
          </w:tcPr>
          <w:p>
            <w:pPr>
              <w:jc w:val="right"/>
              <w:ind w:right="297"/>
              <w:spacing w:after="0"/>
              <w:rPr>
                <w:sz w:val="20"/>
                <w:szCs w:val="20"/>
                <w:color w:val="auto"/>
              </w:rPr>
            </w:pPr>
            <w:r>
              <w:rPr>
                <w:rFonts w:ascii="Arial" w:cs="Arial" w:eastAsia="Arial" w:hAnsi="Arial"/>
                <w:sz w:val="13"/>
                <w:szCs w:val="13"/>
                <w:color w:val="auto"/>
              </w:rPr>
              <w:t>($)</w:t>
            </w:r>
          </w:p>
        </w:tc>
        <w:tc>
          <w:tcPr>
            <w:tcW w:w="21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020" w:type="dxa"/>
            <w:vAlign w:val="bottom"/>
            <w:tcBorders>
              <w:top w:val="single" w:sz="8" w:color="959595"/>
              <w:bottom w:val="single" w:sz="8" w:color="959595"/>
            </w:tcBorders>
          </w:tcPr>
          <w:p>
            <w:pPr>
              <w:ind w:left="20"/>
              <w:spacing w:after="0"/>
              <w:rPr>
                <w:sz w:val="20"/>
                <w:szCs w:val="20"/>
                <w:color w:val="auto"/>
              </w:rPr>
            </w:pPr>
            <w:r>
              <w:rPr>
                <w:rFonts w:ascii="Arial" w:cs="Arial" w:eastAsia="Arial" w:hAnsi="Arial"/>
                <w:sz w:val="14"/>
                <w:szCs w:val="14"/>
                <w:b w:val="1"/>
                <w:bCs w:val="1"/>
                <w:color w:val="002E6D"/>
              </w:rPr>
              <w:t>Mr. Taiclet</w:t>
            </w:r>
          </w:p>
        </w:tc>
        <w:tc>
          <w:tcPr>
            <w:tcW w:w="166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38,126</w:t>
            </w:r>
          </w:p>
        </w:tc>
        <w:tc>
          <w:tcPr>
            <w:tcW w:w="3460" w:type="dxa"/>
            <w:vAlign w:val="bottom"/>
            <w:tcBorders>
              <w:top w:val="single" w:sz="8" w:color="959595"/>
              <w:bottom w:val="single" w:sz="8" w:color="959595"/>
            </w:tcBorders>
            <w:gridSpan w:val="2"/>
          </w:tcPr>
          <w:p>
            <w:pPr>
              <w:jc w:val="right"/>
              <w:ind w:right="357"/>
              <w:spacing w:after="0"/>
              <w:rPr>
                <w:sz w:val="20"/>
                <w:szCs w:val="20"/>
                <w:color w:val="auto"/>
              </w:rPr>
            </w:pPr>
            <w:r>
              <w:rPr>
                <w:rFonts w:ascii="Arial" w:cs="Arial" w:eastAsia="Arial" w:hAnsi="Arial"/>
                <w:sz w:val="14"/>
                <w:szCs w:val="14"/>
                <w:color w:val="auto"/>
              </w:rPr>
              <w:t>35,862</w:t>
            </w:r>
          </w:p>
        </w:tc>
        <w:tc>
          <w:tcPr>
            <w:tcW w:w="210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0</w:t>
            </w:r>
          </w:p>
        </w:tc>
      </w:tr>
      <w:tr>
        <w:trPr>
          <w:trHeight w:val="183"/>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2E6D"/>
              </w:rPr>
              <w:t>Ms. Hewson</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63,246,661</w:t>
            </w:r>
          </w:p>
        </w:tc>
        <w:tc>
          <w:tcPr>
            <w:tcW w:w="3460" w:type="dxa"/>
            <w:vAlign w:val="bottom"/>
            <w:tcBorders>
              <w:bottom w:val="single" w:sz="8" w:color="959595"/>
            </w:tcBorders>
            <w:gridSpan w:val="2"/>
          </w:tcPr>
          <w:p>
            <w:pPr>
              <w:jc w:val="right"/>
              <w:ind w:right="357"/>
              <w:spacing w:after="0"/>
              <w:rPr>
                <w:sz w:val="20"/>
                <w:szCs w:val="20"/>
                <w:color w:val="auto"/>
              </w:rPr>
            </w:pPr>
            <w:r>
              <w:rPr>
                <w:rFonts w:ascii="Arial" w:cs="Arial" w:eastAsia="Arial" w:hAnsi="Arial"/>
                <w:sz w:val="14"/>
                <w:szCs w:val="14"/>
                <w:color w:val="auto"/>
              </w:rPr>
              <w:t>512,711</w:t>
            </w:r>
          </w:p>
        </w:tc>
        <w:tc>
          <w:tcPr>
            <w:tcW w:w="21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23,010,179</w:t>
            </w:r>
          </w:p>
        </w:tc>
      </w:tr>
      <w:tr>
        <w:trPr>
          <w:trHeight w:val="183"/>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2E6D"/>
              </w:rPr>
              <w:t>Mr. Possenriede</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9,213,499</w:t>
            </w:r>
          </w:p>
        </w:tc>
        <w:tc>
          <w:tcPr>
            <w:tcW w:w="3460" w:type="dxa"/>
            <w:vAlign w:val="bottom"/>
            <w:tcBorders>
              <w:bottom w:val="single" w:sz="8" w:color="959595"/>
            </w:tcBorders>
            <w:gridSpan w:val="2"/>
          </w:tcPr>
          <w:p>
            <w:pPr>
              <w:jc w:val="right"/>
              <w:ind w:right="357"/>
              <w:spacing w:after="0"/>
              <w:rPr>
                <w:sz w:val="20"/>
                <w:szCs w:val="20"/>
                <w:color w:val="auto"/>
              </w:rPr>
            </w:pPr>
            <w:r>
              <w:rPr>
                <w:rFonts w:ascii="Arial" w:cs="Arial" w:eastAsia="Arial" w:hAnsi="Arial"/>
                <w:sz w:val="14"/>
                <w:szCs w:val="14"/>
                <w:color w:val="auto"/>
              </w:rPr>
              <w:t>276,088</w:t>
            </w:r>
          </w:p>
        </w:tc>
        <w:tc>
          <w:tcPr>
            <w:tcW w:w="21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1,120,238</w:t>
            </w:r>
          </w:p>
        </w:tc>
      </w:tr>
      <w:tr>
        <w:trPr>
          <w:trHeight w:val="183"/>
        </w:trPr>
        <w:tc>
          <w:tcPr>
            <w:tcW w:w="402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2E6D"/>
              </w:rPr>
              <w:t>Mr. St. John</w:t>
            </w:r>
          </w:p>
        </w:tc>
        <w:tc>
          <w:tcPr>
            <w:tcW w:w="16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7,067,554</w:t>
            </w:r>
          </w:p>
        </w:tc>
        <w:tc>
          <w:tcPr>
            <w:tcW w:w="3460" w:type="dxa"/>
            <w:vAlign w:val="bottom"/>
            <w:tcBorders>
              <w:bottom w:val="single" w:sz="8" w:color="929292"/>
            </w:tcBorders>
            <w:gridSpan w:val="2"/>
          </w:tcPr>
          <w:p>
            <w:pPr>
              <w:jc w:val="right"/>
              <w:ind w:right="357"/>
              <w:spacing w:after="0"/>
              <w:rPr>
                <w:sz w:val="20"/>
                <w:szCs w:val="20"/>
                <w:color w:val="auto"/>
              </w:rPr>
            </w:pPr>
            <w:r>
              <w:rPr>
                <w:rFonts w:ascii="Arial" w:cs="Arial" w:eastAsia="Arial" w:hAnsi="Arial"/>
                <w:sz w:val="14"/>
                <w:szCs w:val="14"/>
                <w:color w:val="auto"/>
              </w:rPr>
              <w:t>276,088</w:t>
            </w:r>
          </w:p>
        </w:tc>
        <w:tc>
          <w:tcPr>
            <w:tcW w:w="2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1,443,759</w:t>
            </w:r>
          </w:p>
        </w:tc>
      </w:tr>
      <w:tr>
        <w:trPr>
          <w:trHeight w:val="183"/>
        </w:trPr>
        <w:tc>
          <w:tcPr>
            <w:tcW w:w="402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2E6D"/>
              </w:rPr>
              <w:t>Mr. Ambrose</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9,560,712</w:t>
            </w:r>
          </w:p>
        </w:tc>
        <w:tc>
          <w:tcPr>
            <w:tcW w:w="3460" w:type="dxa"/>
            <w:vAlign w:val="bottom"/>
            <w:tcBorders>
              <w:bottom w:val="single" w:sz="8" w:color="959595"/>
            </w:tcBorders>
            <w:gridSpan w:val="2"/>
          </w:tcPr>
          <w:p>
            <w:pPr>
              <w:jc w:val="right"/>
              <w:ind w:right="357"/>
              <w:spacing w:after="0"/>
              <w:rPr>
                <w:sz w:val="20"/>
                <w:szCs w:val="20"/>
                <w:color w:val="auto"/>
              </w:rPr>
            </w:pPr>
            <w:r>
              <w:rPr>
                <w:rFonts w:ascii="Arial" w:cs="Arial" w:eastAsia="Arial" w:hAnsi="Arial"/>
                <w:sz w:val="14"/>
                <w:szCs w:val="14"/>
                <w:color w:val="auto"/>
              </w:rPr>
              <w:t>219,369</w:t>
            </w:r>
          </w:p>
        </w:tc>
        <w:tc>
          <w:tcPr>
            <w:tcW w:w="21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356,025</w:t>
            </w:r>
          </w:p>
        </w:tc>
      </w:tr>
      <w:tr>
        <w:trPr>
          <w:trHeight w:val="183"/>
        </w:trPr>
        <w:tc>
          <w:tcPr>
            <w:tcW w:w="402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2E6D"/>
              </w:rPr>
              <w:t>Ms. Evans</w:t>
            </w:r>
          </w:p>
        </w:tc>
        <w:tc>
          <w:tcPr>
            <w:tcW w:w="16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9,652,543</w:t>
            </w:r>
          </w:p>
        </w:tc>
        <w:tc>
          <w:tcPr>
            <w:tcW w:w="3460" w:type="dxa"/>
            <w:vAlign w:val="bottom"/>
            <w:tcBorders>
              <w:bottom w:val="single" w:sz="8" w:color="929292"/>
            </w:tcBorders>
            <w:gridSpan w:val="2"/>
          </w:tcPr>
          <w:p>
            <w:pPr>
              <w:jc w:val="right"/>
              <w:ind w:right="357"/>
              <w:spacing w:after="0"/>
              <w:rPr>
                <w:sz w:val="20"/>
                <w:szCs w:val="20"/>
                <w:color w:val="auto"/>
              </w:rPr>
            </w:pPr>
            <w:r>
              <w:rPr>
                <w:rFonts w:ascii="Arial" w:cs="Arial" w:eastAsia="Arial" w:hAnsi="Arial"/>
                <w:sz w:val="14"/>
                <w:szCs w:val="14"/>
                <w:color w:val="auto"/>
              </w:rPr>
              <w:t>276,088</w:t>
            </w:r>
          </w:p>
        </w:tc>
        <w:tc>
          <w:tcPr>
            <w:tcW w:w="2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2,357,783</w:t>
            </w:r>
          </w:p>
        </w:tc>
      </w:tr>
      <w:tr>
        <w:trPr>
          <w:trHeight w:val="724"/>
        </w:trPr>
        <w:tc>
          <w:tcPr>
            <w:tcW w:w="4020" w:type="dxa"/>
            <w:vAlign w:val="bottom"/>
          </w:tcPr>
          <w:p>
            <w:pPr>
              <w:ind w:left="20"/>
              <w:spacing w:after="0"/>
              <w:rPr>
                <w:sz w:val="20"/>
                <w:szCs w:val="20"/>
                <w:color w:val="auto"/>
              </w:rPr>
            </w:pPr>
            <w:r>
              <w:rPr>
                <w:rFonts w:ascii="Arial" w:cs="Arial" w:eastAsia="Arial" w:hAnsi="Arial"/>
                <w:sz w:val="14"/>
                <w:szCs w:val="14"/>
                <w:b w:val="1"/>
                <w:bCs w:val="1"/>
                <w:color w:val="808080"/>
              </w:rPr>
              <w:t>70</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-197485</wp:posOffset>
            </wp:positionV>
            <wp:extent cx="969010" cy="2228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74" w:name="page75"/>
    <w:bookmarkEnd w:id="74"/>
    <w:p>
      <w:pPr>
        <w:ind w:left="9540"/>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Potential Payments Upon Termination or Change in Control</w:t>
      </w:r>
    </w:p>
    <w:p>
      <w:pPr>
        <w:spacing w:after="0" w:line="123"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The table below summarizes the benefits that become payable to a NEO at, following, or in connection with retirement, change in control, death, disability, layoff, divestiture, termination or resignation under the terms of our benefit plans.</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060" w:type="dxa"/>
            <w:vAlign w:val="bottom"/>
            <w:tcBorders>
              <w:top w:val="single" w:sz="8" w:color="012E6C"/>
              <w:left w:val="single" w:sz="8" w:color="012E6C"/>
              <w:bottom w:val="single" w:sz="8" w:color="012E6C"/>
              <w:right w:val="single" w:sz="8" w:color="012E6C"/>
            </w:tcBorders>
          </w:tcPr>
          <w:p>
            <w:pPr>
              <w:spacing w:after="0"/>
              <w:rPr>
                <w:sz w:val="18"/>
                <w:szCs w:val="18"/>
                <w:color w:val="auto"/>
              </w:rPr>
            </w:pPr>
          </w:p>
        </w:tc>
        <w:tc>
          <w:tcPr>
            <w:tcW w:w="1920" w:type="dxa"/>
            <w:vAlign w:val="bottom"/>
            <w:tcBorders>
              <w:top w:val="single" w:sz="8" w:color="012E6C"/>
              <w:bottom w:val="single" w:sz="8" w:color="012E6C"/>
              <w:right w:val="single" w:sz="8" w:color="012E6C"/>
            </w:tcBorders>
          </w:tcPr>
          <w:p>
            <w:pPr>
              <w:ind w:left="620"/>
              <w:spacing w:after="0"/>
              <w:rPr>
                <w:sz w:val="20"/>
                <w:szCs w:val="20"/>
                <w:color w:val="auto"/>
              </w:rPr>
            </w:pPr>
            <w:r>
              <w:rPr>
                <w:rFonts w:ascii="Arial" w:cs="Arial" w:eastAsia="Arial" w:hAnsi="Arial"/>
                <w:sz w:val="13"/>
                <w:szCs w:val="13"/>
                <w:b w:val="1"/>
                <w:bCs w:val="1"/>
                <w:color w:val="auto"/>
              </w:rPr>
              <w:t>Retirement</w:t>
            </w:r>
          </w:p>
        </w:tc>
        <w:tc>
          <w:tcPr>
            <w:tcW w:w="1940" w:type="dxa"/>
            <w:vAlign w:val="bottom"/>
            <w:tcBorders>
              <w:top w:val="single" w:sz="8" w:color="012E6C"/>
              <w:bottom w:val="single" w:sz="8" w:color="012E6C"/>
              <w:right w:val="single" w:sz="8" w:color="012E6C"/>
            </w:tcBorders>
          </w:tcPr>
          <w:p>
            <w:pPr>
              <w:ind w:left="420"/>
              <w:spacing w:after="0"/>
              <w:rPr>
                <w:sz w:val="20"/>
                <w:szCs w:val="20"/>
                <w:color w:val="auto"/>
              </w:rPr>
            </w:pPr>
            <w:r>
              <w:rPr>
                <w:rFonts w:ascii="Arial" w:cs="Arial" w:eastAsia="Arial" w:hAnsi="Arial"/>
                <w:sz w:val="13"/>
                <w:szCs w:val="13"/>
                <w:b w:val="1"/>
                <w:bCs w:val="1"/>
                <w:color w:val="auto"/>
              </w:rPr>
              <w:t>Change in Control</w:t>
            </w:r>
          </w:p>
        </w:tc>
        <w:tc>
          <w:tcPr>
            <w:tcW w:w="2240" w:type="dxa"/>
            <w:vAlign w:val="bottom"/>
            <w:tcBorders>
              <w:top w:val="single" w:sz="8" w:color="012E6C"/>
              <w:bottom w:val="single" w:sz="8" w:color="012E6C"/>
              <w:right w:val="single" w:sz="8" w:color="012E6C"/>
            </w:tcBorders>
          </w:tcPr>
          <w:p>
            <w:pPr>
              <w:ind w:left="440"/>
              <w:spacing w:after="0"/>
              <w:rPr>
                <w:sz w:val="20"/>
                <w:szCs w:val="20"/>
                <w:color w:val="auto"/>
              </w:rPr>
            </w:pPr>
            <w:r>
              <w:rPr>
                <w:rFonts w:ascii="Arial" w:cs="Arial" w:eastAsia="Arial" w:hAnsi="Arial"/>
                <w:sz w:val="13"/>
                <w:szCs w:val="13"/>
                <w:b w:val="1"/>
                <w:bCs w:val="1"/>
                <w:color w:val="auto"/>
              </w:rPr>
              <w:t>Death/Disability/Layoff</w:t>
            </w:r>
          </w:p>
        </w:tc>
        <w:tc>
          <w:tcPr>
            <w:tcW w:w="2040" w:type="dxa"/>
            <w:vAlign w:val="bottom"/>
            <w:tcBorders>
              <w:top w:val="single" w:sz="8" w:color="012E6C"/>
              <w:bottom w:val="single" w:sz="8" w:color="012E6C"/>
              <w:right w:val="single" w:sz="8" w:color="012E6C"/>
            </w:tcBorders>
          </w:tcPr>
          <w:p>
            <w:pPr>
              <w:ind w:left="640"/>
              <w:spacing w:after="0"/>
              <w:rPr>
                <w:sz w:val="20"/>
                <w:szCs w:val="20"/>
                <w:color w:val="auto"/>
              </w:rPr>
            </w:pPr>
            <w:r>
              <w:rPr>
                <w:rFonts w:ascii="Arial" w:cs="Arial" w:eastAsia="Arial" w:hAnsi="Arial"/>
                <w:sz w:val="13"/>
                <w:szCs w:val="13"/>
                <w:b w:val="1"/>
                <w:bCs w:val="1"/>
                <w:color w:val="auto"/>
              </w:rPr>
              <w:t>Divestiture</w:t>
            </w:r>
            <w:r>
              <w:rPr>
                <w:rFonts w:ascii="Arial" w:cs="Arial" w:eastAsia="Arial" w:hAnsi="Arial"/>
                <w:sz w:val="16"/>
                <w:szCs w:val="16"/>
                <w:b w:val="1"/>
                <w:bCs w:val="1"/>
                <w:color w:val="auto"/>
                <w:vertAlign w:val="superscript"/>
              </w:rPr>
              <w:t>(1)</w:t>
            </w:r>
          </w:p>
        </w:tc>
        <w:tc>
          <w:tcPr>
            <w:tcW w:w="1840" w:type="dxa"/>
            <w:vAlign w:val="bottom"/>
            <w:tcBorders>
              <w:top w:val="single" w:sz="8" w:color="012E6C"/>
              <w:bottom w:val="single" w:sz="8" w:color="012E6C"/>
            </w:tcBorders>
          </w:tcPr>
          <w:p>
            <w:pPr>
              <w:ind w:left="280"/>
              <w:spacing w:after="0"/>
              <w:rPr>
                <w:sz w:val="20"/>
                <w:szCs w:val="20"/>
                <w:color w:val="auto"/>
              </w:rPr>
            </w:pPr>
            <w:r>
              <w:rPr>
                <w:rFonts w:ascii="Arial" w:cs="Arial" w:eastAsia="Arial" w:hAnsi="Arial"/>
                <w:sz w:val="13"/>
                <w:szCs w:val="13"/>
                <w:b w:val="1"/>
                <w:bCs w:val="1"/>
                <w:color w:val="auto"/>
              </w:rPr>
              <w:t>Termination/Resignation</w:t>
            </w:r>
          </w:p>
        </w:tc>
        <w:tc>
          <w:tcPr>
            <w:tcW w:w="220" w:type="dxa"/>
            <w:vAlign w:val="bottom"/>
            <w:tcBorders>
              <w:top w:val="single" w:sz="8" w:color="012E6C"/>
              <w:bottom w:val="single" w:sz="8" w:color="012E6C"/>
              <w:right w:val="single" w:sz="8" w:color="012E6C"/>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060" w:type="dxa"/>
            <w:vAlign w:val="bottom"/>
            <w:tcBorders>
              <w:left w:val="single" w:sz="8" w:color="012E6C"/>
              <w:right w:val="single" w:sz="8" w:color="012E6C"/>
            </w:tcBorders>
          </w:tcPr>
          <w:p>
            <w:pPr>
              <w:spacing w:after="0"/>
              <w:rPr>
                <w:sz w:val="21"/>
                <w:szCs w:val="21"/>
                <w:color w:val="auto"/>
              </w:rPr>
            </w:pPr>
          </w:p>
        </w:tc>
        <w:tc>
          <w:tcPr>
            <w:tcW w:w="1920" w:type="dxa"/>
            <w:vAlign w:val="bottom"/>
            <w:tcBorders>
              <w:right w:val="single" w:sz="8" w:color="012E6C"/>
            </w:tcBorders>
          </w:tcPr>
          <w:p>
            <w:pPr>
              <w:spacing w:after="0"/>
              <w:rPr>
                <w:sz w:val="21"/>
                <w:szCs w:val="21"/>
                <w:color w:val="auto"/>
              </w:rPr>
            </w:pPr>
          </w:p>
        </w:tc>
        <w:tc>
          <w:tcPr>
            <w:tcW w:w="1940" w:type="dxa"/>
            <w:vAlign w:val="bottom"/>
            <w:tcBorders>
              <w:right w:val="single" w:sz="8" w:color="012E6C"/>
            </w:tcBorders>
          </w:tcPr>
          <w:p>
            <w:pPr>
              <w:spacing w:after="0"/>
              <w:rPr>
                <w:sz w:val="21"/>
                <w:szCs w:val="21"/>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Payment may be prorated at</w:t>
            </w:r>
          </w:p>
        </w:tc>
        <w:tc>
          <w:tcPr>
            <w:tcW w:w="2040" w:type="dxa"/>
            <w:vAlign w:val="bottom"/>
            <w:tcBorders>
              <w:right w:val="single" w:sz="8" w:color="012E6C"/>
            </w:tcBorders>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Borders>
              <w:right w:val="single" w:sz="8" w:color="012E6C"/>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target for death, disability or</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ind w:left="80"/>
              <w:spacing w:after="0"/>
              <w:rPr>
                <w:sz w:val="20"/>
                <w:szCs w:val="20"/>
                <w:color w:val="auto"/>
              </w:rPr>
            </w:pPr>
            <w:r>
              <w:rPr>
                <w:rFonts w:ascii="Arial" w:cs="Arial" w:eastAsia="Arial" w:hAnsi="Arial"/>
                <w:sz w:val="14"/>
                <w:szCs w:val="14"/>
                <w:color w:val="auto"/>
              </w:rPr>
              <w:t>Payment (at age 55 and</w:t>
            </w: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layoff during the year with three</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ind w:left="80"/>
              <w:spacing w:after="0"/>
              <w:rPr>
                <w:sz w:val="20"/>
                <w:szCs w:val="20"/>
                <w:color w:val="auto"/>
              </w:rPr>
            </w:pPr>
            <w:r>
              <w:rPr>
                <w:rFonts w:ascii="Arial" w:cs="Arial" w:eastAsia="Arial" w:hAnsi="Arial"/>
                <w:sz w:val="14"/>
                <w:szCs w:val="14"/>
                <w:color w:val="auto"/>
              </w:rPr>
              <w:t>five years of service or age</w:t>
            </w: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months (six months in the case</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2E6D"/>
              </w:rPr>
              <w:t>Annual</w:t>
            </w:r>
          </w:p>
        </w:tc>
        <w:tc>
          <w:tcPr>
            <w:tcW w:w="1920" w:type="dxa"/>
            <w:vAlign w:val="bottom"/>
            <w:tcBorders>
              <w:right w:val="single" w:sz="8" w:color="012E6C"/>
            </w:tcBorders>
          </w:tcPr>
          <w:p>
            <w:pPr>
              <w:ind w:left="80"/>
              <w:spacing w:after="0"/>
              <w:rPr>
                <w:sz w:val="20"/>
                <w:szCs w:val="20"/>
                <w:color w:val="auto"/>
              </w:rPr>
            </w:pPr>
            <w:r>
              <w:rPr>
                <w:rFonts w:ascii="Arial" w:cs="Arial" w:eastAsia="Arial" w:hAnsi="Arial"/>
                <w:sz w:val="14"/>
                <w:szCs w:val="14"/>
                <w:color w:val="auto"/>
              </w:rPr>
              <w:t>65) may be prorated</w:t>
            </w: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of layoff) of participation in the</w:t>
            </w:r>
          </w:p>
        </w:tc>
        <w:tc>
          <w:tcPr>
            <w:tcW w:w="2040" w:type="dxa"/>
            <w:vAlign w:val="bottom"/>
            <w:tcBorders>
              <w:right w:val="single" w:sz="8" w:color="012E6C"/>
            </w:tcBorders>
          </w:tcPr>
          <w:p>
            <w:pPr>
              <w:spacing w:after="0"/>
              <w:rPr>
                <w:sz w:val="15"/>
                <w:szCs w:val="15"/>
                <w:color w:val="auto"/>
              </w:rPr>
            </w:pPr>
          </w:p>
        </w:tc>
        <w:tc>
          <w:tcPr>
            <w:tcW w:w="2060" w:type="dxa"/>
            <w:vAlign w:val="bottom"/>
            <w:tcBorders>
              <w:right w:val="single" w:sz="8" w:color="012E6C"/>
            </w:tcBorders>
            <w:gridSpan w:val="2"/>
            <w:vMerge w:val="restart"/>
          </w:tcPr>
          <w:p>
            <w:pPr>
              <w:ind w:left="100"/>
              <w:spacing w:after="0"/>
              <w:rPr>
                <w:sz w:val="20"/>
                <w:szCs w:val="20"/>
                <w:color w:val="auto"/>
              </w:rPr>
            </w:pPr>
            <w:r>
              <w:rPr>
                <w:rFonts w:ascii="Arial" w:cs="Arial" w:eastAsia="Arial" w:hAnsi="Arial"/>
                <w:sz w:val="14"/>
                <w:szCs w:val="14"/>
                <w:color w:val="auto"/>
              </w:rPr>
              <w:t>No payment will be made for</w:t>
            </w:r>
          </w:p>
        </w:tc>
        <w:tc>
          <w:tcPr>
            <w:tcW w:w="0" w:type="dxa"/>
            <w:vAlign w:val="bottom"/>
          </w:tcPr>
          <w:p>
            <w:pPr>
              <w:spacing w:after="0"/>
              <w:rPr>
                <w:sz w:val="1"/>
                <w:szCs w:val="1"/>
                <w:color w:val="auto"/>
              </w:rPr>
            </w:pPr>
          </w:p>
        </w:tc>
      </w:tr>
      <w:tr>
        <w:trPr>
          <w:trHeight w:val="95"/>
        </w:trPr>
        <w:tc>
          <w:tcPr>
            <w:tcW w:w="1060" w:type="dxa"/>
            <w:vAlign w:val="bottom"/>
            <w:tcBorders>
              <w:left w:val="single" w:sz="8" w:color="012E6C"/>
              <w:right w:val="single" w:sz="8" w:color="012E6C"/>
            </w:tcBorders>
            <w:vMerge w:val="continue"/>
          </w:tcPr>
          <w:p>
            <w:pPr>
              <w:spacing w:after="0"/>
              <w:rPr>
                <w:sz w:val="8"/>
                <w:szCs w:val="8"/>
                <w:color w:val="auto"/>
              </w:rPr>
            </w:pPr>
          </w:p>
        </w:tc>
        <w:tc>
          <w:tcPr>
            <w:tcW w:w="1920" w:type="dxa"/>
            <w:vAlign w:val="bottom"/>
            <w:tcBorders>
              <w:right w:val="single" w:sz="8" w:color="012E6C"/>
            </w:tcBorders>
            <w:vMerge w:val="restart"/>
          </w:tcPr>
          <w:p>
            <w:pPr>
              <w:ind w:left="80"/>
              <w:spacing w:after="0"/>
              <w:rPr>
                <w:sz w:val="20"/>
                <w:szCs w:val="20"/>
                <w:color w:val="auto"/>
              </w:rPr>
            </w:pPr>
            <w:r>
              <w:rPr>
                <w:rFonts w:ascii="Arial" w:cs="Arial" w:eastAsia="Arial" w:hAnsi="Arial"/>
                <w:sz w:val="14"/>
                <w:szCs w:val="14"/>
                <w:color w:val="auto"/>
              </w:rPr>
              <w:t>based on year-end</w:t>
            </w:r>
          </w:p>
        </w:tc>
        <w:tc>
          <w:tcPr>
            <w:tcW w:w="1940" w:type="dxa"/>
            <w:vAlign w:val="bottom"/>
            <w:tcBorders>
              <w:right w:val="single" w:sz="8" w:color="012E6C"/>
            </w:tcBorders>
          </w:tcPr>
          <w:p>
            <w:pPr>
              <w:spacing w:after="0"/>
              <w:rPr>
                <w:sz w:val="8"/>
                <w:szCs w:val="8"/>
                <w:color w:val="auto"/>
              </w:rPr>
            </w:pPr>
          </w:p>
        </w:tc>
        <w:tc>
          <w:tcPr>
            <w:tcW w:w="22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year.</w:t>
            </w:r>
          </w:p>
        </w:tc>
        <w:tc>
          <w:tcPr>
            <w:tcW w:w="2040" w:type="dxa"/>
            <w:vAlign w:val="bottom"/>
            <w:tcBorders>
              <w:right w:val="single" w:sz="8" w:color="012E6C"/>
            </w:tcBorders>
          </w:tcPr>
          <w:p>
            <w:pPr>
              <w:spacing w:after="0"/>
              <w:rPr>
                <w:sz w:val="8"/>
                <w:szCs w:val="8"/>
                <w:color w:val="auto"/>
              </w:rPr>
            </w:pPr>
          </w:p>
        </w:tc>
        <w:tc>
          <w:tcPr>
            <w:tcW w:w="2060" w:type="dxa"/>
            <w:vAlign w:val="bottom"/>
            <w:tcBorders>
              <w:right w:val="single" w:sz="8" w:color="012E6C"/>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2E6D"/>
              </w:rPr>
              <w:t>Incentive</w:t>
            </w:r>
          </w:p>
        </w:tc>
        <w:tc>
          <w:tcPr>
            <w:tcW w:w="1920" w:type="dxa"/>
            <w:vAlign w:val="bottom"/>
            <w:tcBorders>
              <w:right w:val="single" w:sz="8" w:color="012E6C"/>
            </w:tcBorders>
            <w:vMerge w:val="continue"/>
          </w:tcPr>
          <w:p>
            <w:pPr>
              <w:spacing w:after="0"/>
              <w:rPr>
                <w:sz w:val="9"/>
                <w:szCs w:val="9"/>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No provision.</w:t>
            </w:r>
          </w:p>
        </w:tc>
        <w:tc>
          <w:tcPr>
            <w:tcW w:w="2240" w:type="dxa"/>
            <w:vAlign w:val="bottom"/>
            <w:tcBorders>
              <w:right w:val="single" w:sz="8" w:color="012E6C"/>
            </w:tcBorders>
            <w:vMerge w:val="continue"/>
          </w:tcPr>
          <w:p>
            <w:pPr>
              <w:spacing w:after="0"/>
              <w:rPr>
                <w:sz w:val="9"/>
                <w:szCs w:val="9"/>
                <w:color w:val="auto"/>
              </w:rPr>
            </w:pPr>
          </w:p>
        </w:tc>
        <w:tc>
          <w:tcPr>
            <w:tcW w:w="2040" w:type="dxa"/>
            <w:vAlign w:val="bottom"/>
            <w:tcBorders>
              <w:right w:val="single" w:sz="8" w:color="012E6C"/>
            </w:tcBorders>
            <w:vMerge w:val="restart"/>
          </w:tcPr>
          <w:p>
            <w:pPr>
              <w:ind w:left="80"/>
              <w:spacing w:after="0"/>
              <w:rPr>
                <w:sz w:val="20"/>
                <w:szCs w:val="20"/>
                <w:color w:val="auto"/>
              </w:rPr>
            </w:pPr>
            <w:r>
              <w:rPr>
                <w:rFonts w:ascii="Arial" w:cs="Arial" w:eastAsia="Arial" w:hAnsi="Arial"/>
                <w:sz w:val="14"/>
                <w:szCs w:val="14"/>
                <w:color w:val="auto"/>
              </w:rPr>
              <w:t>No provision.</w:t>
            </w:r>
          </w:p>
        </w:tc>
        <w:tc>
          <w:tcPr>
            <w:tcW w:w="1840" w:type="dxa"/>
            <w:vAlign w:val="bottom"/>
            <w:vMerge w:val="restart"/>
          </w:tcPr>
          <w:p>
            <w:pPr>
              <w:ind w:left="100"/>
              <w:spacing w:after="0"/>
              <w:rPr>
                <w:sz w:val="20"/>
                <w:szCs w:val="20"/>
                <w:color w:val="auto"/>
              </w:rPr>
            </w:pPr>
            <w:r>
              <w:rPr>
                <w:rFonts w:ascii="Arial" w:cs="Arial" w:eastAsia="Arial" w:hAnsi="Arial"/>
                <w:sz w:val="14"/>
                <w:szCs w:val="14"/>
                <w:color w:val="auto"/>
              </w:rPr>
              <w:t>termination/resignation</w:t>
            </w:r>
          </w:p>
        </w:tc>
        <w:tc>
          <w:tcPr>
            <w:tcW w:w="220" w:type="dxa"/>
            <w:vAlign w:val="bottom"/>
            <w:tcBorders>
              <w:right w:val="single" w:sz="8" w:color="012E6C"/>
            </w:tcBorders>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60" w:type="dxa"/>
            <w:vAlign w:val="bottom"/>
            <w:tcBorders>
              <w:left w:val="single" w:sz="8" w:color="012E6C"/>
              <w:right w:val="single" w:sz="8" w:color="012E6C"/>
            </w:tcBorders>
            <w:vMerge w:val="continue"/>
          </w:tcPr>
          <w:p>
            <w:pPr>
              <w:spacing w:after="0"/>
              <w:rPr>
                <w:sz w:val="7"/>
                <w:szCs w:val="7"/>
                <w:color w:val="auto"/>
              </w:rPr>
            </w:pPr>
          </w:p>
        </w:tc>
        <w:tc>
          <w:tcPr>
            <w:tcW w:w="1920" w:type="dxa"/>
            <w:vAlign w:val="bottom"/>
            <w:tcBorders>
              <w:right w:val="single" w:sz="8" w:color="012E6C"/>
            </w:tcBorders>
            <w:vMerge w:val="restart"/>
          </w:tcPr>
          <w:p>
            <w:pPr>
              <w:ind w:left="80"/>
              <w:spacing w:after="0"/>
              <w:rPr>
                <w:sz w:val="20"/>
                <w:szCs w:val="20"/>
                <w:color w:val="auto"/>
              </w:rPr>
            </w:pPr>
            <w:r>
              <w:rPr>
                <w:rFonts w:ascii="Arial" w:cs="Arial" w:eastAsia="Arial" w:hAnsi="Arial"/>
                <w:sz w:val="14"/>
                <w:szCs w:val="14"/>
                <w:color w:val="auto"/>
              </w:rPr>
              <w:t>performance results for</w:t>
            </w:r>
          </w:p>
        </w:tc>
        <w:tc>
          <w:tcPr>
            <w:tcW w:w="1940" w:type="dxa"/>
            <w:vAlign w:val="bottom"/>
            <w:tcBorders>
              <w:right w:val="single" w:sz="8" w:color="012E6C"/>
            </w:tcBorders>
            <w:vMerge w:val="continue"/>
          </w:tcPr>
          <w:p>
            <w:pPr>
              <w:spacing w:after="0"/>
              <w:rPr>
                <w:sz w:val="7"/>
                <w:szCs w:val="7"/>
                <w:color w:val="auto"/>
              </w:rPr>
            </w:pPr>
          </w:p>
        </w:tc>
        <w:tc>
          <w:tcPr>
            <w:tcW w:w="22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No payment if layoff occurs at</w:t>
            </w:r>
          </w:p>
        </w:tc>
        <w:tc>
          <w:tcPr>
            <w:tcW w:w="2040" w:type="dxa"/>
            <w:vAlign w:val="bottom"/>
            <w:tcBorders>
              <w:right w:val="single" w:sz="8" w:color="012E6C"/>
            </w:tcBorders>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220" w:type="dxa"/>
            <w:vAlign w:val="bottom"/>
            <w:tcBorders>
              <w:right w:val="single" w:sz="8" w:color="012E6C"/>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060" w:type="dxa"/>
            <w:vAlign w:val="bottom"/>
            <w:tcBorders>
              <w:left w:val="single" w:sz="8" w:color="012E6C"/>
              <w:right w:val="single" w:sz="8" w:color="012E6C"/>
            </w:tcBorders>
            <w:vMerge w:val="restart"/>
          </w:tcPr>
          <w:p>
            <w:pPr>
              <w:jc w:val="center"/>
              <w:spacing w:after="0" w:line="131" w:lineRule="exact"/>
              <w:rPr>
                <w:sz w:val="20"/>
                <w:szCs w:val="20"/>
                <w:color w:val="auto"/>
              </w:rPr>
            </w:pPr>
            <w:r>
              <w:rPr>
                <w:rFonts w:ascii="Arial" w:cs="Arial" w:eastAsia="Arial" w:hAnsi="Arial"/>
                <w:sz w:val="12"/>
                <w:szCs w:val="12"/>
                <w:b w:val="1"/>
                <w:bCs w:val="1"/>
                <w:color w:val="002E6D"/>
              </w:rPr>
              <w:t>Bonus</w:t>
            </w:r>
            <w:r>
              <w:rPr>
                <w:rFonts w:ascii="Arial" w:cs="Arial" w:eastAsia="Arial" w:hAnsi="Arial"/>
                <w:sz w:val="15"/>
                <w:szCs w:val="15"/>
                <w:b w:val="1"/>
                <w:bCs w:val="1"/>
                <w:color w:val="002E6D"/>
                <w:vertAlign w:val="superscript"/>
              </w:rPr>
              <w:t>(2)</w:t>
            </w:r>
          </w:p>
        </w:tc>
        <w:tc>
          <w:tcPr>
            <w:tcW w:w="1920" w:type="dxa"/>
            <w:vAlign w:val="bottom"/>
            <w:tcBorders>
              <w:right w:val="single" w:sz="8" w:color="012E6C"/>
            </w:tcBorders>
            <w:vMerge w:val="continue"/>
          </w:tcPr>
          <w:p>
            <w:pPr>
              <w:spacing w:after="0"/>
              <w:rPr>
                <w:sz w:val="7"/>
                <w:szCs w:val="7"/>
                <w:color w:val="auto"/>
              </w:rPr>
            </w:pPr>
          </w:p>
        </w:tc>
        <w:tc>
          <w:tcPr>
            <w:tcW w:w="1940" w:type="dxa"/>
            <w:vAlign w:val="bottom"/>
            <w:tcBorders>
              <w:right w:val="single" w:sz="8" w:color="012E6C"/>
            </w:tcBorders>
          </w:tcPr>
          <w:p>
            <w:pPr>
              <w:spacing w:after="0"/>
              <w:rPr>
                <w:sz w:val="7"/>
                <w:szCs w:val="7"/>
                <w:color w:val="auto"/>
              </w:rPr>
            </w:pPr>
          </w:p>
        </w:tc>
        <w:tc>
          <w:tcPr>
            <w:tcW w:w="2240" w:type="dxa"/>
            <w:vAlign w:val="bottom"/>
            <w:tcBorders>
              <w:right w:val="single" w:sz="8" w:color="012E6C"/>
            </w:tcBorders>
            <w:vMerge w:val="continue"/>
          </w:tcPr>
          <w:p>
            <w:pPr>
              <w:spacing w:after="0"/>
              <w:rPr>
                <w:sz w:val="7"/>
                <w:szCs w:val="7"/>
                <w:color w:val="auto"/>
              </w:rPr>
            </w:pPr>
          </w:p>
        </w:tc>
        <w:tc>
          <w:tcPr>
            <w:tcW w:w="2040" w:type="dxa"/>
            <w:vAlign w:val="bottom"/>
            <w:tcBorders>
              <w:right w:val="single" w:sz="8" w:color="012E6C"/>
            </w:tcBorders>
          </w:tcPr>
          <w:p>
            <w:pPr>
              <w:spacing w:after="0"/>
              <w:rPr>
                <w:sz w:val="7"/>
                <w:szCs w:val="7"/>
                <w:color w:val="auto"/>
              </w:rPr>
            </w:pPr>
          </w:p>
        </w:tc>
        <w:tc>
          <w:tcPr>
            <w:tcW w:w="1840" w:type="dxa"/>
            <w:vAlign w:val="bottom"/>
            <w:vMerge w:val="restart"/>
          </w:tcPr>
          <w:p>
            <w:pPr>
              <w:ind w:left="100"/>
              <w:spacing w:after="0" w:line="131" w:lineRule="exact"/>
              <w:rPr>
                <w:sz w:val="20"/>
                <w:szCs w:val="20"/>
                <w:color w:val="auto"/>
              </w:rPr>
            </w:pPr>
            <w:r>
              <w:rPr>
                <w:rFonts w:ascii="Arial" w:cs="Arial" w:eastAsia="Arial" w:hAnsi="Arial"/>
                <w:sz w:val="14"/>
                <w:szCs w:val="14"/>
                <w:color w:val="auto"/>
              </w:rPr>
              <w:t>during the year.</w:t>
            </w:r>
          </w:p>
        </w:tc>
        <w:tc>
          <w:tcPr>
            <w:tcW w:w="220" w:type="dxa"/>
            <w:vAlign w:val="bottom"/>
            <w:tcBorders>
              <w:right w:val="single" w:sz="8" w:color="012E6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060" w:type="dxa"/>
            <w:vAlign w:val="bottom"/>
            <w:tcBorders>
              <w:left w:val="single" w:sz="8" w:color="012E6C"/>
              <w:right w:val="single" w:sz="8" w:color="012E6C"/>
            </w:tcBorders>
            <w:vMerge w:val="continue"/>
          </w:tcPr>
          <w:p>
            <w:pPr>
              <w:spacing w:after="0"/>
              <w:rPr>
                <w:sz w:val="3"/>
                <w:szCs w:val="3"/>
                <w:color w:val="auto"/>
              </w:rPr>
            </w:pPr>
          </w:p>
        </w:tc>
        <w:tc>
          <w:tcPr>
            <w:tcW w:w="1920" w:type="dxa"/>
            <w:vAlign w:val="bottom"/>
            <w:tcBorders>
              <w:right w:val="single" w:sz="8" w:color="012E6C"/>
            </w:tcBorders>
            <w:vMerge w:val="restart"/>
          </w:tcPr>
          <w:p>
            <w:pPr>
              <w:ind w:left="80"/>
              <w:spacing w:after="0"/>
              <w:rPr>
                <w:sz w:val="20"/>
                <w:szCs w:val="20"/>
                <w:color w:val="auto"/>
              </w:rPr>
            </w:pPr>
            <w:r>
              <w:rPr>
                <w:rFonts w:ascii="Arial" w:cs="Arial" w:eastAsia="Arial" w:hAnsi="Arial"/>
                <w:sz w:val="14"/>
                <w:szCs w:val="14"/>
                <w:color w:val="auto"/>
              </w:rPr>
              <w:t>retirement during the year</w:t>
            </w:r>
          </w:p>
        </w:tc>
        <w:tc>
          <w:tcPr>
            <w:tcW w:w="1940" w:type="dxa"/>
            <w:vAlign w:val="bottom"/>
            <w:tcBorders>
              <w:right w:val="single" w:sz="8" w:color="012E6C"/>
            </w:tcBorders>
          </w:tcPr>
          <w:p>
            <w:pPr>
              <w:spacing w:after="0"/>
              <w:rPr>
                <w:sz w:val="3"/>
                <w:szCs w:val="3"/>
                <w:color w:val="auto"/>
              </w:rPr>
            </w:pPr>
          </w:p>
        </w:tc>
        <w:tc>
          <w:tcPr>
            <w:tcW w:w="2240" w:type="dxa"/>
            <w:vAlign w:val="bottom"/>
            <w:tcBorders>
              <w:right w:val="single" w:sz="8" w:color="012E6C"/>
            </w:tcBorders>
            <w:vMerge w:val="continue"/>
          </w:tcPr>
          <w:p>
            <w:pPr>
              <w:spacing w:after="0"/>
              <w:rPr>
                <w:sz w:val="3"/>
                <w:szCs w:val="3"/>
                <w:color w:val="auto"/>
              </w:rPr>
            </w:pPr>
          </w:p>
        </w:tc>
        <w:tc>
          <w:tcPr>
            <w:tcW w:w="2040" w:type="dxa"/>
            <w:vAlign w:val="bottom"/>
            <w:tcBorders>
              <w:right w:val="single" w:sz="8" w:color="012E6C"/>
            </w:tcBorders>
          </w:tcPr>
          <w:p>
            <w:pPr>
              <w:spacing w:after="0"/>
              <w:rPr>
                <w:sz w:val="3"/>
                <w:szCs w:val="3"/>
                <w:color w:val="auto"/>
              </w:rPr>
            </w:pPr>
          </w:p>
        </w:tc>
        <w:tc>
          <w:tcPr>
            <w:tcW w:w="1840" w:type="dxa"/>
            <w:vAlign w:val="bottom"/>
            <w:vMerge w:val="continue"/>
          </w:tcPr>
          <w:p>
            <w:pPr>
              <w:spacing w:after="0"/>
              <w:rPr>
                <w:sz w:val="3"/>
                <w:szCs w:val="3"/>
                <w:color w:val="auto"/>
              </w:rPr>
            </w:pPr>
          </w:p>
        </w:tc>
        <w:tc>
          <w:tcPr>
            <w:tcW w:w="220" w:type="dxa"/>
            <w:vAlign w:val="bottom"/>
            <w:tcBorders>
              <w:right w:val="single" w:sz="8" w:color="012E6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1060" w:type="dxa"/>
            <w:vAlign w:val="bottom"/>
            <w:tcBorders>
              <w:left w:val="single" w:sz="8" w:color="012E6C"/>
              <w:right w:val="single" w:sz="8" w:color="012E6C"/>
            </w:tcBorders>
          </w:tcPr>
          <w:p>
            <w:pPr>
              <w:spacing w:after="0"/>
              <w:rPr>
                <w:sz w:val="12"/>
                <w:szCs w:val="12"/>
                <w:color w:val="auto"/>
              </w:rPr>
            </w:pPr>
          </w:p>
        </w:tc>
        <w:tc>
          <w:tcPr>
            <w:tcW w:w="1920" w:type="dxa"/>
            <w:vAlign w:val="bottom"/>
            <w:tcBorders>
              <w:right w:val="single" w:sz="8" w:color="012E6C"/>
            </w:tcBorders>
            <w:vMerge w:val="continue"/>
          </w:tcPr>
          <w:p>
            <w:pPr>
              <w:spacing w:after="0"/>
              <w:rPr>
                <w:sz w:val="12"/>
                <w:szCs w:val="12"/>
                <w:color w:val="auto"/>
              </w:rPr>
            </w:pPr>
          </w:p>
        </w:tc>
        <w:tc>
          <w:tcPr>
            <w:tcW w:w="1940" w:type="dxa"/>
            <w:vAlign w:val="bottom"/>
            <w:tcBorders>
              <w:right w:val="single" w:sz="8" w:color="012E6C"/>
            </w:tcBorders>
          </w:tcPr>
          <w:p>
            <w:pPr>
              <w:spacing w:after="0"/>
              <w:rPr>
                <w:sz w:val="12"/>
                <w:szCs w:val="12"/>
                <w:color w:val="auto"/>
              </w:rPr>
            </w:pPr>
          </w:p>
        </w:tc>
        <w:tc>
          <w:tcPr>
            <w:tcW w:w="2240" w:type="dxa"/>
            <w:vAlign w:val="bottom"/>
            <w:tcBorders>
              <w:right w:val="single" w:sz="8" w:color="012E6C"/>
            </w:tcBorders>
          </w:tcPr>
          <w:p>
            <w:pPr>
              <w:ind w:left="100"/>
              <w:spacing w:after="0" w:line="140" w:lineRule="exact"/>
              <w:rPr>
                <w:sz w:val="20"/>
                <w:szCs w:val="20"/>
                <w:color w:val="auto"/>
              </w:rPr>
            </w:pPr>
            <w:r>
              <w:rPr>
                <w:rFonts w:ascii="Arial" w:cs="Arial" w:eastAsia="Arial" w:hAnsi="Arial"/>
                <w:sz w:val="14"/>
                <w:szCs w:val="14"/>
                <w:color w:val="auto"/>
              </w:rPr>
              <w:t>any time during the year,</w:t>
            </w:r>
          </w:p>
        </w:tc>
        <w:tc>
          <w:tcPr>
            <w:tcW w:w="2040" w:type="dxa"/>
            <w:vAlign w:val="bottom"/>
            <w:tcBorders>
              <w:right w:val="single" w:sz="8" w:color="012E6C"/>
            </w:tcBorders>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Borders>
              <w:right w:val="single" w:sz="8" w:color="012E6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ind w:left="80"/>
              <w:spacing w:after="0"/>
              <w:rPr>
                <w:sz w:val="20"/>
                <w:szCs w:val="20"/>
                <w:color w:val="auto"/>
              </w:rPr>
            </w:pPr>
            <w:r>
              <w:rPr>
                <w:rFonts w:ascii="Arial" w:cs="Arial" w:eastAsia="Arial" w:hAnsi="Arial"/>
                <w:sz w:val="14"/>
                <w:szCs w:val="14"/>
                <w:color w:val="auto"/>
              </w:rPr>
              <w:t>with six months of</w:t>
            </w: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including on the last day of the</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60" w:type="dxa"/>
            <w:vAlign w:val="bottom"/>
            <w:tcBorders>
              <w:left w:val="single" w:sz="8" w:color="012E6C"/>
              <w:right w:val="single" w:sz="8" w:color="012E6C"/>
            </w:tcBorders>
          </w:tcPr>
          <w:p>
            <w:pPr>
              <w:spacing w:after="0"/>
              <w:rPr>
                <w:sz w:val="17"/>
                <w:szCs w:val="17"/>
                <w:color w:val="auto"/>
              </w:rPr>
            </w:pPr>
          </w:p>
        </w:tc>
        <w:tc>
          <w:tcPr>
            <w:tcW w:w="1920" w:type="dxa"/>
            <w:vAlign w:val="bottom"/>
            <w:tcBorders>
              <w:right w:val="single" w:sz="8" w:color="012E6C"/>
            </w:tcBorders>
          </w:tcPr>
          <w:p>
            <w:pPr>
              <w:ind w:left="80"/>
              <w:spacing w:after="0"/>
              <w:rPr>
                <w:sz w:val="20"/>
                <w:szCs w:val="20"/>
                <w:color w:val="auto"/>
              </w:rPr>
            </w:pPr>
            <w:r>
              <w:rPr>
                <w:rFonts w:ascii="Arial" w:cs="Arial" w:eastAsia="Arial" w:hAnsi="Arial"/>
                <w:sz w:val="14"/>
                <w:szCs w:val="14"/>
                <w:color w:val="auto"/>
              </w:rPr>
              <w:t>participation in the year.</w:t>
            </w:r>
          </w:p>
        </w:tc>
        <w:tc>
          <w:tcPr>
            <w:tcW w:w="1940" w:type="dxa"/>
            <w:vAlign w:val="bottom"/>
            <w:tcBorders>
              <w:right w:val="single" w:sz="8" w:color="012E6C"/>
            </w:tcBorders>
          </w:tcPr>
          <w:p>
            <w:pPr>
              <w:spacing w:after="0"/>
              <w:rPr>
                <w:sz w:val="17"/>
                <w:szCs w:val="17"/>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year, and payment is made</w:t>
            </w:r>
          </w:p>
        </w:tc>
        <w:tc>
          <w:tcPr>
            <w:tcW w:w="2040" w:type="dxa"/>
            <w:vAlign w:val="bottom"/>
            <w:tcBorders>
              <w:right w:val="single" w:sz="8" w:color="012E6C"/>
            </w:tcBorders>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Borders>
              <w:right w:val="single" w:sz="8" w:color="012E6C"/>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under the Executive Severance</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Plan.</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060" w:type="dxa"/>
            <w:vAlign w:val="bottom"/>
            <w:tcBorders>
              <w:left w:val="single" w:sz="8" w:color="012E6C"/>
              <w:bottom w:val="single" w:sz="8" w:color="012E6C"/>
              <w:right w:val="single" w:sz="8" w:color="012E6C"/>
            </w:tcBorders>
          </w:tcPr>
          <w:p>
            <w:pPr>
              <w:spacing w:after="0"/>
              <w:rPr>
                <w:sz w:val="6"/>
                <w:szCs w:val="6"/>
                <w:color w:val="auto"/>
              </w:rPr>
            </w:pPr>
          </w:p>
        </w:tc>
        <w:tc>
          <w:tcPr>
            <w:tcW w:w="1920" w:type="dxa"/>
            <w:vAlign w:val="bottom"/>
            <w:tcBorders>
              <w:bottom w:val="single" w:sz="8" w:color="012E6C"/>
              <w:right w:val="single" w:sz="8" w:color="012E6C"/>
            </w:tcBorders>
          </w:tcPr>
          <w:p>
            <w:pPr>
              <w:spacing w:after="0"/>
              <w:rPr>
                <w:sz w:val="6"/>
                <w:szCs w:val="6"/>
                <w:color w:val="auto"/>
              </w:rPr>
            </w:pPr>
          </w:p>
        </w:tc>
        <w:tc>
          <w:tcPr>
            <w:tcW w:w="1940" w:type="dxa"/>
            <w:vAlign w:val="bottom"/>
            <w:tcBorders>
              <w:bottom w:val="single" w:sz="8" w:color="012E6C"/>
              <w:right w:val="single" w:sz="8" w:color="012E6C"/>
            </w:tcBorders>
          </w:tcPr>
          <w:p>
            <w:pPr>
              <w:spacing w:after="0"/>
              <w:rPr>
                <w:sz w:val="6"/>
                <w:szCs w:val="6"/>
                <w:color w:val="auto"/>
              </w:rPr>
            </w:pPr>
          </w:p>
        </w:tc>
        <w:tc>
          <w:tcPr>
            <w:tcW w:w="2240" w:type="dxa"/>
            <w:vAlign w:val="bottom"/>
            <w:tcBorders>
              <w:bottom w:val="single" w:sz="8" w:color="012E6C"/>
              <w:right w:val="single" w:sz="8" w:color="012E6C"/>
            </w:tcBorders>
          </w:tcPr>
          <w:p>
            <w:pPr>
              <w:spacing w:after="0"/>
              <w:rPr>
                <w:sz w:val="6"/>
                <w:szCs w:val="6"/>
                <w:color w:val="auto"/>
              </w:rPr>
            </w:pPr>
          </w:p>
        </w:tc>
        <w:tc>
          <w:tcPr>
            <w:tcW w:w="2040" w:type="dxa"/>
            <w:vAlign w:val="bottom"/>
            <w:tcBorders>
              <w:bottom w:val="single" w:sz="8" w:color="012E6C"/>
              <w:right w:val="single" w:sz="8" w:color="012E6C"/>
            </w:tcBorders>
          </w:tcPr>
          <w:p>
            <w:pPr>
              <w:spacing w:after="0"/>
              <w:rPr>
                <w:sz w:val="6"/>
                <w:szCs w:val="6"/>
                <w:color w:val="auto"/>
              </w:rPr>
            </w:pPr>
          </w:p>
        </w:tc>
        <w:tc>
          <w:tcPr>
            <w:tcW w:w="1840" w:type="dxa"/>
            <w:vAlign w:val="bottom"/>
            <w:tcBorders>
              <w:bottom w:val="single" w:sz="8" w:color="012E6C"/>
            </w:tcBorders>
          </w:tcPr>
          <w:p>
            <w:pPr>
              <w:spacing w:after="0"/>
              <w:rPr>
                <w:sz w:val="6"/>
                <w:szCs w:val="6"/>
                <w:color w:val="auto"/>
              </w:rPr>
            </w:pPr>
          </w:p>
        </w:tc>
        <w:tc>
          <w:tcPr>
            <w:tcW w:w="220" w:type="dxa"/>
            <w:vAlign w:val="bottom"/>
            <w:tcBorders>
              <w:bottom w:val="single" w:sz="8" w:color="012E6C"/>
              <w:right w:val="single" w:sz="8" w:color="012E6C"/>
            </w:tcBorders>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1060" w:type="dxa"/>
            <w:vAlign w:val="bottom"/>
            <w:tcBorders>
              <w:left w:val="single" w:sz="8" w:color="012E6C"/>
              <w:right w:val="single" w:sz="8" w:color="012E6C"/>
            </w:tcBorders>
            <w:shd w:val="clear" w:color="auto" w:fill="E5E7EF"/>
          </w:tcPr>
          <w:p>
            <w:pPr>
              <w:spacing w:after="0"/>
              <w:rPr>
                <w:sz w:val="24"/>
                <w:szCs w:val="24"/>
                <w:color w:val="auto"/>
              </w:rPr>
            </w:pPr>
          </w:p>
        </w:tc>
        <w:tc>
          <w:tcPr>
            <w:tcW w:w="1920" w:type="dxa"/>
            <w:vAlign w:val="bottom"/>
            <w:tcBorders>
              <w:right w:val="single" w:sz="8" w:color="012E6C"/>
            </w:tcBorders>
            <w:shd w:val="clear" w:color="auto" w:fill="E5E7EF"/>
          </w:tcPr>
          <w:p>
            <w:pPr>
              <w:spacing w:after="0"/>
              <w:rPr>
                <w:sz w:val="24"/>
                <w:szCs w:val="24"/>
                <w:color w:val="auto"/>
              </w:rPr>
            </w:pPr>
          </w:p>
        </w:tc>
        <w:tc>
          <w:tcPr>
            <w:tcW w:w="1940" w:type="dxa"/>
            <w:vAlign w:val="bottom"/>
            <w:tcBorders>
              <w:right w:val="single" w:sz="8" w:color="012E6C"/>
            </w:tcBorders>
            <w:shd w:val="clear" w:color="auto" w:fill="E5E7EF"/>
          </w:tcPr>
          <w:p>
            <w:pPr>
              <w:spacing w:after="0"/>
              <w:rPr>
                <w:sz w:val="24"/>
                <w:szCs w:val="24"/>
                <w:color w:val="auto"/>
              </w:rPr>
            </w:pPr>
          </w:p>
        </w:tc>
        <w:tc>
          <w:tcPr>
            <w:tcW w:w="2240" w:type="dxa"/>
            <w:vAlign w:val="bottom"/>
            <w:tcBorders>
              <w:right w:val="single" w:sz="8" w:color="012E6C"/>
            </w:tcBorders>
            <w:shd w:val="clear" w:color="auto" w:fill="E5E7EF"/>
          </w:tcPr>
          <w:p>
            <w:pPr>
              <w:spacing w:after="0"/>
              <w:rPr>
                <w:sz w:val="24"/>
                <w:szCs w:val="24"/>
                <w:color w:val="auto"/>
              </w:rPr>
            </w:pPr>
          </w:p>
        </w:tc>
        <w:tc>
          <w:tcPr>
            <w:tcW w:w="2040" w:type="dxa"/>
            <w:vAlign w:val="bottom"/>
            <w:tcBorders>
              <w:right w:val="single" w:sz="8" w:color="012E6C"/>
            </w:tcBorders>
            <w:shd w:val="clear" w:color="auto" w:fill="E5E7EF"/>
          </w:tcPr>
          <w:p>
            <w:pPr>
              <w:ind w:left="80"/>
              <w:spacing w:after="0"/>
              <w:rPr>
                <w:sz w:val="20"/>
                <w:szCs w:val="20"/>
                <w:color w:val="auto"/>
              </w:rPr>
            </w:pPr>
            <w:r>
              <w:rPr>
                <w:rFonts w:ascii="Arial" w:cs="Arial" w:eastAsia="Arial" w:hAnsi="Arial"/>
                <w:sz w:val="14"/>
                <w:szCs w:val="14"/>
                <w:color w:val="auto"/>
              </w:rPr>
              <w:t>Unless assumed by the</w:t>
            </w:r>
          </w:p>
        </w:tc>
        <w:tc>
          <w:tcPr>
            <w:tcW w:w="1840" w:type="dxa"/>
            <w:vAlign w:val="bottom"/>
            <w:shd w:val="clear" w:color="auto" w:fill="E5E7EF"/>
          </w:tcPr>
          <w:p>
            <w:pPr>
              <w:spacing w:after="0"/>
              <w:rPr>
                <w:sz w:val="24"/>
                <w:szCs w:val="24"/>
                <w:color w:val="auto"/>
              </w:rPr>
            </w:pPr>
          </w:p>
        </w:tc>
        <w:tc>
          <w:tcPr>
            <w:tcW w:w="220" w:type="dxa"/>
            <w:vAlign w:val="bottom"/>
            <w:tcBorders>
              <w:right w:val="single" w:sz="8" w:color="012E6C"/>
            </w:tcBorders>
            <w:shd w:val="clear" w:color="auto" w:fill="E5E7E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shd w:val="clear" w:color="auto" w:fill="E5E7EF"/>
          </w:tcPr>
          <w:p>
            <w:pPr>
              <w:spacing w:after="0"/>
              <w:rPr>
                <w:sz w:val="15"/>
                <w:szCs w:val="15"/>
                <w:color w:val="auto"/>
              </w:rPr>
            </w:pPr>
          </w:p>
        </w:tc>
        <w:tc>
          <w:tcPr>
            <w:tcW w:w="1920" w:type="dxa"/>
            <w:vAlign w:val="bottom"/>
            <w:tcBorders>
              <w:right w:val="single" w:sz="8" w:color="012E6C"/>
            </w:tcBorders>
            <w:shd w:val="clear" w:color="auto" w:fill="E5E7EF"/>
          </w:tcPr>
          <w:p>
            <w:pPr>
              <w:spacing w:after="0"/>
              <w:rPr>
                <w:sz w:val="15"/>
                <w:szCs w:val="15"/>
                <w:color w:val="auto"/>
              </w:rPr>
            </w:pPr>
          </w:p>
        </w:tc>
        <w:tc>
          <w:tcPr>
            <w:tcW w:w="1940" w:type="dxa"/>
            <w:vAlign w:val="bottom"/>
            <w:tcBorders>
              <w:right w:val="single" w:sz="8" w:color="012E6C"/>
            </w:tcBorders>
            <w:shd w:val="clear" w:color="auto" w:fill="E5E7EF"/>
          </w:tcPr>
          <w:p>
            <w:pPr>
              <w:spacing w:after="0"/>
              <w:rPr>
                <w:sz w:val="15"/>
                <w:szCs w:val="15"/>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Continued vesting of RSUs and</w:t>
            </w:r>
          </w:p>
        </w:tc>
        <w:tc>
          <w:tcPr>
            <w:tcW w:w="2040" w:type="dxa"/>
            <w:vAlign w:val="bottom"/>
            <w:tcBorders>
              <w:right w:val="single" w:sz="8" w:color="012E6C"/>
            </w:tcBorders>
            <w:shd w:val="clear" w:color="auto" w:fill="E5E7EF"/>
          </w:tcPr>
          <w:p>
            <w:pPr>
              <w:ind w:left="80"/>
              <w:spacing w:after="0"/>
              <w:rPr>
                <w:sz w:val="20"/>
                <w:szCs w:val="20"/>
                <w:color w:val="auto"/>
              </w:rPr>
            </w:pPr>
            <w:r>
              <w:rPr>
                <w:rFonts w:ascii="Arial" w:cs="Arial" w:eastAsia="Arial" w:hAnsi="Arial"/>
                <w:sz w:val="14"/>
                <w:szCs w:val="14"/>
                <w:color w:val="auto"/>
              </w:rPr>
              <w:t>successor, RSUs and</w:t>
            </w:r>
          </w:p>
        </w:tc>
        <w:tc>
          <w:tcPr>
            <w:tcW w:w="1840" w:type="dxa"/>
            <w:vAlign w:val="bottom"/>
            <w:shd w:val="clear" w:color="auto" w:fill="E5E7EF"/>
          </w:tcPr>
          <w:p>
            <w:pPr>
              <w:spacing w:after="0"/>
              <w:rPr>
                <w:sz w:val="15"/>
                <w:szCs w:val="15"/>
                <w:color w:val="auto"/>
              </w:rPr>
            </w:pPr>
          </w:p>
        </w:tc>
        <w:tc>
          <w:tcPr>
            <w:tcW w:w="220" w:type="dxa"/>
            <w:vAlign w:val="bottom"/>
            <w:tcBorders>
              <w:right w:val="single" w:sz="8" w:color="012E6C"/>
            </w:tcBorders>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continue"/>
            <w:shd w:val="clear" w:color="auto" w:fill="E5E7EF"/>
          </w:tcPr>
          <w:p>
            <w:pPr>
              <w:spacing w:after="0"/>
              <w:rPr>
                <w:sz w:val="7"/>
                <w:szCs w:val="7"/>
                <w:color w:val="auto"/>
              </w:rPr>
            </w:pP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dividend equivalents will</w:t>
            </w:r>
          </w:p>
        </w:tc>
        <w:tc>
          <w:tcPr>
            <w:tcW w:w="1840" w:type="dxa"/>
            <w:vAlign w:val="bottom"/>
            <w:shd w:val="clear" w:color="auto" w:fill="E5E7EF"/>
          </w:tcPr>
          <w:p>
            <w:pPr>
              <w:spacing w:after="0"/>
              <w:rPr>
                <w:sz w:val="7"/>
                <w:szCs w:val="7"/>
                <w:color w:val="auto"/>
              </w:rPr>
            </w:pPr>
          </w:p>
        </w:tc>
        <w:tc>
          <w:tcPr>
            <w:tcW w:w="2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dividend equivalents after</w:t>
            </w:r>
          </w:p>
        </w:tc>
        <w:tc>
          <w:tcPr>
            <w:tcW w:w="2040" w:type="dxa"/>
            <w:vAlign w:val="bottom"/>
            <w:tcBorders>
              <w:right w:val="single" w:sz="8" w:color="012E6C"/>
            </w:tcBorders>
            <w:vMerge w:val="continue"/>
            <w:shd w:val="clear" w:color="auto" w:fill="E5E7EF"/>
          </w:tcPr>
          <w:p>
            <w:pPr>
              <w:spacing w:after="0"/>
              <w:rPr>
                <w:sz w:val="8"/>
                <w:szCs w:val="8"/>
                <w:color w:val="auto"/>
              </w:rPr>
            </w:pPr>
          </w:p>
        </w:tc>
        <w:tc>
          <w:tcPr>
            <w:tcW w:w="1840" w:type="dxa"/>
            <w:vAlign w:val="bottom"/>
            <w:shd w:val="clear" w:color="auto" w:fill="E5E7EF"/>
          </w:tcPr>
          <w:p>
            <w:pPr>
              <w:spacing w:after="0"/>
              <w:rPr>
                <w:sz w:val="8"/>
                <w:szCs w:val="8"/>
                <w:color w:val="auto"/>
              </w:rPr>
            </w:pPr>
          </w:p>
        </w:tc>
        <w:tc>
          <w:tcPr>
            <w:tcW w:w="2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Continued vesting of</w:t>
            </w: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continue"/>
            <w:shd w:val="clear" w:color="auto" w:fill="E5E7EF"/>
          </w:tcPr>
          <w:p>
            <w:pPr>
              <w:spacing w:after="0"/>
              <w:rPr>
                <w:sz w:val="7"/>
                <w:szCs w:val="7"/>
                <w:color w:val="auto"/>
              </w:rPr>
            </w:pP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vest on a pro rata basis</w:t>
            </w:r>
          </w:p>
        </w:tc>
        <w:tc>
          <w:tcPr>
            <w:tcW w:w="1840" w:type="dxa"/>
            <w:vAlign w:val="bottom"/>
            <w:shd w:val="clear" w:color="auto" w:fill="E5E7EF"/>
          </w:tcPr>
          <w:p>
            <w:pPr>
              <w:spacing w:after="0"/>
              <w:rPr>
                <w:sz w:val="7"/>
                <w:szCs w:val="7"/>
                <w:color w:val="auto"/>
              </w:rPr>
            </w:pPr>
          </w:p>
        </w:tc>
        <w:tc>
          <w:tcPr>
            <w:tcW w:w="2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layoff, subject to six-month</w:t>
            </w:r>
          </w:p>
        </w:tc>
        <w:tc>
          <w:tcPr>
            <w:tcW w:w="2040" w:type="dxa"/>
            <w:vAlign w:val="bottom"/>
            <w:tcBorders>
              <w:right w:val="single" w:sz="8" w:color="012E6C"/>
            </w:tcBorders>
            <w:vMerge w:val="continue"/>
            <w:shd w:val="clear" w:color="auto" w:fill="E5E7EF"/>
          </w:tcPr>
          <w:p>
            <w:pPr>
              <w:spacing w:after="0"/>
              <w:rPr>
                <w:sz w:val="8"/>
                <w:szCs w:val="8"/>
                <w:color w:val="auto"/>
              </w:rPr>
            </w:pPr>
          </w:p>
        </w:tc>
        <w:tc>
          <w:tcPr>
            <w:tcW w:w="1840" w:type="dxa"/>
            <w:vAlign w:val="bottom"/>
            <w:shd w:val="clear" w:color="auto" w:fill="E5E7EF"/>
          </w:tcPr>
          <w:p>
            <w:pPr>
              <w:spacing w:after="0"/>
              <w:rPr>
                <w:sz w:val="8"/>
                <w:szCs w:val="8"/>
                <w:color w:val="auto"/>
              </w:rPr>
            </w:pPr>
          </w:p>
        </w:tc>
        <w:tc>
          <w:tcPr>
            <w:tcW w:w="2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RSUs and dividend</w:t>
            </w: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continue"/>
            <w:shd w:val="clear" w:color="auto" w:fill="E5E7EF"/>
          </w:tcPr>
          <w:p>
            <w:pPr>
              <w:spacing w:after="0"/>
              <w:rPr>
                <w:sz w:val="7"/>
                <w:szCs w:val="7"/>
                <w:color w:val="auto"/>
              </w:rPr>
            </w:pP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based on the days into the</w:t>
            </w:r>
          </w:p>
        </w:tc>
        <w:tc>
          <w:tcPr>
            <w:tcW w:w="1840" w:type="dxa"/>
            <w:vAlign w:val="bottom"/>
            <w:shd w:val="clear" w:color="auto" w:fill="E5E7EF"/>
          </w:tcPr>
          <w:p>
            <w:pPr>
              <w:spacing w:after="0"/>
              <w:rPr>
                <w:sz w:val="7"/>
                <w:szCs w:val="7"/>
                <w:color w:val="auto"/>
              </w:rPr>
            </w:pPr>
          </w:p>
        </w:tc>
        <w:tc>
          <w:tcPr>
            <w:tcW w:w="2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vMerge w:val="restart"/>
            <w:shd w:val="clear" w:color="auto" w:fill="E5E7EF"/>
          </w:tcPr>
          <w:p>
            <w:pPr>
              <w:jc w:val="center"/>
              <w:spacing w:after="0"/>
              <w:rPr>
                <w:sz w:val="20"/>
                <w:szCs w:val="20"/>
                <w:color w:val="auto"/>
              </w:rPr>
            </w:pPr>
            <w:r>
              <w:rPr>
                <w:rFonts w:ascii="Arial" w:cs="Arial" w:eastAsia="Arial" w:hAnsi="Arial"/>
                <w:sz w:val="15"/>
                <w:szCs w:val="15"/>
                <w:b w:val="1"/>
                <w:bCs w:val="1"/>
                <w:color w:val="002E6D"/>
                <w:w w:val="97"/>
              </w:rPr>
              <w:t>RSUs</w:t>
            </w:r>
            <w:r>
              <w:rPr>
                <w:rFonts w:ascii="Arial" w:cs="Arial" w:eastAsia="Arial" w:hAnsi="Arial"/>
                <w:sz w:val="19"/>
                <w:szCs w:val="19"/>
                <w:b w:val="1"/>
                <w:bCs w:val="1"/>
                <w:color w:val="002E6D"/>
                <w:w w:val="97"/>
                <w:vertAlign w:val="superscript"/>
              </w:rPr>
              <w:t>(3)</w:t>
            </w: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Immediate vesting of</w:t>
            </w: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minimum service from date of</w:t>
            </w:r>
          </w:p>
        </w:tc>
        <w:tc>
          <w:tcPr>
            <w:tcW w:w="2040" w:type="dxa"/>
            <w:vAlign w:val="bottom"/>
            <w:tcBorders>
              <w:right w:val="single" w:sz="8" w:color="012E6C"/>
            </w:tcBorders>
            <w:vMerge w:val="continue"/>
            <w:shd w:val="clear" w:color="auto" w:fill="E5E7EF"/>
          </w:tcPr>
          <w:p>
            <w:pPr>
              <w:spacing w:after="0"/>
              <w:rPr>
                <w:sz w:val="8"/>
                <w:szCs w:val="8"/>
                <w:color w:val="auto"/>
              </w:rPr>
            </w:pPr>
          </w:p>
        </w:tc>
        <w:tc>
          <w:tcPr>
            <w:tcW w:w="1840" w:type="dxa"/>
            <w:vAlign w:val="bottom"/>
            <w:vMerge w:val="restart"/>
            <w:shd w:val="clear" w:color="auto" w:fill="E5E7EF"/>
          </w:tcPr>
          <w:p>
            <w:pPr>
              <w:ind w:left="100"/>
              <w:spacing w:after="0"/>
              <w:rPr>
                <w:sz w:val="20"/>
                <w:szCs w:val="20"/>
                <w:color w:val="auto"/>
              </w:rPr>
            </w:pPr>
            <w:r>
              <w:rPr>
                <w:rFonts w:ascii="Arial" w:cs="Arial" w:eastAsia="Arial" w:hAnsi="Arial"/>
                <w:sz w:val="14"/>
                <w:szCs w:val="14"/>
                <w:color w:val="auto"/>
              </w:rPr>
              <w:t>Forfeit unvested RSUs,</w:t>
            </w:r>
          </w:p>
        </w:tc>
        <w:tc>
          <w:tcPr>
            <w:tcW w:w="2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vMerge w:val="continue"/>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line="139" w:lineRule="exact"/>
              <w:rPr>
                <w:sz w:val="20"/>
                <w:szCs w:val="20"/>
                <w:color w:val="auto"/>
              </w:rPr>
            </w:pPr>
            <w:r>
              <w:rPr>
                <w:rFonts w:ascii="Arial" w:cs="Arial" w:eastAsia="Arial" w:hAnsi="Arial"/>
                <w:sz w:val="14"/>
                <w:szCs w:val="14"/>
                <w:color w:val="auto"/>
              </w:rPr>
              <w:t>equivalents subject to six-</w:t>
            </w: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2240" w:type="dxa"/>
            <w:vAlign w:val="bottom"/>
            <w:tcBorders>
              <w:right w:val="single" w:sz="8" w:color="012E6C"/>
            </w:tcBorders>
            <w:vMerge w:val="continue"/>
            <w:shd w:val="clear" w:color="auto" w:fill="E5E7EF"/>
          </w:tcPr>
          <w:p>
            <w:pPr>
              <w:spacing w:after="0"/>
              <w:rPr>
                <w:sz w:val="7"/>
                <w:szCs w:val="7"/>
                <w:color w:val="auto"/>
              </w:rPr>
            </w:pPr>
          </w:p>
        </w:tc>
        <w:tc>
          <w:tcPr>
            <w:tcW w:w="2040" w:type="dxa"/>
            <w:vAlign w:val="bottom"/>
            <w:tcBorders>
              <w:right w:val="single" w:sz="8" w:color="012E6C"/>
            </w:tcBorders>
            <w:vMerge w:val="restart"/>
            <w:shd w:val="clear" w:color="auto" w:fill="E5E7EF"/>
          </w:tcPr>
          <w:p>
            <w:pPr>
              <w:ind w:left="80"/>
              <w:spacing w:after="0" w:line="139" w:lineRule="exact"/>
              <w:rPr>
                <w:sz w:val="20"/>
                <w:szCs w:val="20"/>
                <w:color w:val="auto"/>
              </w:rPr>
            </w:pPr>
            <w:r>
              <w:rPr>
                <w:rFonts w:ascii="Arial" w:cs="Arial" w:eastAsia="Arial" w:hAnsi="Arial"/>
                <w:sz w:val="14"/>
                <w:szCs w:val="14"/>
                <w:color w:val="auto"/>
              </w:rPr>
              <w:t>vesting period at closing</w:t>
            </w:r>
          </w:p>
        </w:tc>
        <w:tc>
          <w:tcPr>
            <w:tcW w:w="1840" w:type="dxa"/>
            <w:vAlign w:val="bottom"/>
            <w:vMerge w:val="continue"/>
            <w:shd w:val="clear" w:color="auto" w:fill="E5E7EF"/>
          </w:tcPr>
          <w:p>
            <w:pPr>
              <w:spacing w:after="0"/>
              <w:rPr>
                <w:sz w:val="7"/>
                <w:szCs w:val="7"/>
                <w:color w:val="auto"/>
              </w:rPr>
            </w:pPr>
          </w:p>
        </w:tc>
        <w:tc>
          <w:tcPr>
            <w:tcW w:w="2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060" w:type="dxa"/>
            <w:vAlign w:val="bottom"/>
            <w:tcBorders>
              <w:left w:val="single" w:sz="8" w:color="012E6C"/>
              <w:right w:val="single" w:sz="8" w:color="012E6C"/>
            </w:tcBorders>
            <w:vMerge w:val="continue"/>
            <w:shd w:val="clear" w:color="auto" w:fill="E5E7EF"/>
          </w:tcPr>
          <w:p>
            <w:pPr>
              <w:spacing w:after="0"/>
              <w:rPr>
                <w:sz w:val="4"/>
                <w:szCs w:val="4"/>
                <w:color w:val="auto"/>
              </w:rPr>
            </w:pPr>
          </w:p>
        </w:tc>
        <w:tc>
          <w:tcPr>
            <w:tcW w:w="1920" w:type="dxa"/>
            <w:vAlign w:val="bottom"/>
            <w:tcBorders>
              <w:right w:val="single" w:sz="8" w:color="012E6C"/>
            </w:tcBorders>
            <w:vMerge w:val="continue"/>
            <w:shd w:val="clear" w:color="auto" w:fill="E5E7EF"/>
          </w:tcPr>
          <w:p>
            <w:pPr>
              <w:spacing w:after="0"/>
              <w:rPr>
                <w:sz w:val="4"/>
                <w:szCs w:val="4"/>
                <w:color w:val="auto"/>
              </w:rPr>
            </w:pPr>
          </w:p>
        </w:tc>
        <w:tc>
          <w:tcPr>
            <w:tcW w:w="1940" w:type="dxa"/>
            <w:vAlign w:val="bottom"/>
            <w:tcBorders>
              <w:right w:val="single" w:sz="8" w:color="012E6C"/>
            </w:tcBorders>
            <w:vMerge w:val="continue"/>
            <w:shd w:val="clear" w:color="auto" w:fill="E5E7EF"/>
          </w:tcPr>
          <w:p>
            <w:pPr>
              <w:spacing w:after="0"/>
              <w:rPr>
                <w:sz w:val="4"/>
                <w:szCs w:val="4"/>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grant and, for the 2020-22</w:t>
            </w:r>
          </w:p>
        </w:tc>
        <w:tc>
          <w:tcPr>
            <w:tcW w:w="2040" w:type="dxa"/>
            <w:vAlign w:val="bottom"/>
            <w:tcBorders>
              <w:right w:val="single" w:sz="8" w:color="012E6C"/>
            </w:tcBorders>
            <w:vMerge w:val="continue"/>
            <w:shd w:val="clear" w:color="auto" w:fill="E5E7EF"/>
          </w:tcPr>
          <w:p>
            <w:pPr>
              <w:spacing w:after="0"/>
              <w:rPr>
                <w:sz w:val="4"/>
                <w:szCs w:val="4"/>
                <w:color w:val="auto"/>
              </w:rPr>
            </w:pPr>
          </w:p>
        </w:tc>
        <w:tc>
          <w:tcPr>
            <w:tcW w:w="1840" w:type="dxa"/>
            <w:vAlign w:val="bottom"/>
            <w:vMerge w:val="continue"/>
            <w:shd w:val="clear" w:color="auto" w:fill="E5E7EF"/>
          </w:tcPr>
          <w:p>
            <w:pPr>
              <w:spacing w:after="0"/>
              <w:rPr>
                <w:sz w:val="4"/>
                <w:szCs w:val="4"/>
                <w:color w:val="auto"/>
              </w:rPr>
            </w:pPr>
          </w:p>
        </w:tc>
        <w:tc>
          <w:tcPr>
            <w:tcW w:w="220" w:type="dxa"/>
            <w:vAlign w:val="bottom"/>
            <w:tcBorders>
              <w:right w:val="single" w:sz="8" w:color="012E6C"/>
            </w:tcBorders>
            <w:shd w:val="clear" w:color="auto" w:fill="E5E7EF"/>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060" w:type="dxa"/>
            <w:vAlign w:val="bottom"/>
            <w:tcBorders>
              <w:left w:val="single" w:sz="8" w:color="012E6C"/>
              <w:right w:val="single" w:sz="8" w:color="012E6C"/>
            </w:tcBorders>
            <w:shd w:val="clear" w:color="auto" w:fill="E5E7EF"/>
          </w:tcPr>
          <w:p>
            <w:pPr>
              <w:spacing w:after="0"/>
              <w:rPr>
                <w:sz w:val="10"/>
                <w:szCs w:val="10"/>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month minimum service</w:t>
            </w: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RSUs, PSUs at Target,</w:t>
            </w:r>
          </w:p>
        </w:tc>
        <w:tc>
          <w:tcPr>
            <w:tcW w:w="2240" w:type="dxa"/>
            <w:vAlign w:val="bottom"/>
            <w:tcBorders>
              <w:right w:val="single" w:sz="8" w:color="012E6C"/>
            </w:tcBorders>
            <w:vMerge w:val="continue"/>
            <w:shd w:val="clear" w:color="auto" w:fill="E5E7EF"/>
          </w:tcPr>
          <w:p>
            <w:pPr>
              <w:spacing w:after="0"/>
              <w:rPr>
                <w:sz w:val="10"/>
                <w:szCs w:val="10"/>
                <w:color w:val="auto"/>
              </w:rPr>
            </w:pP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unless the employee is</w:t>
            </w:r>
          </w:p>
        </w:tc>
        <w:tc>
          <w:tcPr>
            <w:tcW w:w="2060" w:type="dxa"/>
            <w:vAlign w:val="bottom"/>
            <w:tcBorders>
              <w:right w:val="single" w:sz="8" w:color="012E6C"/>
            </w:tcBorders>
            <w:gridSpan w:val="2"/>
            <w:vMerge w:val="restart"/>
            <w:shd w:val="clear" w:color="auto" w:fill="E5E7EF"/>
          </w:tcPr>
          <w:p>
            <w:pPr>
              <w:ind w:left="100"/>
              <w:spacing w:after="0"/>
              <w:rPr>
                <w:sz w:val="20"/>
                <w:szCs w:val="20"/>
                <w:color w:val="auto"/>
              </w:rPr>
            </w:pPr>
            <w:r>
              <w:rPr>
                <w:rFonts w:ascii="Arial" w:cs="Arial" w:eastAsia="Arial" w:hAnsi="Arial"/>
                <w:sz w:val="14"/>
                <w:szCs w:val="14"/>
                <w:color w:val="auto"/>
              </w:rPr>
              <w:t>PSUs and LTIP and dividend</w:t>
            </w:r>
          </w:p>
        </w:tc>
        <w:tc>
          <w:tcPr>
            <w:tcW w:w="0" w:type="dxa"/>
            <w:vAlign w:val="bottom"/>
          </w:tcPr>
          <w:p>
            <w:pPr>
              <w:spacing w:after="0"/>
              <w:rPr>
                <w:sz w:val="1"/>
                <w:szCs w:val="1"/>
                <w:color w:val="auto"/>
              </w:rPr>
            </w:pPr>
          </w:p>
        </w:tc>
      </w:tr>
      <w:tr>
        <w:trPr>
          <w:trHeight w:val="57"/>
        </w:trPr>
        <w:tc>
          <w:tcPr>
            <w:tcW w:w="1060" w:type="dxa"/>
            <w:vAlign w:val="bottom"/>
            <w:tcBorders>
              <w:left w:val="single" w:sz="8" w:color="012E6C"/>
              <w:right w:val="single" w:sz="8" w:color="012E6C"/>
            </w:tcBorders>
            <w:shd w:val="clear" w:color="auto" w:fill="E5E7EF"/>
          </w:tcPr>
          <w:p>
            <w:pPr>
              <w:spacing w:after="0"/>
              <w:rPr>
                <w:sz w:val="4"/>
                <w:szCs w:val="4"/>
                <w:color w:val="auto"/>
              </w:rPr>
            </w:pPr>
          </w:p>
        </w:tc>
        <w:tc>
          <w:tcPr>
            <w:tcW w:w="1920" w:type="dxa"/>
            <w:vAlign w:val="bottom"/>
            <w:tcBorders>
              <w:right w:val="single" w:sz="8" w:color="012E6C"/>
            </w:tcBorders>
            <w:vMerge w:val="continue"/>
            <w:shd w:val="clear" w:color="auto" w:fill="E5E7EF"/>
          </w:tcPr>
          <w:p>
            <w:pPr>
              <w:spacing w:after="0"/>
              <w:rPr>
                <w:sz w:val="4"/>
                <w:szCs w:val="4"/>
                <w:color w:val="auto"/>
              </w:rPr>
            </w:pPr>
          </w:p>
        </w:tc>
        <w:tc>
          <w:tcPr>
            <w:tcW w:w="1940" w:type="dxa"/>
            <w:vAlign w:val="bottom"/>
            <w:tcBorders>
              <w:right w:val="single" w:sz="8" w:color="012E6C"/>
            </w:tcBorders>
            <w:vMerge w:val="continue"/>
            <w:shd w:val="clear" w:color="auto" w:fill="E5E7EF"/>
          </w:tcPr>
          <w:p>
            <w:pPr>
              <w:spacing w:after="0"/>
              <w:rPr>
                <w:sz w:val="4"/>
                <w:szCs w:val="4"/>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awards, execution of a release</w:t>
            </w:r>
          </w:p>
        </w:tc>
        <w:tc>
          <w:tcPr>
            <w:tcW w:w="2040" w:type="dxa"/>
            <w:vAlign w:val="bottom"/>
            <w:tcBorders>
              <w:right w:val="single" w:sz="8" w:color="012E6C"/>
            </w:tcBorders>
            <w:vMerge w:val="continue"/>
            <w:shd w:val="clear" w:color="auto" w:fill="E5E7EF"/>
          </w:tcPr>
          <w:p>
            <w:pPr>
              <w:spacing w:after="0"/>
              <w:rPr>
                <w:sz w:val="4"/>
                <w:szCs w:val="4"/>
                <w:color w:val="auto"/>
              </w:rPr>
            </w:pPr>
          </w:p>
        </w:tc>
        <w:tc>
          <w:tcPr>
            <w:tcW w:w="2060" w:type="dxa"/>
            <w:vAlign w:val="bottom"/>
            <w:tcBorders>
              <w:right w:val="single" w:sz="8" w:color="012E6C"/>
            </w:tcBorders>
            <w:gridSpan w:val="2"/>
            <w:vMerge w:val="continue"/>
            <w:shd w:val="clear" w:color="auto" w:fill="E5E7EF"/>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060" w:type="dxa"/>
            <w:vAlign w:val="bottom"/>
            <w:tcBorders>
              <w:left w:val="single" w:sz="8" w:color="012E6C"/>
              <w:right w:val="single" w:sz="8" w:color="012E6C"/>
            </w:tcBorders>
            <w:shd w:val="clear" w:color="auto" w:fill="E5E7EF"/>
          </w:tcPr>
          <w:p>
            <w:pPr>
              <w:spacing w:after="0"/>
              <w:rPr>
                <w:sz w:val="9"/>
                <w:szCs w:val="9"/>
                <w:color w:val="auto"/>
              </w:rPr>
            </w:pPr>
          </w:p>
        </w:tc>
        <w:tc>
          <w:tcPr>
            <w:tcW w:w="1920" w:type="dxa"/>
            <w:vAlign w:val="bottom"/>
            <w:tcBorders>
              <w:right w:val="single" w:sz="8" w:color="012E6C"/>
            </w:tcBorders>
            <w:vMerge w:val="restart"/>
            <w:shd w:val="clear" w:color="auto" w:fill="E5E7EF"/>
          </w:tcPr>
          <w:p>
            <w:pPr>
              <w:ind w:left="1260"/>
              <w:spacing w:after="0"/>
              <w:rPr>
                <w:sz w:val="20"/>
                <w:szCs w:val="20"/>
                <w:color w:val="auto"/>
              </w:rPr>
            </w:pPr>
            <w:r>
              <w:rPr>
                <w:rFonts w:ascii="Arial" w:cs="Arial" w:eastAsia="Arial" w:hAnsi="Arial"/>
                <w:sz w:val="9"/>
                <w:szCs w:val="9"/>
                <w:color w:val="auto"/>
              </w:rPr>
              <w:t>(3)</w:t>
            </w:r>
          </w:p>
        </w:tc>
        <w:tc>
          <w:tcPr>
            <w:tcW w:w="1940" w:type="dxa"/>
            <w:vAlign w:val="bottom"/>
            <w:tcBorders>
              <w:right w:val="single" w:sz="8" w:color="012E6C"/>
            </w:tcBorders>
            <w:vMerge w:val="restart"/>
            <w:shd w:val="clear" w:color="auto" w:fill="E5E7EF"/>
          </w:tcPr>
          <w:p>
            <w:pPr>
              <w:ind w:left="100"/>
              <w:spacing w:after="0" w:line="157" w:lineRule="exact"/>
              <w:rPr>
                <w:sz w:val="20"/>
                <w:szCs w:val="20"/>
                <w:color w:val="auto"/>
              </w:rPr>
            </w:pPr>
            <w:r>
              <w:rPr>
                <w:rFonts w:ascii="Arial" w:cs="Arial" w:eastAsia="Arial" w:hAnsi="Arial"/>
                <w:sz w:val="14"/>
                <w:szCs w:val="14"/>
                <w:color w:val="auto"/>
              </w:rPr>
              <w:t>LTIP at Target and</w:t>
            </w:r>
          </w:p>
        </w:tc>
        <w:tc>
          <w:tcPr>
            <w:tcW w:w="2240" w:type="dxa"/>
            <w:vAlign w:val="bottom"/>
            <w:tcBorders>
              <w:right w:val="single" w:sz="8" w:color="012E6C"/>
            </w:tcBorders>
            <w:vMerge w:val="continue"/>
            <w:shd w:val="clear" w:color="auto" w:fill="E5E7EF"/>
          </w:tcPr>
          <w:p>
            <w:pPr>
              <w:spacing w:after="0"/>
              <w:rPr>
                <w:sz w:val="9"/>
                <w:szCs w:val="9"/>
                <w:color w:val="auto"/>
              </w:rPr>
            </w:pP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retirement-eligible in which</w:t>
            </w:r>
          </w:p>
        </w:tc>
        <w:tc>
          <w:tcPr>
            <w:tcW w:w="1840" w:type="dxa"/>
            <w:vAlign w:val="bottom"/>
            <w:vMerge w:val="restart"/>
            <w:shd w:val="clear" w:color="auto" w:fill="E5E7EF"/>
          </w:tcPr>
          <w:p>
            <w:pPr>
              <w:ind w:left="100"/>
              <w:spacing w:after="0" w:line="157" w:lineRule="exact"/>
              <w:rPr>
                <w:sz w:val="20"/>
                <w:szCs w:val="20"/>
                <w:color w:val="auto"/>
              </w:rPr>
            </w:pPr>
            <w:r>
              <w:rPr>
                <w:rFonts w:ascii="Arial" w:cs="Arial" w:eastAsia="Arial" w:hAnsi="Arial"/>
                <w:sz w:val="14"/>
                <w:szCs w:val="14"/>
                <w:color w:val="auto"/>
              </w:rPr>
              <w:t>equivalents on RSUs and</w:t>
            </w:r>
          </w:p>
        </w:tc>
        <w:tc>
          <w:tcPr>
            <w:tcW w:w="220" w:type="dxa"/>
            <w:vAlign w:val="bottom"/>
            <w:tcBorders>
              <w:right w:val="single" w:sz="8" w:color="012E6C"/>
            </w:tcBorders>
            <w:shd w:val="clear" w:color="auto" w:fill="E5E7EF"/>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060" w:type="dxa"/>
            <w:vAlign w:val="bottom"/>
            <w:tcBorders>
              <w:left w:val="single" w:sz="8" w:color="012E6C"/>
              <w:right w:val="single" w:sz="8" w:color="012E6C"/>
            </w:tcBorders>
            <w:shd w:val="clear" w:color="auto" w:fill="E5E7EF"/>
          </w:tcPr>
          <w:p>
            <w:pPr>
              <w:spacing w:after="0"/>
              <w:rPr>
                <w:sz w:val="3"/>
                <w:szCs w:val="3"/>
                <w:color w:val="auto"/>
              </w:rPr>
            </w:pPr>
          </w:p>
        </w:tc>
        <w:tc>
          <w:tcPr>
            <w:tcW w:w="1920" w:type="dxa"/>
            <w:vAlign w:val="bottom"/>
            <w:tcBorders>
              <w:right w:val="single" w:sz="8" w:color="012E6C"/>
            </w:tcBorders>
            <w:vMerge w:val="continue"/>
            <w:shd w:val="clear" w:color="auto" w:fill="E5E7EF"/>
          </w:tcPr>
          <w:p>
            <w:pPr>
              <w:spacing w:after="0"/>
              <w:rPr>
                <w:sz w:val="3"/>
                <w:szCs w:val="3"/>
                <w:color w:val="auto"/>
              </w:rPr>
            </w:pPr>
          </w:p>
        </w:tc>
        <w:tc>
          <w:tcPr>
            <w:tcW w:w="1940" w:type="dxa"/>
            <w:vAlign w:val="bottom"/>
            <w:tcBorders>
              <w:right w:val="single" w:sz="8" w:color="012E6C"/>
            </w:tcBorders>
            <w:vMerge w:val="continue"/>
            <w:shd w:val="clear" w:color="auto" w:fill="E5E7EF"/>
          </w:tcPr>
          <w:p>
            <w:pPr>
              <w:spacing w:after="0"/>
              <w:rPr>
                <w:sz w:val="3"/>
                <w:szCs w:val="3"/>
                <w:color w:val="auto"/>
              </w:rPr>
            </w:pPr>
          </w:p>
        </w:tc>
        <w:tc>
          <w:tcPr>
            <w:tcW w:w="2240" w:type="dxa"/>
            <w:vAlign w:val="bottom"/>
            <w:tcBorders>
              <w:right w:val="single" w:sz="8" w:color="012E6C"/>
            </w:tcBorders>
            <w:vMerge w:val="restart"/>
            <w:shd w:val="clear" w:color="auto" w:fill="E5E7EF"/>
          </w:tcPr>
          <w:p>
            <w:pPr>
              <w:ind w:left="100"/>
              <w:spacing w:after="0" w:line="138" w:lineRule="exact"/>
              <w:rPr>
                <w:sz w:val="20"/>
                <w:szCs w:val="20"/>
                <w:color w:val="auto"/>
              </w:rPr>
            </w:pPr>
            <w:r>
              <w:rPr>
                <w:rFonts w:ascii="Arial" w:cs="Arial" w:eastAsia="Arial" w:hAnsi="Arial"/>
                <w:sz w:val="13"/>
                <w:szCs w:val="13"/>
                <w:color w:val="auto"/>
              </w:rPr>
              <w:t>of claims.</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Immediate vesting</w:t>
            </w:r>
          </w:p>
        </w:tc>
        <w:tc>
          <w:tcPr>
            <w:tcW w:w="2040" w:type="dxa"/>
            <w:vAlign w:val="bottom"/>
            <w:tcBorders>
              <w:right w:val="single" w:sz="8" w:color="012E6C"/>
            </w:tcBorders>
            <w:vMerge w:val="continue"/>
            <w:shd w:val="clear" w:color="auto" w:fill="E5E7EF"/>
          </w:tcPr>
          <w:p>
            <w:pPr>
              <w:spacing w:after="0"/>
              <w:rPr>
                <w:sz w:val="3"/>
                <w:szCs w:val="3"/>
                <w:color w:val="auto"/>
              </w:rPr>
            </w:pPr>
          </w:p>
        </w:tc>
        <w:tc>
          <w:tcPr>
            <w:tcW w:w="1840" w:type="dxa"/>
            <w:vAlign w:val="bottom"/>
            <w:vMerge w:val="continue"/>
            <w:shd w:val="clear" w:color="auto" w:fill="E5E7EF"/>
          </w:tcPr>
          <w:p>
            <w:pPr>
              <w:spacing w:after="0"/>
              <w:rPr>
                <w:sz w:val="3"/>
                <w:szCs w:val="3"/>
                <w:color w:val="auto"/>
              </w:rPr>
            </w:pPr>
          </w:p>
        </w:tc>
        <w:tc>
          <w:tcPr>
            <w:tcW w:w="220" w:type="dxa"/>
            <w:vAlign w:val="bottom"/>
            <w:tcBorders>
              <w:right w:val="single" w:sz="8" w:color="012E6C"/>
            </w:tcBorders>
            <w:shd w:val="clear" w:color="auto" w:fill="E5E7EF"/>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shd w:val="clear" w:color="auto" w:fill="E5E7EF"/>
          </w:tcPr>
          <w:p>
            <w:pPr>
              <w:ind w:left="80"/>
              <w:spacing w:after="0" w:line="95" w:lineRule="exact"/>
              <w:rPr>
                <w:sz w:val="20"/>
                <w:szCs w:val="20"/>
                <w:color w:val="auto"/>
              </w:rPr>
            </w:pPr>
            <w:r>
              <w:rPr>
                <w:rFonts w:ascii="Arial" w:cs="Arial" w:eastAsia="Arial" w:hAnsi="Arial"/>
                <w:sz w:val="10"/>
                <w:szCs w:val="10"/>
                <w:color w:val="auto"/>
              </w:rPr>
              <w:t>from date of grant.</w:t>
            </w: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dividend equivalents on</w:t>
            </w: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vMerge w:val="continue"/>
            <w:shd w:val="clear" w:color="auto" w:fill="E5E7EF"/>
          </w:tcPr>
          <w:p>
            <w:pPr>
              <w:spacing w:after="0"/>
              <w:rPr>
                <w:sz w:val="8"/>
                <w:szCs w:val="8"/>
                <w:color w:val="auto"/>
              </w:rPr>
            </w:pPr>
          </w:p>
        </w:tc>
        <w:tc>
          <w:tcPr>
            <w:tcW w:w="1840" w:type="dxa"/>
            <w:vAlign w:val="bottom"/>
            <w:vMerge w:val="restart"/>
            <w:shd w:val="clear" w:color="auto" w:fill="E5E7EF"/>
          </w:tcPr>
          <w:p>
            <w:pPr>
              <w:ind w:left="100"/>
              <w:spacing w:after="0"/>
              <w:rPr>
                <w:sz w:val="20"/>
                <w:szCs w:val="20"/>
                <w:color w:val="auto"/>
              </w:rPr>
            </w:pPr>
            <w:r>
              <w:rPr>
                <w:rFonts w:ascii="Arial" w:cs="Arial" w:eastAsia="Arial" w:hAnsi="Arial"/>
                <w:sz w:val="14"/>
                <w:szCs w:val="14"/>
                <w:color w:val="auto"/>
              </w:rPr>
              <w:t>PSUs if termination occurs</w:t>
            </w:r>
          </w:p>
        </w:tc>
        <w:tc>
          <w:tcPr>
            <w:tcW w:w="2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following death or disability.</w:t>
            </w:r>
          </w:p>
        </w:tc>
        <w:tc>
          <w:tcPr>
            <w:tcW w:w="2040" w:type="dxa"/>
            <w:vAlign w:val="bottom"/>
            <w:tcBorders>
              <w:right w:val="single" w:sz="8" w:color="012E6C"/>
            </w:tcBorders>
            <w:shd w:val="clear" w:color="auto" w:fill="E5E7EF"/>
          </w:tcPr>
          <w:p>
            <w:pPr>
              <w:ind w:left="80"/>
              <w:spacing w:after="0" w:line="100" w:lineRule="exact"/>
              <w:rPr>
                <w:sz w:val="20"/>
                <w:szCs w:val="20"/>
                <w:color w:val="auto"/>
              </w:rPr>
            </w:pPr>
            <w:r>
              <w:rPr>
                <w:rFonts w:ascii="Arial" w:cs="Arial" w:eastAsia="Arial" w:hAnsi="Arial"/>
                <w:sz w:val="11"/>
                <w:szCs w:val="11"/>
                <w:color w:val="auto"/>
              </w:rPr>
              <w:t>case the RSU grant will</w:t>
            </w:r>
          </w:p>
        </w:tc>
        <w:tc>
          <w:tcPr>
            <w:tcW w:w="1840" w:type="dxa"/>
            <w:vAlign w:val="bottom"/>
            <w:vMerge w:val="continue"/>
            <w:shd w:val="clear" w:color="auto" w:fill="E5E7EF"/>
          </w:tcPr>
          <w:p>
            <w:pPr>
              <w:spacing w:after="0"/>
              <w:rPr>
                <w:sz w:val="8"/>
                <w:szCs w:val="8"/>
                <w:color w:val="auto"/>
              </w:rPr>
            </w:pPr>
          </w:p>
        </w:tc>
        <w:tc>
          <w:tcPr>
            <w:tcW w:w="2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060" w:type="dxa"/>
            <w:vAlign w:val="bottom"/>
            <w:tcBorders>
              <w:left w:val="single" w:sz="8" w:color="012E6C"/>
              <w:right w:val="single" w:sz="8" w:color="012E6C"/>
            </w:tcBorders>
            <w:shd w:val="clear" w:color="auto" w:fill="E5E7EF"/>
          </w:tcPr>
          <w:p>
            <w:pPr>
              <w:spacing w:after="0"/>
              <w:rPr>
                <w:sz w:val="10"/>
                <w:szCs w:val="10"/>
                <w:color w:val="auto"/>
              </w:rPr>
            </w:pPr>
          </w:p>
        </w:tc>
        <w:tc>
          <w:tcPr>
            <w:tcW w:w="1920" w:type="dxa"/>
            <w:vAlign w:val="bottom"/>
            <w:tcBorders>
              <w:right w:val="single" w:sz="8" w:color="012E6C"/>
            </w:tcBorders>
            <w:shd w:val="clear" w:color="auto" w:fill="E5E7EF"/>
          </w:tcPr>
          <w:p>
            <w:pPr>
              <w:spacing w:after="0"/>
              <w:rPr>
                <w:sz w:val="10"/>
                <w:szCs w:val="10"/>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RSUs and PSUs if not</w:t>
            </w:r>
          </w:p>
        </w:tc>
        <w:tc>
          <w:tcPr>
            <w:tcW w:w="2240" w:type="dxa"/>
            <w:vAlign w:val="bottom"/>
            <w:tcBorders>
              <w:right w:val="single" w:sz="8" w:color="012E6C"/>
            </w:tcBorders>
            <w:vMerge w:val="continue"/>
            <w:shd w:val="clear" w:color="auto" w:fill="E5E7EF"/>
          </w:tcPr>
          <w:p>
            <w:pPr>
              <w:spacing w:after="0"/>
              <w:rPr>
                <w:sz w:val="10"/>
                <w:szCs w:val="10"/>
                <w:color w:val="auto"/>
              </w:rPr>
            </w:pP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continue to vest until the</w:t>
            </w:r>
          </w:p>
        </w:tc>
        <w:tc>
          <w:tcPr>
            <w:tcW w:w="1840" w:type="dxa"/>
            <w:vAlign w:val="bottom"/>
            <w:vMerge w:val="restart"/>
            <w:shd w:val="clear" w:color="auto" w:fill="E5E7EF"/>
          </w:tcPr>
          <w:p>
            <w:pPr>
              <w:ind w:left="100"/>
              <w:spacing w:after="0"/>
              <w:rPr>
                <w:sz w:val="20"/>
                <w:szCs w:val="20"/>
                <w:color w:val="auto"/>
              </w:rPr>
            </w:pPr>
            <w:r>
              <w:rPr>
                <w:rFonts w:ascii="Arial" w:cs="Arial" w:eastAsia="Arial" w:hAnsi="Arial"/>
                <w:sz w:val="14"/>
                <w:szCs w:val="14"/>
                <w:color w:val="auto"/>
              </w:rPr>
              <w:t>prior to becoming</w:t>
            </w:r>
          </w:p>
        </w:tc>
        <w:tc>
          <w:tcPr>
            <w:tcW w:w="220" w:type="dxa"/>
            <w:vAlign w:val="bottom"/>
            <w:tcBorders>
              <w:right w:val="single" w:sz="8" w:color="012E6C"/>
            </w:tcBorders>
            <w:shd w:val="clear" w:color="auto" w:fill="E5E7EF"/>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060" w:type="dxa"/>
            <w:vAlign w:val="bottom"/>
            <w:tcBorders>
              <w:left w:val="single" w:sz="8" w:color="012E6C"/>
              <w:right w:val="single" w:sz="8" w:color="012E6C"/>
            </w:tcBorders>
            <w:shd w:val="clear" w:color="auto" w:fill="E5E7EF"/>
          </w:tcPr>
          <w:p>
            <w:pPr>
              <w:spacing w:after="0"/>
              <w:rPr>
                <w:sz w:val="4"/>
                <w:szCs w:val="4"/>
                <w:color w:val="auto"/>
              </w:rPr>
            </w:pPr>
          </w:p>
        </w:tc>
        <w:tc>
          <w:tcPr>
            <w:tcW w:w="1920" w:type="dxa"/>
            <w:vAlign w:val="bottom"/>
            <w:tcBorders>
              <w:right w:val="single" w:sz="8" w:color="012E6C"/>
            </w:tcBorders>
            <w:shd w:val="clear" w:color="auto" w:fill="E5E7EF"/>
          </w:tcPr>
          <w:p>
            <w:pPr>
              <w:spacing w:after="0"/>
              <w:rPr>
                <w:sz w:val="4"/>
                <w:szCs w:val="4"/>
                <w:color w:val="auto"/>
              </w:rPr>
            </w:pPr>
          </w:p>
        </w:tc>
        <w:tc>
          <w:tcPr>
            <w:tcW w:w="1940" w:type="dxa"/>
            <w:vAlign w:val="bottom"/>
            <w:tcBorders>
              <w:right w:val="single" w:sz="8" w:color="012E6C"/>
            </w:tcBorders>
            <w:vMerge w:val="continue"/>
            <w:shd w:val="clear" w:color="auto" w:fill="E5E7EF"/>
          </w:tcPr>
          <w:p>
            <w:pPr>
              <w:spacing w:after="0"/>
              <w:rPr>
                <w:sz w:val="4"/>
                <w:szCs w:val="4"/>
                <w:color w:val="auto"/>
              </w:rPr>
            </w:pPr>
          </w:p>
        </w:tc>
        <w:tc>
          <w:tcPr>
            <w:tcW w:w="2240" w:type="dxa"/>
            <w:vAlign w:val="bottom"/>
            <w:tcBorders>
              <w:right w:val="single" w:sz="8" w:color="012E6C"/>
            </w:tcBorders>
            <w:shd w:val="clear" w:color="auto" w:fill="E5E7EF"/>
          </w:tcPr>
          <w:p>
            <w:pPr>
              <w:spacing w:after="0"/>
              <w:rPr>
                <w:sz w:val="4"/>
                <w:szCs w:val="4"/>
                <w:color w:val="auto"/>
              </w:rPr>
            </w:pPr>
          </w:p>
        </w:tc>
        <w:tc>
          <w:tcPr>
            <w:tcW w:w="2040" w:type="dxa"/>
            <w:vAlign w:val="bottom"/>
            <w:tcBorders>
              <w:right w:val="single" w:sz="8" w:color="012E6C"/>
            </w:tcBorders>
            <w:vMerge w:val="continue"/>
            <w:shd w:val="clear" w:color="auto" w:fill="E5E7EF"/>
          </w:tcPr>
          <w:p>
            <w:pPr>
              <w:spacing w:after="0"/>
              <w:rPr>
                <w:sz w:val="4"/>
                <w:szCs w:val="4"/>
                <w:color w:val="auto"/>
              </w:rPr>
            </w:pPr>
          </w:p>
        </w:tc>
        <w:tc>
          <w:tcPr>
            <w:tcW w:w="1840" w:type="dxa"/>
            <w:vAlign w:val="bottom"/>
            <w:vMerge w:val="continue"/>
            <w:shd w:val="clear" w:color="auto" w:fill="E5E7EF"/>
          </w:tcPr>
          <w:p>
            <w:pPr>
              <w:spacing w:after="0"/>
              <w:rPr>
                <w:sz w:val="4"/>
                <w:szCs w:val="4"/>
                <w:color w:val="auto"/>
              </w:rPr>
            </w:pPr>
          </w:p>
        </w:tc>
        <w:tc>
          <w:tcPr>
            <w:tcW w:w="220" w:type="dxa"/>
            <w:vAlign w:val="bottom"/>
            <w:tcBorders>
              <w:right w:val="single" w:sz="8" w:color="012E6C"/>
            </w:tcBorders>
            <w:shd w:val="clear" w:color="auto" w:fill="E5E7E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shd w:val="clear" w:color="auto" w:fill="E5E7EF"/>
          </w:tcPr>
          <w:p>
            <w:pPr>
              <w:spacing w:after="0"/>
              <w:rPr>
                <w:sz w:val="15"/>
                <w:szCs w:val="15"/>
                <w:color w:val="auto"/>
              </w:rPr>
            </w:pPr>
          </w:p>
        </w:tc>
        <w:tc>
          <w:tcPr>
            <w:tcW w:w="1920" w:type="dxa"/>
            <w:vAlign w:val="bottom"/>
            <w:tcBorders>
              <w:right w:val="single" w:sz="8" w:color="012E6C"/>
            </w:tcBorders>
            <w:shd w:val="clear" w:color="auto" w:fill="E5E7EF"/>
          </w:tcPr>
          <w:p>
            <w:pPr>
              <w:spacing w:after="0"/>
              <w:rPr>
                <w:sz w:val="15"/>
                <w:szCs w:val="15"/>
                <w:color w:val="auto"/>
              </w:rPr>
            </w:pPr>
          </w:p>
        </w:tc>
        <w:tc>
          <w:tcPr>
            <w:tcW w:w="194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assumed by successor.</w:t>
            </w:r>
          </w:p>
        </w:tc>
        <w:tc>
          <w:tcPr>
            <w:tcW w:w="2240" w:type="dxa"/>
            <w:vAlign w:val="bottom"/>
            <w:tcBorders>
              <w:right w:val="single" w:sz="8" w:color="012E6C"/>
            </w:tcBorders>
            <w:shd w:val="clear" w:color="auto" w:fill="E5E7EF"/>
          </w:tcPr>
          <w:p>
            <w:pPr>
              <w:spacing w:after="0"/>
              <w:rPr>
                <w:sz w:val="15"/>
                <w:szCs w:val="15"/>
                <w:color w:val="auto"/>
              </w:rPr>
            </w:pPr>
          </w:p>
        </w:tc>
        <w:tc>
          <w:tcPr>
            <w:tcW w:w="2040" w:type="dxa"/>
            <w:vAlign w:val="bottom"/>
            <w:tcBorders>
              <w:right w:val="single" w:sz="8" w:color="012E6C"/>
            </w:tcBorders>
            <w:shd w:val="clear" w:color="auto" w:fill="E5E7EF"/>
          </w:tcPr>
          <w:p>
            <w:pPr>
              <w:ind w:left="80"/>
              <w:spacing w:after="0"/>
              <w:rPr>
                <w:sz w:val="20"/>
                <w:szCs w:val="20"/>
                <w:color w:val="auto"/>
              </w:rPr>
            </w:pPr>
            <w:r>
              <w:rPr>
                <w:rFonts w:ascii="Arial" w:cs="Arial" w:eastAsia="Arial" w:hAnsi="Arial"/>
                <w:sz w:val="14"/>
                <w:szCs w:val="14"/>
                <w:color w:val="auto"/>
              </w:rPr>
              <w:t>vesting date.</w:t>
            </w:r>
          </w:p>
        </w:tc>
        <w:tc>
          <w:tcPr>
            <w:tcW w:w="1840" w:type="dxa"/>
            <w:vAlign w:val="bottom"/>
            <w:shd w:val="clear" w:color="auto" w:fill="E5E7EF"/>
          </w:tcPr>
          <w:p>
            <w:pPr>
              <w:ind w:left="100"/>
              <w:spacing w:after="0"/>
              <w:rPr>
                <w:sz w:val="20"/>
                <w:szCs w:val="20"/>
                <w:color w:val="auto"/>
              </w:rPr>
            </w:pPr>
            <w:r>
              <w:rPr>
                <w:rFonts w:ascii="Arial" w:cs="Arial" w:eastAsia="Arial" w:hAnsi="Arial"/>
                <w:sz w:val="14"/>
                <w:szCs w:val="14"/>
                <w:color w:val="auto"/>
              </w:rPr>
              <w:t>retirement-eligible or</w:t>
            </w:r>
          </w:p>
        </w:tc>
        <w:tc>
          <w:tcPr>
            <w:tcW w:w="220" w:type="dxa"/>
            <w:vAlign w:val="bottom"/>
            <w:tcBorders>
              <w:right w:val="single" w:sz="8" w:color="012E6C"/>
            </w:tcBorders>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012E6C"/>
              <w:bottom w:val="single" w:sz="8" w:color="E5E7EF"/>
              <w:right w:val="single" w:sz="8" w:color="012E6C"/>
            </w:tcBorders>
            <w:shd w:val="clear" w:color="auto" w:fill="E5E7EF"/>
          </w:tcPr>
          <w:p>
            <w:pPr>
              <w:spacing w:after="0"/>
              <w:rPr>
                <w:sz w:val="17"/>
                <w:szCs w:val="17"/>
                <w:color w:val="auto"/>
              </w:rPr>
            </w:pPr>
          </w:p>
        </w:tc>
        <w:tc>
          <w:tcPr>
            <w:tcW w:w="1920" w:type="dxa"/>
            <w:vAlign w:val="bottom"/>
            <w:tcBorders>
              <w:bottom w:val="single" w:sz="8" w:color="E5E7EF"/>
              <w:right w:val="single" w:sz="8" w:color="012E6C"/>
            </w:tcBorders>
            <w:shd w:val="clear" w:color="auto" w:fill="E5E7EF"/>
          </w:tcPr>
          <w:p>
            <w:pPr>
              <w:spacing w:after="0"/>
              <w:rPr>
                <w:sz w:val="17"/>
                <w:szCs w:val="17"/>
                <w:color w:val="auto"/>
              </w:rPr>
            </w:pPr>
          </w:p>
        </w:tc>
        <w:tc>
          <w:tcPr>
            <w:tcW w:w="1940" w:type="dxa"/>
            <w:vAlign w:val="bottom"/>
            <w:tcBorders>
              <w:bottom w:val="single" w:sz="8" w:color="E5E7EF"/>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Immediate vesting</w:t>
            </w:r>
          </w:p>
        </w:tc>
        <w:tc>
          <w:tcPr>
            <w:tcW w:w="2240" w:type="dxa"/>
            <w:vAlign w:val="bottom"/>
            <w:tcBorders>
              <w:bottom w:val="single" w:sz="8" w:color="E5E7EF"/>
              <w:right w:val="single" w:sz="8" w:color="012E6C"/>
            </w:tcBorders>
            <w:shd w:val="clear" w:color="auto" w:fill="E5E7EF"/>
          </w:tcPr>
          <w:p>
            <w:pPr>
              <w:spacing w:after="0"/>
              <w:rPr>
                <w:sz w:val="17"/>
                <w:szCs w:val="17"/>
                <w:color w:val="auto"/>
              </w:rPr>
            </w:pPr>
          </w:p>
        </w:tc>
        <w:tc>
          <w:tcPr>
            <w:tcW w:w="2040" w:type="dxa"/>
            <w:vAlign w:val="bottom"/>
            <w:tcBorders>
              <w:bottom w:val="single" w:sz="8" w:color="E5E7EF"/>
              <w:right w:val="single" w:sz="8" w:color="012E6C"/>
            </w:tcBorders>
            <w:shd w:val="clear" w:color="auto" w:fill="E5E7EF"/>
          </w:tcPr>
          <w:p>
            <w:pPr>
              <w:spacing w:after="0"/>
              <w:rPr>
                <w:sz w:val="17"/>
                <w:szCs w:val="17"/>
                <w:color w:val="auto"/>
              </w:rPr>
            </w:pPr>
          </w:p>
        </w:tc>
        <w:tc>
          <w:tcPr>
            <w:tcW w:w="2060" w:type="dxa"/>
            <w:vAlign w:val="bottom"/>
            <w:tcBorders>
              <w:bottom w:val="single" w:sz="8" w:color="E5E7EF"/>
              <w:right w:val="single" w:sz="8" w:color="012E6C"/>
            </w:tcBorders>
            <w:gridSpan w:val="2"/>
            <w:shd w:val="clear" w:color="auto" w:fill="E5E7EF"/>
          </w:tcPr>
          <w:p>
            <w:pPr>
              <w:ind w:left="100"/>
              <w:spacing w:after="0"/>
              <w:rPr>
                <w:sz w:val="20"/>
                <w:szCs w:val="20"/>
                <w:color w:val="auto"/>
              </w:rPr>
            </w:pPr>
            <w:r>
              <w:rPr>
                <w:rFonts w:ascii="Arial" w:cs="Arial" w:eastAsia="Arial" w:hAnsi="Arial"/>
                <w:sz w:val="14"/>
                <w:szCs w:val="14"/>
                <w:color w:val="auto"/>
              </w:rPr>
              <w:t>anytime if termination is due</w:t>
            </w:r>
          </w:p>
        </w:tc>
        <w:tc>
          <w:tcPr>
            <w:tcW w:w="0" w:type="dxa"/>
            <w:vAlign w:val="bottom"/>
          </w:tcPr>
          <w:p>
            <w:pPr>
              <w:spacing w:after="0"/>
              <w:rPr>
                <w:sz w:val="1"/>
                <w:szCs w:val="1"/>
                <w:color w:val="auto"/>
              </w:rPr>
            </w:pPr>
          </w:p>
        </w:tc>
      </w:tr>
      <w:tr>
        <w:trPr>
          <w:trHeight w:val="157"/>
        </w:trPr>
        <w:tc>
          <w:tcPr>
            <w:tcW w:w="1060" w:type="dxa"/>
            <w:vAlign w:val="bottom"/>
            <w:tcBorders>
              <w:top w:val="single" w:sz="8" w:color="012E6C"/>
              <w:left w:val="single" w:sz="8" w:color="012E6C"/>
              <w:right w:val="single" w:sz="8" w:color="012E6C"/>
            </w:tcBorders>
            <w:shd w:val="clear" w:color="auto" w:fill="E5E7EF"/>
          </w:tcPr>
          <w:p>
            <w:pPr>
              <w:spacing w:after="0"/>
              <w:rPr>
                <w:sz w:val="13"/>
                <w:szCs w:val="13"/>
                <w:color w:val="auto"/>
              </w:rPr>
            </w:pPr>
          </w:p>
        </w:tc>
        <w:tc>
          <w:tcPr>
            <w:tcW w:w="1920" w:type="dxa"/>
            <w:vAlign w:val="bottom"/>
            <w:tcBorders>
              <w:top w:val="single" w:sz="8" w:color="012E6C"/>
              <w:right w:val="single" w:sz="8" w:color="012E6C"/>
            </w:tcBorders>
            <w:shd w:val="clear" w:color="auto" w:fill="E5E7EF"/>
          </w:tcPr>
          <w:p>
            <w:pPr>
              <w:spacing w:after="0"/>
              <w:rPr>
                <w:sz w:val="13"/>
                <w:szCs w:val="13"/>
                <w:color w:val="auto"/>
              </w:rPr>
            </w:pPr>
          </w:p>
        </w:tc>
        <w:tc>
          <w:tcPr>
            <w:tcW w:w="1940" w:type="dxa"/>
            <w:vAlign w:val="bottom"/>
            <w:tcBorders>
              <w:top w:val="single" w:sz="8" w:color="E5E7EF"/>
              <w:right w:val="single" w:sz="8" w:color="012E6C"/>
            </w:tcBorders>
            <w:shd w:val="clear" w:color="auto" w:fill="E5E7EF"/>
          </w:tcPr>
          <w:p>
            <w:pPr>
              <w:ind w:left="100"/>
              <w:spacing w:after="0" w:line="157" w:lineRule="exact"/>
              <w:rPr>
                <w:sz w:val="20"/>
                <w:szCs w:val="20"/>
                <w:color w:val="auto"/>
              </w:rPr>
            </w:pPr>
            <w:r>
              <w:rPr>
                <w:rFonts w:ascii="Arial" w:cs="Arial" w:eastAsia="Arial" w:hAnsi="Arial"/>
                <w:sz w:val="14"/>
                <w:szCs w:val="14"/>
                <w:color w:val="auto"/>
              </w:rPr>
              <w:t>following involuntary</w:t>
            </w:r>
          </w:p>
        </w:tc>
        <w:tc>
          <w:tcPr>
            <w:tcW w:w="2240" w:type="dxa"/>
            <w:vAlign w:val="bottom"/>
            <w:tcBorders>
              <w:top w:val="single" w:sz="8" w:color="012E6C"/>
              <w:right w:val="single" w:sz="8" w:color="012E6C"/>
            </w:tcBorders>
            <w:shd w:val="clear" w:color="auto" w:fill="E5E7EF"/>
          </w:tcPr>
          <w:p>
            <w:pPr>
              <w:spacing w:after="0"/>
              <w:rPr>
                <w:sz w:val="13"/>
                <w:szCs w:val="13"/>
                <w:color w:val="auto"/>
              </w:rPr>
            </w:pPr>
          </w:p>
        </w:tc>
        <w:tc>
          <w:tcPr>
            <w:tcW w:w="2040" w:type="dxa"/>
            <w:vAlign w:val="bottom"/>
            <w:tcBorders>
              <w:top w:val="single" w:sz="8" w:color="012E6C"/>
              <w:right w:val="single" w:sz="8" w:color="012E6C"/>
            </w:tcBorders>
            <w:shd w:val="clear" w:color="auto" w:fill="E5E7EF"/>
          </w:tcPr>
          <w:p>
            <w:pPr>
              <w:spacing w:after="0"/>
              <w:rPr>
                <w:sz w:val="13"/>
                <w:szCs w:val="13"/>
                <w:color w:val="auto"/>
              </w:rPr>
            </w:pPr>
          </w:p>
        </w:tc>
        <w:tc>
          <w:tcPr>
            <w:tcW w:w="1840" w:type="dxa"/>
            <w:vAlign w:val="bottom"/>
            <w:tcBorders>
              <w:top w:val="single" w:sz="8" w:color="E5E7EF"/>
            </w:tcBorders>
            <w:shd w:val="clear" w:color="auto" w:fill="E5E7EF"/>
          </w:tcPr>
          <w:p>
            <w:pPr>
              <w:ind w:left="100"/>
              <w:spacing w:after="0" w:line="130" w:lineRule="exact"/>
              <w:rPr>
                <w:sz w:val="20"/>
                <w:szCs w:val="20"/>
                <w:color w:val="auto"/>
              </w:rPr>
            </w:pPr>
            <w:r>
              <w:rPr>
                <w:rFonts w:ascii="Arial" w:cs="Arial" w:eastAsia="Arial" w:hAnsi="Arial"/>
                <w:sz w:val="14"/>
                <w:szCs w:val="14"/>
                <w:color w:val="auto"/>
              </w:rPr>
              <w:t>to misconduct.</w:t>
            </w:r>
          </w:p>
        </w:tc>
        <w:tc>
          <w:tcPr>
            <w:tcW w:w="220" w:type="dxa"/>
            <w:vAlign w:val="bottom"/>
            <w:tcBorders>
              <w:top w:val="single" w:sz="8" w:color="E5E7EF"/>
              <w:right w:val="single" w:sz="8" w:color="012E6C"/>
            </w:tcBorders>
            <w:shd w:val="clear" w:color="auto" w:fill="E5E7E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60" w:type="dxa"/>
            <w:vAlign w:val="bottom"/>
            <w:tcBorders>
              <w:left w:val="single" w:sz="8" w:color="012E6C"/>
              <w:right w:val="single" w:sz="8" w:color="012E6C"/>
            </w:tcBorders>
            <w:shd w:val="clear" w:color="auto" w:fill="E5E7EF"/>
          </w:tcPr>
          <w:p>
            <w:pPr>
              <w:spacing w:after="0"/>
              <w:rPr>
                <w:sz w:val="15"/>
                <w:szCs w:val="15"/>
                <w:color w:val="auto"/>
              </w:rPr>
            </w:pPr>
          </w:p>
        </w:tc>
        <w:tc>
          <w:tcPr>
            <w:tcW w:w="1920" w:type="dxa"/>
            <w:vAlign w:val="bottom"/>
            <w:tcBorders>
              <w:right w:val="single" w:sz="8" w:color="012E6C"/>
            </w:tcBorders>
            <w:shd w:val="clear" w:color="auto" w:fill="E5E7EF"/>
          </w:tcPr>
          <w:p>
            <w:pPr>
              <w:spacing w:after="0"/>
              <w:rPr>
                <w:sz w:val="15"/>
                <w:szCs w:val="15"/>
                <w:color w:val="auto"/>
              </w:rPr>
            </w:pPr>
          </w:p>
        </w:tc>
        <w:tc>
          <w:tcPr>
            <w:tcW w:w="194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termination without cause</w:t>
            </w: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Prorated payment of PSUs and</w:t>
            </w:r>
          </w:p>
        </w:tc>
        <w:tc>
          <w:tcPr>
            <w:tcW w:w="2040" w:type="dxa"/>
            <w:vAlign w:val="bottom"/>
            <w:tcBorders>
              <w:right w:val="single" w:sz="8" w:color="012E6C"/>
            </w:tcBorders>
            <w:shd w:val="clear" w:color="auto" w:fill="E5E7EF"/>
          </w:tcPr>
          <w:p>
            <w:pPr>
              <w:spacing w:after="0"/>
              <w:rPr>
                <w:sz w:val="15"/>
                <w:szCs w:val="15"/>
                <w:color w:val="auto"/>
              </w:rPr>
            </w:pPr>
          </w:p>
        </w:tc>
        <w:tc>
          <w:tcPr>
            <w:tcW w:w="1840" w:type="dxa"/>
            <w:vAlign w:val="bottom"/>
            <w:shd w:val="clear" w:color="auto" w:fill="E5E7EF"/>
          </w:tcPr>
          <w:p>
            <w:pPr>
              <w:ind w:left="100"/>
              <w:spacing w:after="0"/>
              <w:rPr>
                <w:sz w:val="20"/>
                <w:szCs w:val="20"/>
                <w:color w:val="auto"/>
              </w:rPr>
            </w:pPr>
            <w:r>
              <w:rPr>
                <w:rFonts w:ascii="Arial" w:cs="Arial" w:eastAsia="Arial" w:hAnsi="Arial"/>
                <w:sz w:val="14"/>
                <w:szCs w:val="14"/>
                <w:color w:val="auto"/>
              </w:rPr>
              <w:t>Termination on or after the</w:t>
            </w:r>
          </w:p>
        </w:tc>
        <w:tc>
          <w:tcPr>
            <w:tcW w:w="220" w:type="dxa"/>
            <w:vAlign w:val="bottom"/>
            <w:tcBorders>
              <w:right w:val="single" w:sz="8" w:color="012E6C"/>
            </w:tcBorders>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1060" w:type="dxa"/>
            <w:vAlign w:val="bottom"/>
            <w:tcBorders>
              <w:left w:val="single" w:sz="8" w:color="012E6C"/>
              <w:right w:val="single" w:sz="8" w:color="012E6C"/>
            </w:tcBorders>
            <w:shd w:val="clear" w:color="auto" w:fill="E5E7EF"/>
          </w:tcPr>
          <w:p>
            <w:pPr>
              <w:spacing w:after="0"/>
              <w:rPr>
                <w:sz w:val="6"/>
                <w:szCs w:val="6"/>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Prorated payment of PSUs</w:t>
            </w: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or voluntary termination</w:t>
            </w:r>
          </w:p>
        </w:tc>
        <w:tc>
          <w:tcPr>
            <w:tcW w:w="2240" w:type="dxa"/>
            <w:vAlign w:val="bottom"/>
            <w:tcBorders>
              <w:right w:val="single" w:sz="8" w:color="012E6C"/>
            </w:tcBorders>
            <w:vMerge w:val="continue"/>
            <w:shd w:val="clear" w:color="auto" w:fill="E5E7EF"/>
          </w:tcPr>
          <w:p>
            <w:pPr>
              <w:spacing w:after="0"/>
              <w:rPr>
                <w:sz w:val="6"/>
                <w:szCs w:val="6"/>
                <w:color w:val="auto"/>
              </w:rPr>
            </w:pPr>
          </w:p>
        </w:tc>
        <w:tc>
          <w:tcPr>
            <w:tcW w:w="2040" w:type="dxa"/>
            <w:vAlign w:val="bottom"/>
            <w:tcBorders>
              <w:right w:val="single" w:sz="8" w:color="012E6C"/>
            </w:tcBorders>
            <w:shd w:val="clear" w:color="auto" w:fill="E5E7EF"/>
          </w:tcPr>
          <w:p>
            <w:pPr>
              <w:spacing w:after="0"/>
              <w:rPr>
                <w:sz w:val="6"/>
                <w:szCs w:val="6"/>
                <w:color w:val="auto"/>
              </w:rPr>
            </w:pPr>
          </w:p>
        </w:tc>
        <w:tc>
          <w:tcPr>
            <w:tcW w:w="2060" w:type="dxa"/>
            <w:vAlign w:val="bottom"/>
            <w:tcBorders>
              <w:right w:val="single" w:sz="8" w:color="012E6C"/>
            </w:tcBorders>
            <w:gridSpan w:val="2"/>
            <w:vMerge w:val="restart"/>
            <w:shd w:val="clear" w:color="auto" w:fill="E5E7EF"/>
          </w:tcPr>
          <w:p>
            <w:pPr>
              <w:ind w:left="100"/>
              <w:spacing w:after="0"/>
              <w:rPr>
                <w:sz w:val="20"/>
                <w:szCs w:val="20"/>
                <w:color w:val="auto"/>
              </w:rPr>
            </w:pPr>
            <w:r>
              <w:rPr>
                <w:rFonts w:ascii="Arial" w:cs="Arial" w:eastAsia="Arial" w:hAnsi="Arial"/>
                <w:sz w:val="14"/>
                <w:szCs w:val="14"/>
                <w:color w:val="auto"/>
              </w:rPr>
              <w:t>six-month anniversary of the</w:t>
            </w:r>
          </w:p>
        </w:tc>
        <w:tc>
          <w:tcPr>
            <w:tcW w:w="0" w:type="dxa"/>
            <w:vAlign w:val="bottom"/>
          </w:tcPr>
          <w:p>
            <w:pPr>
              <w:spacing w:after="0"/>
              <w:rPr>
                <w:sz w:val="1"/>
                <w:szCs w:val="1"/>
                <w:color w:val="auto"/>
              </w:rPr>
            </w:pPr>
          </w:p>
        </w:tc>
      </w:tr>
      <w:tr>
        <w:trPr>
          <w:trHeight w:val="98"/>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LTIP (and dividend equivalents</w:t>
            </w: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gridSpan w:val="2"/>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060" w:type="dxa"/>
            <w:vAlign w:val="bottom"/>
            <w:tcBorders>
              <w:left w:val="single" w:sz="8" w:color="012E6C"/>
              <w:right w:val="single" w:sz="8" w:color="012E6C"/>
            </w:tcBorders>
            <w:shd w:val="clear" w:color="auto" w:fill="E5E7EF"/>
          </w:tcPr>
          <w:p>
            <w:pPr>
              <w:spacing w:after="0"/>
              <w:rPr>
                <w:sz w:val="6"/>
                <w:szCs w:val="6"/>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and LTIP (and dividend</w:t>
            </w: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with good reason within 24</w:t>
            </w:r>
          </w:p>
        </w:tc>
        <w:tc>
          <w:tcPr>
            <w:tcW w:w="2240" w:type="dxa"/>
            <w:vAlign w:val="bottom"/>
            <w:tcBorders>
              <w:right w:val="single" w:sz="8" w:color="012E6C"/>
            </w:tcBorders>
            <w:vMerge w:val="continue"/>
            <w:shd w:val="clear" w:color="auto" w:fill="E5E7EF"/>
          </w:tcPr>
          <w:p>
            <w:pPr>
              <w:spacing w:after="0"/>
              <w:rPr>
                <w:sz w:val="6"/>
                <w:szCs w:val="6"/>
                <w:color w:val="auto"/>
              </w:rPr>
            </w:pPr>
          </w:p>
        </w:tc>
        <w:tc>
          <w:tcPr>
            <w:tcW w:w="2040" w:type="dxa"/>
            <w:vAlign w:val="bottom"/>
            <w:tcBorders>
              <w:right w:val="single" w:sz="8" w:color="012E6C"/>
            </w:tcBorders>
            <w:shd w:val="clear" w:color="auto" w:fill="E5E7EF"/>
          </w:tcPr>
          <w:p>
            <w:pPr>
              <w:spacing w:after="0"/>
              <w:rPr>
                <w:sz w:val="6"/>
                <w:szCs w:val="6"/>
                <w:color w:val="auto"/>
              </w:rPr>
            </w:pPr>
          </w:p>
        </w:tc>
        <w:tc>
          <w:tcPr>
            <w:tcW w:w="2060" w:type="dxa"/>
            <w:vAlign w:val="bottom"/>
            <w:tcBorders>
              <w:right w:val="single" w:sz="8" w:color="012E6C"/>
            </w:tcBorders>
            <w:gridSpan w:val="2"/>
            <w:vMerge w:val="restart"/>
            <w:shd w:val="clear" w:color="auto" w:fill="E5E7EF"/>
          </w:tcPr>
          <w:p>
            <w:pPr>
              <w:ind w:left="100"/>
              <w:spacing w:after="0"/>
              <w:rPr>
                <w:sz w:val="20"/>
                <w:szCs w:val="20"/>
                <w:color w:val="auto"/>
              </w:rPr>
            </w:pPr>
            <w:r>
              <w:rPr>
                <w:rFonts w:ascii="Arial" w:cs="Arial" w:eastAsia="Arial" w:hAnsi="Arial"/>
                <w:sz w:val="14"/>
                <w:szCs w:val="14"/>
                <w:color w:val="auto"/>
              </w:rPr>
              <w:t>grant date and either (i) age</w:t>
            </w:r>
          </w:p>
        </w:tc>
        <w:tc>
          <w:tcPr>
            <w:tcW w:w="0" w:type="dxa"/>
            <w:vAlign w:val="bottom"/>
          </w:tcPr>
          <w:p>
            <w:pPr>
              <w:spacing w:after="0"/>
              <w:rPr>
                <w:sz w:val="1"/>
                <w:szCs w:val="1"/>
                <w:color w:val="auto"/>
              </w:rPr>
            </w:pPr>
          </w:p>
        </w:tc>
      </w:tr>
      <w:tr>
        <w:trPr>
          <w:trHeight w:val="98"/>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on PSUs) based on the</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Prorated payment of PSUs</w:t>
            </w:r>
          </w:p>
        </w:tc>
        <w:tc>
          <w:tcPr>
            <w:tcW w:w="2060" w:type="dxa"/>
            <w:vAlign w:val="bottom"/>
            <w:tcBorders>
              <w:right w:val="single" w:sz="8" w:color="012E6C"/>
            </w:tcBorders>
            <w:gridSpan w:val="2"/>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060" w:type="dxa"/>
            <w:vAlign w:val="bottom"/>
            <w:tcBorders>
              <w:left w:val="single" w:sz="8" w:color="012E6C"/>
              <w:right w:val="single" w:sz="8" w:color="012E6C"/>
            </w:tcBorders>
            <w:shd w:val="clear" w:color="auto" w:fill="E5E7EF"/>
          </w:tcPr>
          <w:p>
            <w:pPr>
              <w:spacing w:after="0"/>
              <w:rPr>
                <w:sz w:val="6"/>
                <w:szCs w:val="6"/>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equivalents on PSUs)</w:t>
            </w: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months of change in</w:t>
            </w:r>
          </w:p>
        </w:tc>
        <w:tc>
          <w:tcPr>
            <w:tcW w:w="2240" w:type="dxa"/>
            <w:vAlign w:val="bottom"/>
            <w:tcBorders>
              <w:right w:val="single" w:sz="8" w:color="012E6C"/>
            </w:tcBorders>
            <w:vMerge w:val="continue"/>
            <w:shd w:val="clear" w:color="auto" w:fill="E5E7EF"/>
          </w:tcPr>
          <w:p>
            <w:pPr>
              <w:spacing w:after="0"/>
              <w:rPr>
                <w:sz w:val="6"/>
                <w:szCs w:val="6"/>
                <w:color w:val="auto"/>
              </w:rPr>
            </w:pPr>
          </w:p>
        </w:tc>
        <w:tc>
          <w:tcPr>
            <w:tcW w:w="2040" w:type="dxa"/>
            <w:vAlign w:val="bottom"/>
            <w:tcBorders>
              <w:right w:val="single" w:sz="8" w:color="012E6C"/>
            </w:tcBorders>
            <w:vMerge w:val="continue"/>
            <w:shd w:val="clear" w:color="auto" w:fill="E5E7EF"/>
          </w:tcPr>
          <w:p>
            <w:pPr>
              <w:spacing w:after="0"/>
              <w:rPr>
                <w:sz w:val="6"/>
                <w:szCs w:val="6"/>
                <w:color w:val="auto"/>
              </w:rPr>
            </w:pPr>
          </w:p>
        </w:tc>
        <w:tc>
          <w:tcPr>
            <w:tcW w:w="1840" w:type="dxa"/>
            <w:vAlign w:val="bottom"/>
            <w:vMerge w:val="restart"/>
            <w:shd w:val="clear" w:color="auto" w:fill="E5E7EF"/>
          </w:tcPr>
          <w:p>
            <w:pPr>
              <w:ind w:left="100"/>
              <w:spacing w:after="0"/>
              <w:rPr>
                <w:sz w:val="20"/>
                <w:szCs w:val="20"/>
                <w:color w:val="auto"/>
              </w:rPr>
            </w:pPr>
            <w:r>
              <w:rPr>
                <w:rFonts w:ascii="Arial" w:cs="Arial" w:eastAsia="Arial" w:hAnsi="Arial"/>
                <w:sz w:val="14"/>
                <w:szCs w:val="14"/>
                <w:color w:val="auto"/>
              </w:rPr>
              <w:t>55 and ten years of service</w:t>
            </w:r>
          </w:p>
        </w:tc>
        <w:tc>
          <w:tcPr>
            <w:tcW w:w="220" w:type="dxa"/>
            <w:vAlign w:val="bottom"/>
            <w:tcBorders>
              <w:right w:val="single" w:sz="8" w:color="012E6C"/>
            </w:tcBorders>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060" w:type="dxa"/>
            <w:vAlign w:val="bottom"/>
            <w:tcBorders>
              <w:left w:val="single" w:sz="8" w:color="012E6C"/>
              <w:right w:val="single" w:sz="8" w:color="012E6C"/>
            </w:tcBorders>
            <w:vMerge w:val="restart"/>
            <w:shd w:val="clear" w:color="auto" w:fill="E5E7EF"/>
          </w:tcPr>
          <w:p>
            <w:pPr>
              <w:jc w:val="center"/>
              <w:spacing w:after="0"/>
              <w:rPr>
                <w:sz w:val="20"/>
                <w:szCs w:val="20"/>
                <w:color w:val="auto"/>
              </w:rPr>
            </w:pPr>
            <w:r>
              <w:rPr>
                <w:rFonts w:ascii="Arial" w:cs="Arial" w:eastAsia="Arial" w:hAnsi="Arial"/>
                <w:sz w:val="15"/>
                <w:szCs w:val="15"/>
                <w:b w:val="1"/>
                <w:bCs w:val="1"/>
                <w:color w:val="002E6D"/>
                <w:w w:val="99"/>
              </w:rPr>
              <w:t>PSUs &amp; LTIP</w:t>
            </w: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performance at end of the</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and LTIP (and dividend</w:t>
            </w:r>
          </w:p>
        </w:tc>
        <w:tc>
          <w:tcPr>
            <w:tcW w:w="1840" w:type="dxa"/>
            <w:vAlign w:val="bottom"/>
            <w:vMerge w:val="continue"/>
            <w:shd w:val="clear" w:color="auto" w:fill="E5E7EF"/>
          </w:tcPr>
          <w:p>
            <w:pPr>
              <w:spacing w:after="0"/>
              <w:rPr>
                <w:sz w:val="8"/>
                <w:szCs w:val="8"/>
                <w:color w:val="auto"/>
              </w:rPr>
            </w:pPr>
          </w:p>
        </w:tc>
        <w:tc>
          <w:tcPr>
            <w:tcW w:w="2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060" w:type="dxa"/>
            <w:vAlign w:val="bottom"/>
            <w:tcBorders>
              <w:left w:val="single" w:sz="8" w:color="012E6C"/>
              <w:right w:val="single" w:sz="8" w:color="012E6C"/>
            </w:tcBorders>
            <w:vMerge w:val="continue"/>
            <w:shd w:val="clear" w:color="auto" w:fill="E5E7EF"/>
          </w:tcPr>
          <w:p>
            <w:pPr>
              <w:spacing w:after="0"/>
              <w:rPr>
                <w:sz w:val="6"/>
                <w:szCs w:val="6"/>
                <w:color w:val="auto"/>
              </w:rPr>
            </w:pPr>
          </w:p>
        </w:tc>
        <w:tc>
          <w:tcPr>
            <w:tcW w:w="1920" w:type="dxa"/>
            <w:vAlign w:val="bottom"/>
            <w:tcBorders>
              <w:right w:val="single" w:sz="8" w:color="012E6C"/>
            </w:tcBorders>
            <w:vMerge w:val="restart"/>
            <w:shd w:val="clear" w:color="auto" w:fill="E5E7EF"/>
          </w:tcPr>
          <w:p>
            <w:pPr>
              <w:ind w:left="80"/>
              <w:spacing w:after="0" w:line="157" w:lineRule="exact"/>
              <w:rPr>
                <w:sz w:val="20"/>
                <w:szCs w:val="20"/>
                <w:color w:val="auto"/>
              </w:rPr>
            </w:pPr>
            <w:r>
              <w:rPr>
                <w:rFonts w:ascii="Arial" w:cs="Arial" w:eastAsia="Arial" w:hAnsi="Arial"/>
                <w:sz w:val="14"/>
                <w:szCs w:val="14"/>
                <w:color w:val="auto"/>
              </w:rPr>
              <w:t>based on the performance</w:t>
            </w:r>
          </w:p>
        </w:tc>
        <w:tc>
          <w:tcPr>
            <w:tcW w:w="1940" w:type="dxa"/>
            <w:vAlign w:val="bottom"/>
            <w:tcBorders>
              <w:right w:val="single" w:sz="8" w:color="012E6C"/>
            </w:tcBorders>
            <w:vMerge w:val="restart"/>
            <w:shd w:val="clear" w:color="auto" w:fill="E5E7EF"/>
          </w:tcPr>
          <w:p>
            <w:pPr>
              <w:ind w:left="100"/>
              <w:spacing w:after="0" w:line="157" w:lineRule="exact"/>
              <w:rPr>
                <w:sz w:val="20"/>
                <w:szCs w:val="20"/>
                <w:color w:val="auto"/>
              </w:rPr>
            </w:pPr>
            <w:r>
              <w:rPr>
                <w:rFonts w:ascii="Arial" w:cs="Arial" w:eastAsia="Arial" w:hAnsi="Arial"/>
                <w:sz w:val="14"/>
                <w:szCs w:val="14"/>
                <w:color w:val="auto"/>
              </w:rPr>
              <w:t>control if assumed by</w:t>
            </w:r>
          </w:p>
        </w:tc>
        <w:tc>
          <w:tcPr>
            <w:tcW w:w="2240" w:type="dxa"/>
            <w:vAlign w:val="bottom"/>
            <w:tcBorders>
              <w:right w:val="single" w:sz="8" w:color="012E6C"/>
            </w:tcBorders>
            <w:vMerge w:val="continue"/>
            <w:shd w:val="clear" w:color="auto" w:fill="E5E7EF"/>
          </w:tcPr>
          <w:p>
            <w:pPr>
              <w:spacing w:after="0"/>
              <w:rPr>
                <w:sz w:val="6"/>
                <w:szCs w:val="6"/>
                <w:color w:val="auto"/>
              </w:rPr>
            </w:pPr>
          </w:p>
        </w:tc>
        <w:tc>
          <w:tcPr>
            <w:tcW w:w="2040" w:type="dxa"/>
            <w:vAlign w:val="bottom"/>
            <w:tcBorders>
              <w:right w:val="single" w:sz="8" w:color="012E6C"/>
            </w:tcBorders>
            <w:vMerge w:val="continue"/>
            <w:shd w:val="clear" w:color="auto" w:fill="E5E7EF"/>
          </w:tcPr>
          <w:p>
            <w:pPr>
              <w:spacing w:after="0"/>
              <w:rPr>
                <w:sz w:val="6"/>
                <w:szCs w:val="6"/>
                <w:color w:val="auto"/>
              </w:rPr>
            </w:pPr>
          </w:p>
        </w:tc>
        <w:tc>
          <w:tcPr>
            <w:tcW w:w="1840" w:type="dxa"/>
            <w:vAlign w:val="bottom"/>
            <w:vMerge w:val="restart"/>
            <w:shd w:val="clear" w:color="auto" w:fill="E5E7EF"/>
          </w:tcPr>
          <w:p>
            <w:pPr>
              <w:ind w:left="100"/>
              <w:spacing w:after="0" w:line="157" w:lineRule="exact"/>
              <w:rPr>
                <w:sz w:val="20"/>
                <w:szCs w:val="20"/>
                <w:color w:val="auto"/>
              </w:rPr>
            </w:pPr>
            <w:r>
              <w:rPr>
                <w:rFonts w:ascii="Arial" w:cs="Arial" w:eastAsia="Arial" w:hAnsi="Arial"/>
                <w:sz w:val="14"/>
                <w:szCs w:val="14"/>
                <w:color w:val="auto"/>
              </w:rPr>
              <w:t>or (ii) age 65 is treated as</w:t>
            </w:r>
          </w:p>
        </w:tc>
        <w:tc>
          <w:tcPr>
            <w:tcW w:w="220" w:type="dxa"/>
            <w:vAlign w:val="bottom"/>
            <w:tcBorders>
              <w:right w:val="single" w:sz="8" w:color="012E6C"/>
            </w:tcBorders>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060" w:type="dxa"/>
            <w:vAlign w:val="bottom"/>
            <w:tcBorders>
              <w:left w:val="single" w:sz="8" w:color="012E6C"/>
              <w:right w:val="single" w:sz="8" w:color="012E6C"/>
            </w:tcBorders>
            <w:vMerge w:val="continue"/>
            <w:shd w:val="clear" w:color="auto" w:fill="E5E7EF"/>
          </w:tcPr>
          <w:p>
            <w:pPr>
              <w:spacing w:after="0"/>
              <w:rPr>
                <w:sz w:val="6"/>
                <w:szCs w:val="6"/>
                <w:color w:val="auto"/>
              </w:rPr>
            </w:pPr>
          </w:p>
        </w:tc>
        <w:tc>
          <w:tcPr>
            <w:tcW w:w="1920" w:type="dxa"/>
            <w:vAlign w:val="bottom"/>
            <w:tcBorders>
              <w:right w:val="single" w:sz="8" w:color="012E6C"/>
            </w:tcBorders>
            <w:vMerge w:val="continue"/>
            <w:shd w:val="clear" w:color="auto" w:fill="E5E7EF"/>
          </w:tcPr>
          <w:p>
            <w:pPr>
              <w:spacing w:after="0"/>
              <w:rPr>
                <w:sz w:val="6"/>
                <w:szCs w:val="6"/>
                <w:color w:val="auto"/>
              </w:rPr>
            </w:pPr>
          </w:p>
        </w:tc>
        <w:tc>
          <w:tcPr>
            <w:tcW w:w="1940" w:type="dxa"/>
            <w:vAlign w:val="bottom"/>
            <w:tcBorders>
              <w:right w:val="single" w:sz="8" w:color="012E6C"/>
            </w:tcBorders>
            <w:vMerge w:val="continue"/>
            <w:shd w:val="clear" w:color="auto" w:fill="E5E7EF"/>
          </w:tcPr>
          <w:p>
            <w:pPr>
              <w:spacing w:after="0"/>
              <w:rPr>
                <w:sz w:val="6"/>
                <w:szCs w:val="6"/>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three-year performance period,</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equivalents on PSUs) based</w:t>
            </w:r>
          </w:p>
        </w:tc>
        <w:tc>
          <w:tcPr>
            <w:tcW w:w="1840" w:type="dxa"/>
            <w:vAlign w:val="bottom"/>
            <w:vMerge w:val="continue"/>
            <w:shd w:val="clear" w:color="auto" w:fill="E5E7EF"/>
          </w:tcPr>
          <w:p>
            <w:pPr>
              <w:spacing w:after="0"/>
              <w:rPr>
                <w:sz w:val="6"/>
                <w:szCs w:val="6"/>
                <w:color w:val="auto"/>
              </w:rPr>
            </w:pPr>
          </w:p>
        </w:tc>
        <w:tc>
          <w:tcPr>
            <w:tcW w:w="220" w:type="dxa"/>
            <w:vAlign w:val="bottom"/>
            <w:tcBorders>
              <w:right w:val="single" w:sz="8" w:color="012E6C"/>
            </w:tcBorders>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1060" w:type="dxa"/>
            <w:vAlign w:val="bottom"/>
            <w:tcBorders>
              <w:left w:val="single" w:sz="8" w:color="012E6C"/>
              <w:right w:val="single" w:sz="8" w:color="012E6C"/>
            </w:tcBorders>
            <w:vMerge w:val="restart"/>
            <w:shd w:val="clear" w:color="auto" w:fill="E5E7EF"/>
          </w:tcPr>
          <w:p>
            <w:pPr>
              <w:jc w:val="right"/>
              <w:ind w:right="25"/>
              <w:spacing w:after="0"/>
              <w:rPr>
                <w:sz w:val="20"/>
                <w:szCs w:val="20"/>
                <w:color w:val="auto"/>
              </w:rPr>
            </w:pPr>
            <w:r>
              <w:rPr>
                <w:rFonts w:ascii="Arial" w:cs="Arial" w:eastAsia="Arial" w:hAnsi="Arial"/>
                <w:sz w:val="15"/>
                <w:szCs w:val="15"/>
                <w:b w:val="1"/>
                <w:bCs w:val="1"/>
                <w:color w:val="002E6D"/>
              </w:rPr>
              <w:t>2019-2021 &amp;</w:t>
            </w: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at the end of the three-</w:t>
            </w: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successor.</w:t>
            </w: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vMerge w:val="continue"/>
            <w:shd w:val="clear" w:color="auto" w:fill="E5E7EF"/>
          </w:tcPr>
          <w:p>
            <w:pPr>
              <w:spacing w:after="0"/>
              <w:rPr>
                <w:sz w:val="8"/>
                <w:szCs w:val="8"/>
                <w:color w:val="auto"/>
              </w:rPr>
            </w:pPr>
          </w:p>
        </w:tc>
        <w:tc>
          <w:tcPr>
            <w:tcW w:w="1840" w:type="dxa"/>
            <w:vAlign w:val="bottom"/>
            <w:vMerge w:val="restart"/>
            <w:shd w:val="clear" w:color="auto" w:fill="E5E7EF"/>
          </w:tcPr>
          <w:p>
            <w:pPr>
              <w:ind w:left="100"/>
              <w:spacing w:after="0"/>
              <w:rPr>
                <w:sz w:val="20"/>
                <w:szCs w:val="20"/>
                <w:color w:val="auto"/>
              </w:rPr>
            </w:pPr>
            <w:r>
              <w:rPr>
                <w:rFonts w:ascii="Arial" w:cs="Arial" w:eastAsia="Arial" w:hAnsi="Arial"/>
                <w:sz w:val="14"/>
                <w:szCs w:val="14"/>
                <w:color w:val="auto"/>
              </w:rPr>
              <w:t>retirement-eligible.</w:t>
            </w:r>
          </w:p>
        </w:tc>
        <w:tc>
          <w:tcPr>
            <w:tcW w:w="2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060" w:type="dxa"/>
            <w:vAlign w:val="bottom"/>
            <w:tcBorders>
              <w:left w:val="single" w:sz="8" w:color="012E6C"/>
              <w:right w:val="single" w:sz="8" w:color="012E6C"/>
            </w:tcBorders>
            <w:vMerge w:val="continue"/>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subject to six-month minimum</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on the performance at the</w:t>
            </w:r>
          </w:p>
        </w:tc>
        <w:tc>
          <w:tcPr>
            <w:tcW w:w="1840" w:type="dxa"/>
            <w:vAlign w:val="bottom"/>
            <w:vMerge w:val="continue"/>
            <w:shd w:val="clear" w:color="auto" w:fill="E5E7EF"/>
          </w:tcPr>
          <w:p>
            <w:pPr>
              <w:spacing w:after="0"/>
              <w:rPr>
                <w:sz w:val="7"/>
                <w:szCs w:val="7"/>
                <w:color w:val="auto"/>
              </w:rPr>
            </w:pPr>
          </w:p>
        </w:tc>
        <w:tc>
          <w:tcPr>
            <w:tcW w:w="2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60" w:type="dxa"/>
            <w:vAlign w:val="bottom"/>
            <w:tcBorders>
              <w:left w:val="single" w:sz="8" w:color="012E6C"/>
              <w:right w:val="single" w:sz="8" w:color="012E6C"/>
            </w:tcBorders>
            <w:vMerge w:val="restart"/>
            <w:shd w:val="clear" w:color="auto" w:fill="E5E7EF"/>
          </w:tcPr>
          <w:p>
            <w:pPr>
              <w:jc w:val="right"/>
              <w:ind w:right="85"/>
              <w:spacing w:after="0"/>
              <w:rPr>
                <w:sz w:val="20"/>
                <w:szCs w:val="20"/>
                <w:color w:val="auto"/>
              </w:rPr>
            </w:pPr>
            <w:r>
              <w:rPr>
                <w:rFonts w:ascii="Arial" w:cs="Arial" w:eastAsia="Arial" w:hAnsi="Arial"/>
                <w:sz w:val="15"/>
                <w:szCs w:val="15"/>
                <w:b w:val="1"/>
                <w:bCs w:val="1"/>
                <w:color w:val="002E6D"/>
              </w:rPr>
              <w:t>2020-2022</w:t>
            </w: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year performance period,</w:t>
            </w: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continue"/>
            <w:shd w:val="clear" w:color="auto" w:fill="E5E7EF"/>
          </w:tcPr>
          <w:p>
            <w:pPr>
              <w:spacing w:after="0"/>
              <w:rPr>
                <w:sz w:val="7"/>
                <w:szCs w:val="7"/>
                <w:color w:val="auto"/>
              </w:rPr>
            </w:pPr>
          </w:p>
        </w:tc>
        <w:tc>
          <w:tcPr>
            <w:tcW w:w="2040" w:type="dxa"/>
            <w:vAlign w:val="bottom"/>
            <w:tcBorders>
              <w:right w:val="single" w:sz="8" w:color="012E6C"/>
            </w:tcBorders>
            <w:vMerge w:val="continue"/>
            <w:shd w:val="clear" w:color="auto" w:fill="E5E7EF"/>
          </w:tcPr>
          <w:p>
            <w:pPr>
              <w:spacing w:after="0"/>
              <w:rPr>
                <w:sz w:val="7"/>
                <w:szCs w:val="7"/>
                <w:color w:val="auto"/>
              </w:rPr>
            </w:pPr>
          </w:p>
        </w:tc>
        <w:tc>
          <w:tcPr>
            <w:tcW w:w="1840" w:type="dxa"/>
            <w:vAlign w:val="bottom"/>
            <w:shd w:val="clear" w:color="auto" w:fill="E5E7EF"/>
          </w:tcPr>
          <w:p>
            <w:pPr>
              <w:spacing w:after="0"/>
              <w:rPr>
                <w:sz w:val="7"/>
                <w:szCs w:val="7"/>
                <w:color w:val="auto"/>
              </w:rPr>
            </w:pPr>
          </w:p>
        </w:tc>
        <w:tc>
          <w:tcPr>
            <w:tcW w:w="2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060" w:type="dxa"/>
            <w:vAlign w:val="bottom"/>
            <w:tcBorders>
              <w:left w:val="single" w:sz="8" w:color="012E6C"/>
              <w:right w:val="single" w:sz="8" w:color="012E6C"/>
            </w:tcBorders>
            <w:vMerge w:val="continue"/>
            <w:shd w:val="clear" w:color="auto" w:fill="E5E7EF"/>
          </w:tcPr>
          <w:p>
            <w:pPr>
              <w:spacing w:after="0"/>
              <w:rPr>
                <w:sz w:val="8"/>
                <w:szCs w:val="8"/>
                <w:color w:val="auto"/>
              </w:rPr>
            </w:pP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services from date of grant</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end of the three-year</w:t>
            </w:r>
          </w:p>
        </w:tc>
        <w:tc>
          <w:tcPr>
            <w:tcW w:w="1840" w:type="dxa"/>
            <w:vAlign w:val="bottom"/>
            <w:shd w:val="clear" w:color="auto" w:fill="E5E7EF"/>
          </w:tcPr>
          <w:p>
            <w:pPr>
              <w:spacing w:after="0"/>
              <w:rPr>
                <w:sz w:val="8"/>
                <w:szCs w:val="8"/>
                <w:color w:val="auto"/>
              </w:rPr>
            </w:pPr>
          </w:p>
        </w:tc>
        <w:tc>
          <w:tcPr>
            <w:tcW w:w="2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060" w:type="dxa"/>
            <w:vAlign w:val="bottom"/>
            <w:tcBorders>
              <w:left w:val="single" w:sz="8" w:color="012E6C"/>
              <w:right w:val="single" w:sz="8" w:color="012E6C"/>
            </w:tcBorders>
            <w:shd w:val="clear" w:color="auto" w:fill="E5E7EF"/>
          </w:tcPr>
          <w:p>
            <w:pPr>
              <w:spacing w:after="0"/>
              <w:rPr>
                <w:sz w:val="6"/>
                <w:szCs w:val="6"/>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subject to six-month</w:t>
            </w:r>
          </w:p>
        </w:tc>
        <w:tc>
          <w:tcPr>
            <w:tcW w:w="1940" w:type="dxa"/>
            <w:vAlign w:val="bottom"/>
            <w:tcBorders>
              <w:right w:val="single" w:sz="8" w:color="012E6C"/>
            </w:tcBorders>
            <w:shd w:val="clear" w:color="auto" w:fill="E5E7EF"/>
          </w:tcPr>
          <w:p>
            <w:pPr>
              <w:spacing w:after="0"/>
              <w:rPr>
                <w:sz w:val="6"/>
                <w:szCs w:val="6"/>
                <w:color w:val="auto"/>
              </w:rPr>
            </w:pPr>
          </w:p>
        </w:tc>
        <w:tc>
          <w:tcPr>
            <w:tcW w:w="2240" w:type="dxa"/>
            <w:vAlign w:val="bottom"/>
            <w:tcBorders>
              <w:right w:val="single" w:sz="8" w:color="012E6C"/>
            </w:tcBorders>
            <w:vMerge w:val="continue"/>
            <w:shd w:val="clear" w:color="auto" w:fill="E5E7EF"/>
          </w:tcPr>
          <w:p>
            <w:pPr>
              <w:spacing w:after="0"/>
              <w:rPr>
                <w:sz w:val="6"/>
                <w:szCs w:val="6"/>
                <w:color w:val="auto"/>
              </w:rPr>
            </w:pPr>
          </w:p>
        </w:tc>
        <w:tc>
          <w:tcPr>
            <w:tcW w:w="2040" w:type="dxa"/>
            <w:vAlign w:val="bottom"/>
            <w:tcBorders>
              <w:right w:val="single" w:sz="8" w:color="012E6C"/>
            </w:tcBorders>
            <w:vMerge w:val="continue"/>
            <w:shd w:val="clear" w:color="auto" w:fill="E5E7EF"/>
          </w:tcPr>
          <w:p>
            <w:pPr>
              <w:spacing w:after="0"/>
              <w:rPr>
                <w:sz w:val="6"/>
                <w:szCs w:val="6"/>
                <w:color w:val="auto"/>
              </w:rPr>
            </w:pPr>
          </w:p>
        </w:tc>
        <w:tc>
          <w:tcPr>
            <w:tcW w:w="1840" w:type="dxa"/>
            <w:vAlign w:val="bottom"/>
            <w:shd w:val="clear" w:color="auto" w:fill="E5E7EF"/>
          </w:tcPr>
          <w:p>
            <w:pPr>
              <w:spacing w:after="0"/>
              <w:rPr>
                <w:sz w:val="6"/>
                <w:szCs w:val="6"/>
                <w:color w:val="auto"/>
              </w:rPr>
            </w:pPr>
          </w:p>
        </w:tc>
        <w:tc>
          <w:tcPr>
            <w:tcW w:w="220" w:type="dxa"/>
            <w:vAlign w:val="bottom"/>
            <w:tcBorders>
              <w:right w:val="single" w:sz="8" w:color="012E6C"/>
            </w:tcBorders>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and, for 2020-22 awards,</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performance period.</w:t>
            </w:r>
          </w:p>
        </w:tc>
        <w:tc>
          <w:tcPr>
            <w:tcW w:w="1840" w:type="dxa"/>
            <w:vAlign w:val="bottom"/>
            <w:shd w:val="clear" w:color="auto" w:fill="E5E7EF"/>
          </w:tcPr>
          <w:p>
            <w:pPr>
              <w:spacing w:after="0"/>
              <w:rPr>
                <w:sz w:val="8"/>
                <w:szCs w:val="8"/>
                <w:color w:val="auto"/>
              </w:rPr>
            </w:pPr>
          </w:p>
        </w:tc>
        <w:tc>
          <w:tcPr>
            <w:tcW w:w="2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minimum service from</w:t>
            </w: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continue"/>
            <w:shd w:val="clear" w:color="auto" w:fill="E5E7EF"/>
          </w:tcPr>
          <w:p>
            <w:pPr>
              <w:spacing w:after="0"/>
              <w:rPr>
                <w:sz w:val="7"/>
                <w:szCs w:val="7"/>
                <w:color w:val="auto"/>
              </w:rPr>
            </w:pPr>
          </w:p>
        </w:tc>
        <w:tc>
          <w:tcPr>
            <w:tcW w:w="2040" w:type="dxa"/>
            <w:vAlign w:val="bottom"/>
            <w:tcBorders>
              <w:right w:val="single" w:sz="8" w:color="012E6C"/>
            </w:tcBorders>
            <w:vMerge w:val="continue"/>
            <w:shd w:val="clear" w:color="auto" w:fill="E5E7EF"/>
          </w:tcPr>
          <w:p>
            <w:pPr>
              <w:spacing w:after="0"/>
              <w:rPr>
                <w:sz w:val="7"/>
                <w:szCs w:val="7"/>
                <w:color w:val="auto"/>
              </w:rPr>
            </w:pPr>
          </w:p>
        </w:tc>
        <w:tc>
          <w:tcPr>
            <w:tcW w:w="1840" w:type="dxa"/>
            <w:vAlign w:val="bottom"/>
            <w:shd w:val="clear" w:color="auto" w:fill="E5E7EF"/>
          </w:tcPr>
          <w:p>
            <w:pPr>
              <w:spacing w:after="0"/>
              <w:rPr>
                <w:sz w:val="7"/>
                <w:szCs w:val="7"/>
                <w:color w:val="auto"/>
              </w:rPr>
            </w:pPr>
          </w:p>
        </w:tc>
        <w:tc>
          <w:tcPr>
            <w:tcW w:w="2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execution of a release of claims</w:t>
            </w:r>
          </w:p>
        </w:tc>
        <w:tc>
          <w:tcPr>
            <w:tcW w:w="2040" w:type="dxa"/>
            <w:vAlign w:val="bottom"/>
            <w:tcBorders>
              <w:right w:val="single" w:sz="8" w:color="012E6C"/>
            </w:tcBorders>
            <w:shd w:val="clear" w:color="auto" w:fill="E5E7EF"/>
          </w:tcPr>
          <w:p>
            <w:pPr>
              <w:spacing w:after="0"/>
              <w:rPr>
                <w:sz w:val="8"/>
                <w:szCs w:val="8"/>
                <w:color w:val="auto"/>
              </w:rPr>
            </w:pPr>
          </w:p>
        </w:tc>
        <w:tc>
          <w:tcPr>
            <w:tcW w:w="1840" w:type="dxa"/>
            <w:vAlign w:val="bottom"/>
            <w:shd w:val="clear" w:color="auto" w:fill="E5E7EF"/>
          </w:tcPr>
          <w:p>
            <w:pPr>
              <w:spacing w:after="0"/>
              <w:rPr>
                <w:sz w:val="8"/>
                <w:szCs w:val="8"/>
                <w:color w:val="auto"/>
              </w:rPr>
            </w:pPr>
          </w:p>
        </w:tc>
        <w:tc>
          <w:tcPr>
            <w:tcW w:w="2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date of grant.</w:t>
            </w: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continue"/>
            <w:shd w:val="clear" w:color="auto" w:fill="E5E7EF"/>
          </w:tcPr>
          <w:p>
            <w:pPr>
              <w:spacing w:after="0"/>
              <w:rPr>
                <w:sz w:val="7"/>
                <w:szCs w:val="7"/>
                <w:color w:val="auto"/>
              </w:rPr>
            </w:pPr>
          </w:p>
        </w:tc>
        <w:tc>
          <w:tcPr>
            <w:tcW w:w="2040" w:type="dxa"/>
            <w:vAlign w:val="bottom"/>
            <w:tcBorders>
              <w:right w:val="single" w:sz="8" w:color="012E6C"/>
            </w:tcBorders>
            <w:shd w:val="clear" w:color="auto" w:fill="E5E7EF"/>
          </w:tcPr>
          <w:p>
            <w:pPr>
              <w:spacing w:after="0"/>
              <w:rPr>
                <w:sz w:val="7"/>
                <w:szCs w:val="7"/>
                <w:color w:val="auto"/>
              </w:rPr>
            </w:pPr>
          </w:p>
        </w:tc>
        <w:tc>
          <w:tcPr>
            <w:tcW w:w="1840" w:type="dxa"/>
            <w:vAlign w:val="bottom"/>
            <w:shd w:val="clear" w:color="auto" w:fill="E5E7EF"/>
          </w:tcPr>
          <w:p>
            <w:pPr>
              <w:spacing w:after="0"/>
              <w:rPr>
                <w:sz w:val="7"/>
                <w:szCs w:val="7"/>
                <w:color w:val="auto"/>
              </w:rPr>
            </w:pPr>
          </w:p>
        </w:tc>
        <w:tc>
          <w:tcPr>
            <w:tcW w:w="2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for layoff.</w:t>
            </w:r>
          </w:p>
        </w:tc>
        <w:tc>
          <w:tcPr>
            <w:tcW w:w="2040" w:type="dxa"/>
            <w:vAlign w:val="bottom"/>
            <w:tcBorders>
              <w:right w:val="single" w:sz="8" w:color="012E6C"/>
            </w:tcBorders>
            <w:shd w:val="clear" w:color="auto" w:fill="E5E7EF"/>
          </w:tcPr>
          <w:p>
            <w:pPr>
              <w:spacing w:after="0"/>
              <w:rPr>
                <w:sz w:val="8"/>
                <w:szCs w:val="8"/>
                <w:color w:val="auto"/>
              </w:rPr>
            </w:pPr>
          </w:p>
        </w:tc>
        <w:tc>
          <w:tcPr>
            <w:tcW w:w="1840" w:type="dxa"/>
            <w:vAlign w:val="bottom"/>
            <w:shd w:val="clear" w:color="auto" w:fill="E5E7EF"/>
          </w:tcPr>
          <w:p>
            <w:pPr>
              <w:spacing w:after="0"/>
              <w:rPr>
                <w:sz w:val="8"/>
                <w:szCs w:val="8"/>
                <w:color w:val="auto"/>
              </w:rPr>
            </w:pPr>
          </w:p>
        </w:tc>
        <w:tc>
          <w:tcPr>
            <w:tcW w:w="2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continue"/>
            <w:shd w:val="clear" w:color="auto" w:fill="E5E7EF"/>
          </w:tcPr>
          <w:p>
            <w:pPr>
              <w:spacing w:after="0"/>
              <w:rPr>
                <w:sz w:val="7"/>
                <w:szCs w:val="7"/>
                <w:color w:val="auto"/>
              </w:rPr>
            </w:pPr>
          </w:p>
        </w:tc>
        <w:tc>
          <w:tcPr>
            <w:tcW w:w="2040" w:type="dxa"/>
            <w:vAlign w:val="bottom"/>
            <w:tcBorders>
              <w:right w:val="single" w:sz="8" w:color="012E6C"/>
            </w:tcBorders>
            <w:shd w:val="clear" w:color="auto" w:fill="E5E7EF"/>
          </w:tcPr>
          <w:p>
            <w:pPr>
              <w:spacing w:after="0"/>
              <w:rPr>
                <w:sz w:val="7"/>
                <w:szCs w:val="7"/>
                <w:color w:val="auto"/>
              </w:rPr>
            </w:pPr>
          </w:p>
        </w:tc>
        <w:tc>
          <w:tcPr>
            <w:tcW w:w="1840" w:type="dxa"/>
            <w:vAlign w:val="bottom"/>
            <w:shd w:val="clear" w:color="auto" w:fill="E5E7EF"/>
          </w:tcPr>
          <w:p>
            <w:pPr>
              <w:spacing w:after="0"/>
              <w:rPr>
                <w:sz w:val="7"/>
                <w:szCs w:val="7"/>
                <w:color w:val="auto"/>
              </w:rPr>
            </w:pPr>
          </w:p>
        </w:tc>
        <w:tc>
          <w:tcPr>
            <w:tcW w:w="2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1060" w:type="dxa"/>
            <w:vAlign w:val="bottom"/>
            <w:tcBorders>
              <w:left w:val="single" w:sz="8" w:color="012E6C"/>
              <w:bottom w:val="single" w:sz="8" w:color="012E6C"/>
              <w:right w:val="single" w:sz="8" w:color="012E6C"/>
            </w:tcBorders>
            <w:shd w:val="clear" w:color="auto" w:fill="E5E7EF"/>
          </w:tcPr>
          <w:p>
            <w:pPr>
              <w:spacing w:after="0"/>
              <w:rPr>
                <w:sz w:val="22"/>
                <w:szCs w:val="22"/>
                <w:color w:val="auto"/>
              </w:rPr>
            </w:pPr>
          </w:p>
        </w:tc>
        <w:tc>
          <w:tcPr>
            <w:tcW w:w="1920" w:type="dxa"/>
            <w:vAlign w:val="bottom"/>
            <w:tcBorders>
              <w:bottom w:val="single" w:sz="8" w:color="012E6C"/>
              <w:right w:val="single" w:sz="8" w:color="012E6C"/>
            </w:tcBorders>
            <w:shd w:val="clear" w:color="auto" w:fill="E5E7EF"/>
          </w:tcPr>
          <w:p>
            <w:pPr>
              <w:spacing w:after="0"/>
              <w:rPr>
                <w:sz w:val="22"/>
                <w:szCs w:val="22"/>
                <w:color w:val="auto"/>
              </w:rPr>
            </w:pPr>
          </w:p>
        </w:tc>
        <w:tc>
          <w:tcPr>
            <w:tcW w:w="1940" w:type="dxa"/>
            <w:vAlign w:val="bottom"/>
            <w:tcBorders>
              <w:bottom w:val="single" w:sz="8" w:color="012E6C"/>
              <w:right w:val="single" w:sz="8" w:color="012E6C"/>
            </w:tcBorders>
            <w:shd w:val="clear" w:color="auto" w:fill="E5E7EF"/>
          </w:tcPr>
          <w:p>
            <w:pPr>
              <w:spacing w:after="0"/>
              <w:rPr>
                <w:sz w:val="22"/>
                <w:szCs w:val="22"/>
                <w:color w:val="auto"/>
              </w:rPr>
            </w:pPr>
          </w:p>
        </w:tc>
        <w:tc>
          <w:tcPr>
            <w:tcW w:w="2240" w:type="dxa"/>
            <w:vAlign w:val="bottom"/>
            <w:tcBorders>
              <w:bottom w:val="single" w:sz="8" w:color="012E6C"/>
              <w:right w:val="single" w:sz="8" w:color="012E6C"/>
            </w:tcBorders>
            <w:shd w:val="clear" w:color="auto" w:fill="E5E7EF"/>
          </w:tcPr>
          <w:p>
            <w:pPr>
              <w:spacing w:after="0"/>
              <w:rPr>
                <w:sz w:val="22"/>
                <w:szCs w:val="22"/>
                <w:color w:val="auto"/>
              </w:rPr>
            </w:pPr>
          </w:p>
        </w:tc>
        <w:tc>
          <w:tcPr>
            <w:tcW w:w="2040" w:type="dxa"/>
            <w:vAlign w:val="bottom"/>
            <w:tcBorders>
              <w:bottom w:val="single" w:sz="8" w:color="012E6C"/>
              <w:right w:val="single" w:sz="8" w:color="012E6C"/>
            </w:tcBorders>
            <w:shd w:val="clear" w:color="auto" w:fill="E5E7EF"/>
          </w:tcPr>
          <w:p>
            <w:pPr>
              <w:spacing w:after="0"/>
              <w:rPr>
                <w:sz w:val="22"/>
                <w:szCs w:val="22"/>
                <w:color w:val="auto"/>
              </w:rPr>
            </w:pPr>
          </w:p>
        </w:tc>
        <w:tc>
          <w:tcPr>
            <w:tcW w:w="1840" w:type="dxa"/>
            <w:vAlign w:val="bottom"/>
            <w:tcBorders>
              <w:bottom w:val="single" w:sz="8" w:color="012E6C"/>
            </w:tcBorders>
            <w:shd w:val="clear" w:color="auto" w:fill="E5E7EF"/>
          </w:tcPr>
          <w:p>
            <w:pPr>
              <w:spacing w:after="0"/>
              <w:rPr>
                <w:sz w:val="22"/>
                <w:szCs w:val="22"/>
                <w:color w:val="auto"/>
              </w:rPr>
            </w:pPr>
          </w:p>
        </w:tc>
        <w:tc>
          <w:tcPr>
            <w:tcW w:w="220" w:type="dxa"/>
            <w:vAlign w:val="bottom"/>
            <w:tcBorders>
              <w:bottom w:val="single" w:sz="8" w:color="012E6C"/>
              <w:right w:val="single" w:sz="8" w:color="012E6C"/>
            </w:tcBorders>
            <w:shd w:val="clear" w:color="auto" w:fill="E5E7E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060" w:type="dxa"/>
            <w:vAlign w:val="bottom"/>
            <w:tcBorders>
              <w:left w:val="single" w:sz="8" w:color="012E6C"/>
              <w:right w:val="single" w:sz="8" w:color="012E6C"/>
            </w:tcBorders>
          </w:tcPr>
          <w:p>
            <w:pPr>
              <w:spacing w:after="0"/>
              <w:rPr>
                <w:sz w:val="21"/>
                <w:szCs w:val="21"/>
                <w:color w:val="auto"/>
              </w:rPr>
            </w:pPr>
          </w:p>
        </w:tc>
        <w:tc>
          <w:tcPr>
            <w:tcW w:w="1920" w:type="dxa"/>
            <w:vAlign w:val="bottom"/>
            <w:tcBorders>
              <w:right w:val="single" w:sz="8" w:color="012E6C"/>
            </w:tcBorders>
          </w:tcPr>
          <w:p>
            <w:pPr>
              <w:spacing w:after="0"/>
              <w:rPr>
                <w:sz w:val="21"/>
                <w:szCs w:val="21"/>
                <w:color w:val="auto"/>
              </w:rPr>
            </w:pPr>
          </w:p>
        </w:tc>
        <w:tc>
          <w:tcPr>
            <w:tcW w:w="1940" w:type="dxa"/>
            <w:vAlign w:val="bottom"/>
            <w:tcBorders>
              <w:right w:val="single" w:sz="8" w:color="012E6C"/>
            </w:tcBorders>
          </w:tcPr>
          <w:p>
            <w:pPr>
              <w:spacing w:after="0"/>
              <w:rPr>
                <w:sz w:val="21"/>
                <w:szCs w:val="21"/>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No payment in the case of</w:t>
            </w:r>
          </w:p>
        </w:tc>
        <w:tc>
          <w:tcPr>
            <w:tcW w:w="2040" w:type="dxa"/>
            <w:vAlign w:val="bottom"/>
            <w:tcBorders>
              <w:right w:val="single" w:sz="8" w:color="012E6C"/>
            </w:tcBorders>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Borders>
              <w:right w:val="single" w:sz="8" w:color="012E6C"/>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death or disability. Payment of</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a lump sum amount equal to a</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multiple of salary, annual bonus</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2E6D"/>
                <w:w w:val="99"/>
              </w:rPr>
              <w:t>Executive</w:t>
            </w: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equivalent, and health care</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1060" w:type="dxa"/>
            <w:vAlign w:val="bottom"/>
            <w:tcBorders>
              <w:left w:val="single" w:sz="8" w:color="012E6C"/>
              <w:right w:val="single" w:sz="8" w:color="012E6C"/>
            </w:tcBorders>
            <w:vMerge w:val="continue"/>
          </w:tcPr>
          <w:p>
            <w:pPr>
              <w:spacing w:after="0"/>
              <w:rPr>
                <w:sz w:val="6"/>
                <w:szCs w:val="6"/>
                <w:color w:val="auto"/>
              </w:rPr>
            </w:pPr>
          </w:p>
        </w:tc>
        <w:tc>
          <w:tcPr>
            <w:tcW w:w="1920" w:type="dxa"/>
            <w:vAlign w:val="bottom"/>
            <w:tcBorders>
              <w:right w:val="single" w:sz="8" w:color="012E6C"/>
            </w:tcBorders>
          </w:tcPr>
          <w:p>
            <w:pPr>
              <w:spacing w:after="0"/>
              <w:rPr>
                <w:sz w:val="6"/>
                <w:szCs w:val="6"/>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No payment unless</w:t>
            </w:r>
          </w:p>
        </w:tc>
        <w:tc>
          <w:tcPr>
            <w:tcW w:w="22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continuation coverage cost plus</w:t>
            </w:r>
          </w:p>
        </w:tc>
        <w:tc>
          <w:tcPr>
            <w:tcW w:w="2040" w:type="dxa"/>
            <w:vAlign w:val="bottom"/>
            <w:tcBorders>
              <w:right w:val="single" w:sz="8" w:color="012E6C"/>
            </w:tcBorders>
          </w:tcPr>
          <w:p>
            <w:pPr>
              <w:spacing w:after="0"/>
              <w:rPr>
                <w:sz w:val="6"/>
                <w:szCs w:val="6"/>
                <w:color w:val="auto"/>
              </w:rPr>
            </w:pPr>
          </w:p>
        </w:tc>
        <w:tc>
          <w:tcPr>
            <w:tcW w:w="1840" w:type="dxa"/>
            <w:vAlign w:val="bottom"/>
          </w:tcPr>
          <w:p>
            <w:pPr>
              <w:spacing w:after="0"/>
              <w:rPr>
                <w:sz w:val="6"/>
                <w:szCs w:val="6"/>
                <w:color w:val="auto"/>
              </w:rPr>
            </w:pPr>
          </w:p>
        </w:tc>
        <w:tc>
          <w:tcPr>
            <w:tcW w:w="220" w:type="dxa"/>
            <w:vAlign w:val="bottom"/>
            <w:tcBorders>
              <w:right w:val="single" w:sz="8" w:color="012E6C"/>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2E6D"/>
              </w:rPr>
              <w:t>Severance</w:t>
            </w:r>
          </w:p>
        </w:tc>
        <w:tc>
          <w:tcPr>
            <w:tcW w:w="1920" w:type="dxa"/>
            <w:vAlign w:val="bottom"/>
            <w:tcBorders>
              <w:right w:val="single" w:sz="8" w:color="012E6C"/>
            </w:tcBorders>
            <w:vMerge w:val="restart"/>
          </w:tcPr>
          <w:p>
            <w:pPr>
              <w:ind w:left="80"/>
              <w:spacing w:after="0"/>
              <w:rPr>
                <w:sz w:val="20"/>
                <w:szCs w:val="20"/>
                <w:color w:val="auto"/>
              </w:rPr>
            </w:pPr>
            <w:r>
              <w:rPr>
                <w:rFonts w:ascii="Arial" w:cs="Arial" w:eastAsia="Arial" w:hAnsi="Arial"/>
                <w:sz w:val="14"/>
                <w:szCs w:val="14"/>
                <w:color w:val="auto"/>
              </w:rPr>
              <w:t>No payment.</w:t>
            </w:r>
          </w:p>
        </w:tc>
        <w:tc>
          <w:tcPr>
            <w:tcW w:w="1940" w:type="dxa"/>
            <w:vAlign w:val="bottom"/>
            <w:tcBorders>
              <w:right w:val="single" w:sz="8" w:color="012E6C"/>
            </w:tcBorders>
            <w:vMerge w:val="continue"/>
          </w:tcPr>
          <w:p>
            <w:pPr>
              <w:spacing w:after="0"/>
              <w:rPr>
                <w:sz w:val="9"/>
                <w:szCs w:val="9"/>
                <w:color w:val="auto"/>
              </w:rPr>
            </w:pPr>
          </w:p>
        </w:tc>
        <w:tc>
          <w:tcPr>
            <w:tcW w:w="2240" w:type="dxa"/>
            <w:vAlign w:val="bottom"/>
            <w:tcBorders>
              <w:right w:val="single" w:sz="8" w:color="012E6C"/>
            </w:tcBorders>
            <w:vMerge w:val="continue"/>
          </w:tcPr>
          <w:p>
            <w:pPr>
              <w:spacing w:after="0"/>
              <w:rPr>
                <w:sz w:val="9"/>
                <w:szCs w:val="9"/>
                <w:color w:val="auto"/>
              </w:rPr>
            </w:pPr>
          </w:p>
        </w:tc>
        <w:tc>
          <w:tcPr>
            <w:tcW w:w="2040" w:type="dxa"/>
            <w:vAlign w:val="bottom"/>
            <w:tcBorders>
              <w:right w:val="single" w:sz="8" w:color="012E6C"/>
            </w:tcBorders>
            <w:vMerge w:val="restart"/>
          </w:tcPr>
          <w:p>
            <w:pPr>
              <w:ind w:left="80"/>
              <w:spacing w:after="0"/>
              <w:rPr>
                <w:sz w:val="20"/>
                <w:szCs w:val="20"/>
                <w:color w:val="auto"/>
              </w:rPr>
            </w:pPr>
            <w:r>
              <w:rPr>
                <w:rFonts w:ascii="Arial" w:cs="Arial" w:eastAsia="Arial" w:hAnsi="Arial"/>
                <w:sz w:val="14"/>
                <w:szCs w:val="14"/>
                <w:color w:val="auto"/>
              </w:rPr>
              <w:t>No payment.</w:t>
            </w:r>
          </w:p>
        </w:tc>
        <w:tc>
          <w:tcPr>
            <w:tcW w:w="1840" w:type="dxa"/>
            <w:vAlign w:val="bottom"/>
            <w:vMerge w:val="restart"/>
          </w:tcPr>
          <w:p>
            <w:pPr>
              <w:ind w:left="100"/>
              <w:spacing w:after="0"/>
              <w:rPr>
                <w:sz w:val="20"/>
                <w:szCs w:val="20"/>
                <w:color w:val="auto"/>
              </w:rPr>
            </w:pPr>
            <w:r>
              <w:rPr>
                <w:rFonts w:ascii="Arial" w:cs="Arial" w:eastAsia="Arial" w:hAnsi="Arial"/>
                <w:sz w:val="14"/>
                <w:szCs w:val="14"/>
                <w:color w:val="auto"/>
              </w:rPr>
              <w:t>No payment.</w:t>
            </w:r>
          </w:p>
        </w:tc>
        <w:tc>
          <w:tcPr>
            <w:tcW w:w="220" w:type="dxa"/>
            <w:vAlign w:val="bottom"/>
            <w:tcBorders>
              <w:right w:val="single" w:sz="8" w:color="012E6C"/>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060" w:type="dxa"/>
            <w:vAlign w:val="bottom"/>
            <w:tcBorders>
              <w:left w:val="single" w:sz="8" w:color="012E6C"/>
              <w:right w:val="single" w:sz="8" w:color="012E6C"/>
            </w:tcBorders>
            <w:vMerge w:val="continue"/>
          </w:tcPr>
          <w:p>
            <w:pPr>
              <w:spacing w:after="0"/>
              <w:rPr>
                <w:sz w:val="7"/>
                <w:szCs w:val="7"/>
                <w:color w:val="auto"/>
              </w:rPr>
            </w:pPr>
          </w:p>
        </w:tc>
        <w:tc>
          <w:tcPr>
            <w:tcW w:w="1920" w:type="dxa"/>
            <w:vAlign w:val="bottom"/>
            <w:tcBorders>
              <w:right w:val="single" w:sz="8" w:color="012E6C"/>
            </w:tcBorders>
            <w:vMerge w:val="continue"/>
          </w:tcPr>
          <w:p>
            <w:pPr>
              <w:spacing w:after="0"/>
              <w:rPr>
                <w:sz w:val="7"/>
                <w:szCs w:val="7"/>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terminated.</w:t>
            </w:r>
          </w:p>
        </w:tc>
        <w:tc>
          <w:tcPr>
            <w:tcW w:w="22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outplacement services and</w:t>
            </w:r>
          </w:p>
        </w:tc>
        <w:tc>
          <w:tcPr>
            <w:tcW w:w="2040" w:type="dxa"/>
            <w:vAlign w:val="bottom"/>
            <w:tcBorders>
              <w:right w:val="single" w:sz="8" w:color="012E6C"/>
            </w:tcBorders>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220" w:type="dxa"/>
            <w:vAlign w:val="bottom"/>
            <w:tcBorders>
              <w:right w:val="single" w:sz="8" w:color="012E6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2E6D"/>
              </w:rPr>
              <w:t>Plan</w:t>
            </w:r>
          </w:p>
        </w:tc>
        <w:tc>
          <w:tcPr>
            <w:tcW w:w="1920" w:type="dxa"/>
            <w:vAlign w:val="bottom"/>
            <w:tcBorders>
              <w:right w:val="single" w:sz="8" w:color="012E6C"/>
            </w:tcBorders>
          </w:tcPr>
          <w:p>
            <w:pPr>
              <w:spacing w:after="0"/>
              <w:rPr>
                <w:sz w:val="7"/>
                <w:szCs w:val="7"/>
                <w:color w:val="auto"/>
              </w:rPr>
            </w:pPr>
          </w:p>
        </w:tc>
        <w:tc>
          <w:tcPr>
            <w:tcW w:w="1940" w:type="dxa"/>
            <w:vAlign w:val="bottom"/>
            <w:tcBorders>
              <w:right w:val="single" w:sz="8" w:color="012E6C"/>
            </w:tcBorders>
            <w:vMerge w:val="continue"/>
          </w:tcPr>
          <w:p>
            <w:pPr>
              <w:spacing w:after="0"/>
              <w:rPr>
                <w:sz w:val="7"/>
                <w:szCs w:val="7"/>
                <w:color w:val="auto"/>
              </w:rPr>
            </w:pPr>
          </w:p>
        </w:tc>
        <w:tc>
          <w:tcPr>
            <w:tcW w:w="2240" w:type="dxa"/>
            <w:vAlign w:val="bottom"/>
            <w:tcBorders>
              <w:right w:val="single" w:sz="8" w:color="012E6C"/>
            </w:tcBorders>
            <w:vMerge w:val="continue"/>
          </w:tcPr>
          <w:p>
            <w:pPr>
              <w:spacing w:after="0"/>
              <w:rPr>
                <w:sz w:val="7"/>
                <w:szCs w:val="7"/>
                <w:color w:val="auto"/>
              </w:rPr>
            </w:pPr>
          </w:p>
        </w:tc>
        <w:tc>
          <w:tcPr>
            <w:tcW w:w="2040" w:type="dxa"/>
            <w:vAlign w:val="bottom"/>
            <w:tcBorders>
              <w:right w:val="single" w:sz="8" w:color="012E6C"/>
            </w:tcBorders>
          </w:tcPr>
          <w:p>
            <w:pPr>
              <w:spacing w:after="0"/>
              <w:rPr>
                <w:sz w:val="7"/>
                <w:szCs w:val="7"/>
                <w:color w:val="auto"/>
              </w:rPr>
            </w:pPr>
          </w:p>
        </w:tc>
        <w:tc>
          <w:tcPr>
            <w:tcW w:w="1840" w:type="dxa"/>
            <w:vAlign w:val="bottom"/>
          </w:tcPr>
          <w:p>
            <w:pPr>
              <w:spacing w:after="0"/>
              <w:rPr>
                <w:sz w:val="7"/>
                <w:szCs w:val="7"/>
                <w:color w:val="auto"/>
              </w:rPr>
            </w:pPr>
          </w:p>
        </w:tc>
        <w:tc>
          <w:tcPr>
            <w:tcW w:w="220" w:type="dxa"/>
            <w:vAlign w:val="bottom"/>
            <w:tcBorders>
              <w:right w:val="single" w:sz="8" w:color="012E6C"/>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060" w:type="dxa"/>
            <w:vAlign w:val="bottom"/>
            <w:tcBorders>
              <w:left w:val="single" w:sz="8" w:color="012E6C"/>
              <w:right w:val="single" w:sz="8" w:color="012E6C"/>
            </w:tcBorders>
            <w:vMerge w:val="continue"/>
          </w:tcPr>
          <w:p>
            <w:pPr>
              <w:spacing w:after="0"/>
              <w:rPr>
                <w:sz w:val="9"/>
                <w:szCs w:val="9"/>
                <w:color w:val="auto"/>
              </w:rPr>
            </w:pPr>
          </w:p>
        </w:tc>
        <w:tc>
          <w:tcPr>
            <w:tcW w:w="1920" w:type="dxa"/>
            <w:vAlign w:val="bottom"/>
            <w:tcBorders>
              <w:right w:val="single" w:sz="8" w:color="012E6C"/>
            </w:tcBorders>
          </w:tcPr>
          <w:p>
            <w:pPr>
              <w:spacing w:after="0"/>
              <w:rPr>
                <w:sz w:val="9"/>
                <w:szCs w:val="9"/>
                <w:color w:val="auto"/>
              </w:rPr>
            </w:pPr>
          </w:p>
        </w:tc>
        <w:tc>
          <w:tcPr>
            <w:tcW w:w="1940" w:type="dxa"/>
            <w:vAlign w:val="bottom"/>
            <w:tcBorders>
              <w:right w:val="single" w:sz="8" w:color="012E6C"/>
            </w:tcBorders>
          </w:tcPr>
          <w:p>
            <w:pPr>
              <w:spacing w:after="0"/>
              <w:rPr>
                <w:sz w:val="9"/>
                <w:szCs w:val="9"/>
                <w:color w:val="auto"/>
              </w:rPr>
            </w:pPr>
          </w:p>
        </w:tc>
        <w:tc>
          <w:tcPr>
            <w:tcW w:w="22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relocation assistance. The</w:t>
            </w:r>
          </w:p>
        </w:tc>
        <w:tc>
          <w:tcPr>
            <w:tcW w:w="2040" w:type="dxa"/>
            <w:vAlign w:val="bottom"/>
            <w:tcBorders>
              <w:right w:val="single" w:sz="8" w:color="012E6C"/>
            </w:tcBorders>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Borders>
              <w:right w:val="single" w:sz="8" w:color="012E6C"/>
            </w:tcBorders>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60" w:type="dxa"/>
            <w:vAlign w:val="bottom"/>
            <w:tcBorders>
              <w:left w:val="single" w:sz="8" w:color="012E6C"/>
              <w:right w:val="single" w:sz="8" w:color="012E6C"/>
            </w:tcBorders>
          </w:tcPr>
          <w:p>
            <w:pPr>
              <w:spacing w:after="0"/>
              <w:rPr>
                <w:sz w:val="5"/>
                <w:szCs w:val="5"/>
                <w:color w:val="auto"/>
              </w:rPr>
            </w:pPr>
          </w:p>
        </w:tc>
        <w:tc>
          <w:tcPr>
            <w:tcW w:w="1920" w:type="dxa"/>
            <w:vAlign w:val="bottom"/>
            <w:tcBorders>
              <w:right w:val="single" w:sz="8" w:color="012E6C"/>
            </w:tcBorders>
          </w:tcPr>
          <w:p>
            <w:pPr>
              <w:spacing w:after="0"/>
              <w:rPr>
                <w:sz w:val="5"/>
                <w:szCs w:val="5"/>
                <w:color w:val="auto"/>
              </w:rPr>
            </w:pPr>
          </w:p>
        </w:tc>
        <w:tc>
          <w:tcPr>
            <w:tcW w:w="1940" w:type="dxa"/>
            <w:vAlign w:val="bottom"/>
            <w:tcBorders>
              <w:right w:val="single" w:sz="8" w:color="012E6C"/>
            </w:tcBorders>
          </w:tcPr>
          <w:p>
            <w:pPr>
              <w:spacing w:after="0"/>
              <w:rPr>
                <w:sz w:val="5"/>
                <w:szCs w:val="5"/>
                <w:color w:val="auto"/>
              </w:rPr>
            </w:pPr>
          </w:p>
        </w:tc>
        <w:tc>
          <w:tcPr>
            <w:tcW w:w="2240" w:type="dxa"/>
            <w:vAlign w:val="bottom"/>
            <w:tcBorders>
              <w:right w:val="single" w:sz="8" w:color="012E6C"/>
            </w:tcBorders>
            <w:vMerge w:val="continue"/>
          </w:tcPr>
          <w:p>
            <w:pPr>
              <w:spacing w:after="0"/>
              <w:rPr>
                <w:sz w:val="5"/>
                <w:szCs w:val="5"/>
                <w:color w:val="auto"/>
              </w:rPr>
            </w:pPr>
          </w:p>
        </w:tc>
        <w:tc>
          <w:tcPr>
            <w:tcW w:w="2040" w:type="dxa"/>
            <w:vAlign w:val="bottom"/>
            <w:tcBorders>
              <w:right w:val="single" w:sz="8" w:color="012E6C"/>
            </w:tcBorders>
          </w:tcPr>
          <w:p>
            <w:pPr>
              <w:spacing w:after="0"/>
              <w:rPr>
                <w:sz w:val="5"/>
                <w:szCs w:val="5"/>
                <w:color w:val="auto"/>
              </w:rPr>
            </w:pPr>
          </w:p>
        </w:tc>
        <w:tc>
          <w:tcPr>
            <w:tcW w:w="1840" w:type="dxa"/>
            <w:vAlign w:val="bottom"/>
          </w:tcPr>
          <w:p>
            <w:pPr>
              <w:spacing w:after="0"/>
              <w:rPr>
                <w:sz w:val="5"/>
                <w:szCs w:val="5"/>
                <w:color w:val="auto"/>
              </w:rPr>
            </w:pPr>
          </w:p>
        </w:tc>
        <w:tc>
          <w:tcPr>
            <w:tcW w:w="220" w:type="dxa"/>
            <w:vAlign w:val="bottom"/>
            <w:tcBorders>
              <w:right w:val="single" w:sz="8" w:color="012E6C"/>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multiple of salary and annual</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bonus equivalent for the CEO</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is 2.99; for all other NEOs it is</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1.0.</w:t>
            </w:r>
          </w:p>
        </w:tc>
        <w:tc>
          <w:tcPr>
            <w:tcW w:w="2040" w:type="dxa"/>
            <w:vAlign w:val="bottom"/>
            <w:tcBorders>
              <w:right w:val="single" w:sz="8" w:color="012E6C"/>
            </w:tcBorders>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060" w:type="dxa"/>
            <w:vAlign w:val="bottom"/>
            <w:tcBorders>
              <w:left w:val="single" w:sz="8" w:color="012E6C"/>
              <w:bottom w:val="single" w:sz="8" w:color="012E6C"/>
              <w:right w:val="single" w:sz="8" w:color="012E6C"/>
            </w:tcBorders>
          </w:tcPr>
          <w:p>
            <w:pPr>
              <w:spacing w:after="0"/>
              <w:rPr>
                <w:sz w:val="6"/>
                <w:szCs w:val="6"/>
                <w:color w:val="auto"/>
              </w:rPr>
            </w:pPr>
          </w:p>
        </w:tc>
        <w:tc>
          <w:tcPr>
            <w:tcW w:w="1920" w:type="dxa"/>
            <w:vAlign w:val="bottom"/>
            <w:tcBorders>
              <w:bottom w:val="single" w:sz="8" w:color="012E6C"/>
              <w:right w:val="single" w:sz="8" w:color="012E6C"/>
            </w:tcBorders>
          </w:tcPr>
          <w:p>
            <w:pPr>
              <w:spacing w:after="0"/>
              <w:rPr>
                <w:sz w:val="6"/>
                <w:szCs w:val="6"/>
                <w:color w:val="auto"/>
              </w:rPr>
            </w:pPr>
          </w:p>
        </w:tc>
        <w:tc>
          <w:tcPr>
            <w:tcW w:w="1940" w:type="dxa"/>
            <w:vAlign w:val="bottom"/>
            <w:tcBorders>
              <w:bottom w:val="single" w:sz="8" w:color="012E6C"/>
              <w:right w:val="single" w:sz="8" w:color="012E6C"/>
            </w:tcBorders>
          </w:tcPr>
          <w:p>
            <w:pPr>
              <w:spacing w:after="0"/>
              <w:rPr>
                <w:sz w:val="6"/>
                <w:szCs w:val="6"/>
                <w:color w:val="auto"/>
              </w:rPr>
            </w:pPr>
          </w:p>
        </w:tc>
        <w:tc>
          <w:tcPr>
            <w:tcW w:w="2240" w:type="dxa"/>
            <w:vAlign w:val="bottom"/>
            <w:tcBorders>
              <w:bottom w:val="single" w:sz="8" w:color="012E6C"/>
              <w:right w:val="single" w:sz="8" w:color="012E6C"/>
            </w:tcBorders>
          </w:tcPr>
          <w:p>
            <w:pPr>
              <w:spacing w:after="0"/>
              <w:rPr>
                <w:sz w:val="6"/>
                <w:szCs w:val="6"/>
                <w:color w:val="auto"/>
              </w:rPr>
            </w:pPr>
          </w:p>
        </w:tc>
        <w:tc>
          <w:tcPr>
            <w:tcW w:w="2040" w:type="dxa"/>
            <w:vAlign w:val="bottom"/>
            <w:tcBorders>
              <w:bottom w:val="single" w:sz="8" w:color="012E6C"/>
              <w:right w:val="single" w:sz="8" w:color="012E6C"/>
            </w:tcBorders>
          </w:tcPr>
          <w:p>
            <w:pPr>
              <w:spacing w:after="0"/>
              <w:rPr>
                <w:sz w:val="6"/>
                <w:szCs w:val="6"/>
                <w:color w:val="auto"/>
              </w:rPr>
            </w:pPr>
          </w:p>
        </w:tc>
        <w:tc>
          <w:tcPr>
            <w:tcW w:w="1840" w:type="dxa"/>
            <w:vAlign w:val="bottom"/>
            <w:tcBorders>
              <w:bottom w:val="single" w:sz="8" w:color="012E6C"/>
            </w:tcBorders>
          </w:tcPr>
          <w:p>
            <w:pPr>
              <w:spacing w:after="0"/>
              <w:rPr>
                <w:sz w:val="6"/>
                <w:szCs w:val="6"/>
                <w:color w:val="auto"/>
              </w:rPr>
            </w:pPr>
          </w:p>
        </w:tc>
        <w:tc>
          <w:tcPr>
            <w:tcW w:w="220" w:type="dxa"/>
            <w:vAlign w:val="bottom"/>
            <w:tcBorders>
              <w:bottom w:val="single" w:sz="8" w:color="012E6C"/>
              <w:right w:val="single" w:sz="8" w:color="012E6C"/>
            </w:tcBorders>
          </w:tcPr>
          <w:p>
            <w:pPr>
              <w:spacing w:after="0"/>
              <w:rPr>
                <w:sz w:val="6"/>
                <w:szCs w:val="6"/>
                <w:color w:val="auto"/>
              </w:rPr>
            </w:pPr>
          </w:p>
        </w:tc>
        <w:tc>
          <w:tcPr>
            <w:tcW w:w="0" w:type="dxa"/>
            <w:vAlign w:val="bottom"/>
          </w:tcPr>
          <w:p>
            <w:pPr>
              <w:spacing w:after="0"/>
              <w:rPr>
                <w:sz w:val="1"/>
                <w:szCs w:val="1"/>
                <w:color w:val="auto"/>
              </w:rPr>
            </w:pPr>
          </w:p>
        </w:tc>
      </w:tr>
      <w:tr>
        <w:trPr>
          <w:trHeight w:val="863"/>
        </w:trPr>
        <w:tc>
          <w:tcPr>
            <w:tcW w:w="2980" w:type="dxa"/>
            <w:vAlign w:val="bottom"/>
            <w:gridSpan w:val="2"/>
          </w:tcPr>
          <w:p>
            <w:pPr>
              <w:ind w:left="20"/>
              <w:spacing w:after="0"/>
              <w:rPr>
                <w:sz w:val="20"/>
                <w:szCs w:val="20"/>
                <w:color w:val="auto"/>
              </w:rPr>
            </w:pPr>
            <w:r>
              <w:rPr>
                <w:rFonts w:ascii="Arial" w:cs="Arial" w:eastAsia="Arial" w:hAnsi="Arial"/>
                <w:sz w:val="15"/>
                <w:szCs w:val="15"/>
                <w:color w:val="003478"/>
              </w:rPr>
              <w:t>www.lockheedmartin.com</w:t>
            </w:r>
          </w:p>
        </w:tc>
        <w:tc>
          <w:tcPr>
            <w:tcW w:w="1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80" w:type="dxa"/>
            <w:vAlign w:val="bottom"/>
            <w:gridSpan w:val="2"/>
          </w:tcPr>
          <w:p>
            <w:pPr>
              <w:ind w:left="1460"/>
              <w:spacing w:after="0"/>
              <w:rPr>
                <w:sz w:val="20"/>
                <w:szCs w:val="20"/>
                <w:color w:val="auto"/>
              </w:rPr>
            </w:pPr>
            <w:r>
              <w:rPr>
                <w:rFonts w:ascii="Arial" w:cs="Arial" w:eastAsia="Arial" w:hAnsi="Arial"/>
                <w:sz w:val="15"/>
                <w:szCs w:val="15"/>
                <w:color w:val="003478"/>
              </w:rPr>
              <w:t>2021 Proxy Statement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808080"/>
              </w:rPr>
              <w:t>71</w:t>
            </w:r>
          </w:p>
        </w:tc>
        <w:tc>
          <w:tcPr>
            <w:tcW w:w="0" w:type="dxa"/>
            <w:vAlign w:val="bottom"/>
          </w:tcPr>
          <w:p>
            <w:pPr>
              <w:spacing w:after="0"/>
              <w:rPr>
                <w:sz w:val="1"/>
                <w:szCs w:val="1"/>
                <w:color w:val="auto"/>
              </w:rPr>
            </w:pPr>
          </w:p>
        </w:tc>
      </w:tr>
    </w:tbl>
    <w:p>
      <w:pPr>
        <w:sectPr>
          <w:pgSz w:w="11900" w:h="16838" w:orient="portrait"/>
          <w:cols w:equalWidth="0" w:num="1">
            <w:col w:w="11260"/>
          </w:cols>
          <w:pgMar w:left="320" w:top="609" w:right="319" w:bottom="1440" w:gutter="0" w:footer="0" w:header="0"/>
        </w:sectPr>
      </w:pPr>
    </w:p>
    <w:bookmarkStart w:id="75" w:name="page76"/>
    <w:bookmarkEnd w:id="75"/>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060" w:type="dxa"/>
            <w:vAlign w:val="bottom"/>
            <w:tcBorders>
              <w:top w:val="single" w:sz="8" w:color="012E6C"/>
              <w:left w:val="single" w:sz="8" w:color="012E6C"/>
              <w:bottom w:val="single" w:sz="8" w:color="012E6C"/>
              <w:right w:val="single" w:sz="8" w:color="012E6C"/>
            </w:tcBorders>
          </w:tcPr>
          <w:p>
            <w:pPr>
              <w:spacing w:after="0"/>
              <w:rPr>
                <w:sz w:val="18"/>
                <w:szCs w:val="18"/>
                <w:color w:val="auto"/>
              </w:rPr>
            </w:pPr>
          </w:p>
        </w:tc>
        <w:tc>
          <w:tcPr>
            <w:tcW w:w="1920" w:type="dxa"/>
            <w:vAlign w:val="bottom"/>
            <w:tcBorders>
              <w:top w:val="single" w:sz="8" w:color="012E6C"/>
              <w:bottom w:val="single" w:sz="8" w:color="012E6C"/>
              <w:right w:val="single" w:sz="8" w:color="012E6C"/>
            </w:tcBorders>
          </w:tcPr>
          <w:p>
            <w:pPr>
              <w:ind w:left="620"/>
              <w:spacing w:after="0"/>
              <w:rPr>
                <w:sz w:val="20"/>
                <w:szCs w:val="20"/>
                <w:color w:val="auto"/>
              </w:rPr>
            </w:pPr>
            <w:r>
              <w:rPr>
                <w:rFonts w:ascii="Arial" w:cs="Arial" w:eastAsia="Arial" w:hAnsi="Arial"/>
                <w:sz w:val="13"/>
                <w:szCs w:val="13"/>
                <w:b w:val="1"/>
                <w:bCs w:val="1"/>
                <w:color w:val="auto"/>
              </w:rPr>
              <w:t>Retirement</w:t>
            </w:r>
          </w:p>
        </w:tc>
        <w:tc>
          <w:tcPr>
            <w:tcW w:w="1940" w:type="dxa"/>
            <w:vAlign w:val="bottom"/>
            <w:tcBorders>
              <w:top w:val="single" w:sz="8" w:color="012E6C"/>
              <w:bottom w:val="single" w:sz="8" w:color="012E6C"/>
              <w:right w:val="single" w:sz="8" w:color="012E6C"/>
            </w:tcBorders>
          </w:tcPr>
          <w:p>
            <w:pPr>
              <w:ind w:left="420"/>
              <w:spacing w:after="0"/>
              <w:rPr>
                <w:sz w:val="20"/>
                <w:szCs w:val="20"/>
                <w:color w:val="auto"/>
              </w:rPr>
            </w:pPr>
            <w:r>
              <w:rPr>
                <w:rFonts w:ascii="Arial" w:cs="Arial" w:eastAsia="Arial" w:hAnsi="Arial"/>
                <w:sz w:val="13"/>
                <w:szCs w:val="13"/>
                <w:b w:val="1"/>
                <w:bCs w:val="1"/>
                <w:color w:val="auto"/>
              </w:rPr>
              <w:t>Change in Control</w:t>
            </w:r>
          </w:p>
        </w:tc>
        <w:tc>
          <w:tcPr>
            <w:tcW w:w="2240" w:type="dxa"/>
            <w:vAlign w:val="bottom"/>
            <w:tcBorders>
              <w:top w:val="single" w:sz="8" w:color="012E6C"/>
              <w:bottom w:val="single" w:sz="8" w:color="012E6C"/>
              <w:right w:val="single" w:sz="8" w:color="012E6C"/>
            </w:tcBorders>
          </w:tcPr>
          <w:p>
            <w:pPr>
              <w:ind w:left="440"/>
              <w:spacing w:after="0"/>
              <w:rPr>
                <w:sz w:val="20"/>
                <w:szCs w:val="20"/>
                <w:color w:val="auto"/>
              </w:rPr>
            </w:pPr>
            <w:r>
              <w:rPr>
                <w:rFonts w:ascii="Arial" w:cs="Arial" w:eastAsia="Arial" w:hAnsi="Arial"/>
                <w:sz w:val="13"/>
                <w:szCs w:val="13"/>
                <w:b w:val="1"/>
                <w:bCs w:val="1"/>
                <w:color w:val="auto"/>
              </w:rPr>
              <w:t>Death/Disability/Layoff</w:t>
            </w:r>
          </w:p>
        </w:tc>
        <w:tc>
          <w:tcPr>
            <w:tcW w:w="2040" w:type="dxa"/>
            <w:vAlign w:val="bottom"/>
            <w:tcBorders>
              <w:top w:val="single" w:sz="8" w:color="012E6C"/>
              <w:bottom w:val="single" w:sz="8" w:color="012E6C"/>
              <w:right w:val="single" w:sz="8" w:color="012E6C"/>
            </w:tcBorders>
          </w:tcPr>
          <w:p>
            <w:pPr>
              <w:ind w:left="640"/>
              <w:spacing w:after="0"/>
              <w:rPr>
                <w:sz w:val="20"/>
                <w:szCs w:val="20"/>
                <w:color w:val="auto"/>
              </w:rPr>
            </w:pPr>
            <w:r>
              <w:rPr>
                <w:rFonts w:ascii="Arial" w:cs="Arial" w:eastAsia="Arial" w:hAnsi="Arial"/>
                <w:sz w:val="13"/>
                <w:szCs w:val="13"/>
                <w:b w:val="1"/>
                <w:bCs w:val="1"/>
                <w:color w:val="auto"/>
              </w:rPr>
              <w:t>Divestiture</w:t>
            </w:r>
            <w:r>
              <w:rPr>
                <w:rFonts w:ascii="Arial" w:cs="Arial" w:eastAsia="Arial" w:hAnsi="Arial"/>
                <w:sz w:val="16"/>
                <w:szCs w:val="16"/>
                <w:b w:val="1"/>
                <w:bCs w:val="1"/>
                <w:color w:val="auto"/>
                <w:vertAlign w:val="superscript"/>
              </w:rPr>
              <w:t>(1)</w:t>
            </w:r>
          </w:p>
        </w:tc>
        <w:tc>
          <w:tcPr>
            <w:tcW w:w="2060" w:type="dxa"/>
            <w:vAlign w:val="bottom"/>
            <w:tcBorders>
              <w:top w:val="single" w:sz="8" w:color="012E6C"/>
              <w:bottom w:val="single" w:sz="8" w:color="012E6C"/>
              <w:right w:val="single" w:sz="8" w:color="012E6C"/>
            </w:tcBorders>
          </w:tcPr>
          <w:p>
            <w:pPr>
              <w:ind w:left="280"/>
              <w:spacing w:after="0"/>
              <w:rPr>
                <w:sz w:val="20"/>
                <w:szCs w:val="20"/>
                <w:color w:val="auto"/>
              </w:rPr>
            </w:pPr>
            <w:r>
              <w:rPr>
                <w:rFonts w:ascii="Arial" w:cs="Arial" w:eastAsia="Arial" w:hAnsi="Arial"/>
                <w:sz w:val="13"/>
                <w:szCs w:val="13"/>
                <w:b w:val="1"/>
                <w:bCs w:val="1"/>
                <w:color w:val="auto"/>
              </w:rPr>
              <w:t>Termination/Resignation</w:t>
            </w:r>
          </w:p>
        </w:tc>
        <w:tc>
          <w:tcPr>
            <w:tcW w:w="0" w:type="dxa"/>
            <w:vAlign w:val="bottom"/>
          </w:tcPr>
          <w:p>
            <w:pPr>
              <w:spacing w:after="0"/>
              <w:rPr>
                <w:sz w:val="1"/>
                <w:szCs w:val="1"/>
                <w:color w:val="auto"/>
              </w:rPr>
            </w:pPr>
          </w:p>
        </w:tc>
      </w:tr>
      <w:tr>
        <w:trPr>
          <w:trHeight w:val="252"/>
        </w:trPr>
        <w:tc>
          <w:tcPr>
            <w:tcW w:w="1060" w:type="dxa"/>
            <w:vAlign w:val="bottom"/>
            <w:tcBorders>
              <w:left w:val="single" w:sz="8" w:color="012E6C"/>
              <w:right w:val="single" w:sz="8" w:color="012E6C"/>
            </w:tcBorders>
            <w:shd w:val="clear" w:color="auto" w:fill="E5E7EF"/>
          </w:tcPr>
          <w:p>
            <w:pPr>
              <w:spacing w:after="0"/>
              <w:rPr>
                <w:sz w:val="21"/>
                <w:szCs w:val="21"/>
                <w:color w:val="auto"/>
              </w:rPr>
            </w:pPr>
          </w:p>
        </w:tc>
        <w:tc>
          <w:tcPr>
            <w:tcW w:w="1920" w:type="dxa"/>
            <w:vAlign w:val="bottom"/>
            <w:tcBorders>
              <w:right w:val="single" w:sz="8" w:color="012E6C"/>
            </w:tcBorders>
            <w:shd w:val="clear" w:color="auto" w:fill="E5E7EF"/>
          </w:tcPr>
          <w:p>
            <w:pPr>
              <w:spacing w:after="0"/>
              <w:rPr>
                <w:sz w:val="21"/>
                <w:szCs w:val="21"/>
                <w:color w:val="auto"/>
              </w:rPr>
            </w:pPr>
          </w:p>
        </w:tc>
        <w:tc>
          <w:tcPr>
            <w:tcW w:w="1940" w:type="dxa"/>
            <w:vAlign w:val="bottom"/>
            <w:tcBorders>
              <w:right w:val="single" w:sz="8" w:color="012E6C"/>
            </w:tcBorders>
            <w:shd w:val="clear" w:color="auto" w:fill="E5E7EF"/>
          </w:tcPr>
          <w:p>
            <w:pPr>
              <w:spacing w:after="0"/>
              <w:rPr>
                <w:sz w:val="21"/>
                <w:szCs w:val="21"/>
                <w:color w:val="auto"/>
              </w:rPr>
            </w:pPr>
          </w:p>
        </w:tc>
        <w:tc>
          <w:tcPr>
            <w:tcW w:w="224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Qualified: Spousal annuity</w:t>
            </w:r>
          </w:p>
        </w:tc>
        <w:tc>
          <w:tcPr>
            <w:tcW w:w="2040" w:type="dxa"/>
            <w:vAlign w:val="bottom"/>
            <w:tcBorders>
              <w:right w:val="single" w:sz="8" w:color="012E6C"/>
            </w:tcBorders>
            <w:shd w:val="clear" w:color="auto" w:fill="E5E7EF"/>
          </w:tcPr>
          <w:p>
            <w:pPr>
              <w:spacing w:after="0"/>
              <w:rPr>
                <w:sz w:val="21"/>
                <w:szCs w:val="21"/>
                <w:color w:val="auto"/>
              </w:rPr>
            </w:pPr>
          </w:p>
        </w:tc>
        <w:tc>
          <w:tcPr>
            <w:tcW w:w="2060" w:type="dxa"/>
            <w:vAlign w:val="bottom"/>
            <w:tcBorders>
              <w:right w:val="single" w:sz="8" w:color="012E6C"/>
            </w:tcBorders>
            <w:shd w:val="clear" w:color="auto" w:fill="E5E7E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shd w:val="clear" w:color="auto" w:fill="E5E7EF"/>
          </w:tcPr>
          <w:p>
            <w:pPr>
              <w:spacing w:after="0"/>
              <w:rPr>
                <w:sz w:val="15"/>
                <w:szCs w:val="15"/>
                <w:color w:val="auto"/>
              </w:rPr>
            </w:pPr>
          </w:p>
        </w:tc>
        <w:tc>
          <w:tcPr>
            <w:tcW w:w="1920" w:type="dxa"/>
            <w:vAlign w:val="bottom"/>
            <w:tcBorders>
              <w:right w:val="single" w:sz="8" w:color="012E6C"/>
            </w:tcBorders>
            <w:shd w:val="clear" w:color="auto" w:fill="E5E7EF"/>
          </w:tcPr>
          <w:p>
            <w:pPr>
              <w:spacing w:after="0"/>
              <w:rPr>
                <w:sz w:val="15"/>
                <w:szCs w:val="15"/>
                <w:color w:val="auto"/>
              </w:rPr>
            </w:pPr>
          </w:p>
        </w:tc>
        <w:tc>
          <w:tcPr>
            <w:tcW w:w="1940" w:type="dxa"/>
            <w:vAlign w:val="bottom"/>
            <w:tcBorders>
              <w:right w:val="single" w:sz="8" w:color="012E6C"/>
            </w:tcBorders>
            <w:shd w:val="clear" w:color="auto" w:fill="E5E7EF"/>
          </w:tcPr>
          <w:p>
            <w:pPr>
              <w:spacing w:after="0"/>
              <w:rPr>
                <w:sz w:val="15"/>
                <w:szCs w:val="15"/>
                <w:color w:val="auto"/>
              </w:rPr>
            </w:pPr>
          </w:p>
        </w:tc>
        <w:tc>
          <w:tcPr>
            <w:tcW w:w="224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benefit as required by law in</w:t>
            </w:r>
          </w:p>
        </w:tc>
        <w:tc>
          <w:tcPr>
            <w:tcW w:w="2040" w:type="dxa"/>
            <w:vAlign w:val="bottom"/>
            <w:tcBorders>
              <w:right w:val="single" w:sz="8" w:color="012E6C"/>
            </w:tcBorders>
            <w:shd w:val="clear" w:color="auto" w:fill="E5E7EF"/>
          </w:tcPr>
          <w:p>
            <w:pPr>
              <w:spacing w:after="0"/>
              <w:rPr>
                <w:sz w:val="15"/>
                <w:szCs w:val="15"/>
                <w:color w:val="auto"/>
              </w:rPr>
            </w:pPr>
          </w:p>
        </w:tc>
        <w:tc>
          <w:tcPr>
            <w:tcW w:w="2060" w:type="dxa"/>
            <w:vAlign w:val="bottom"/>
            <w:tcBorders>
              <w:right w:val="single" w:sz="8" w:color="012E6C"/>
            </w:tcBorders>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shd w:val="clear" w:color="auto" w:fill="E5E7EF"/>
          </w:tcPr>
          <w:p>
            <w:pPr>
              <w:spacing w:after="0"/>
              <w:rPr>
                <w:sz w:val="15"/>
                <w:szCs w:val="15"/>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Qualified: Annuity payable</w:t>
            </w:r>
          </w:p>
        </w:tc>
        <w:tc>
          <w:tcPr>
            <w:tcW w:w="1940" w:type="dxa"/>
            <w:vAlign w:val="bottom"/>
            <w:tcBorders>
              <w:right w:val="single" w:sz="8" w:color="012E6C"/>
            </w:tcBorders>
            <w:shd w:val="clear" w:color="auto" w:fill="E5E7EF"/>
          </w:tcPr>
          <w:p>
            <w:pPr>
              <w:spacing w:after="0"/>
              <w:rPr>
                <w:sz w:val="15"/>
                <w:szCs w:val="15"/>
                <w:color w:val="auto"/>
              </w:rPr>
            </w:pPr>
          </w:p>
        </w:tc>
        <w:tc>
          <w:tcPr>
            <w:tcW w:w="224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event of death unless waived</w:t>
            </w:r>
          </w:p>
        </w:tc>
        <w:tc>
          <w:tcPr>
            <w:tcW w:w="2040" w:type="dxa"/>
            <w:vAlign w:val="bottom"/>
            <w:tcBorders>
              <w:right w:val="single" w:sz="8" w:color="012E6C"/>
            </w:tcBorders>
            <w:shd w:val="clear" w:color="auto" w:fill="E5E7EF"/>
          </w:tcPr>
          <w:p>
            <w:pPr>
              <w:spacing w:after="0"/>
              <w:rPr>
                <w:sz w:val="15"/>
                <w:szCs w:val="15"/>
                <w:color w:val="auto"/>
              </w:rPr>
            </w:pPr>
          </w:p>
        </w:tc>
        <w:tc>
          <w:tcPr>
            <w:tcW w:w="2060" w:type="dxa"/>
            <w:vAlign w:val="bottom"/>
            <w:tcBorders>
              <w:right w:val="single" w:sz="8" w:color="012E6C"/>
            </w:tcBorders>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by spouse. For either (i)</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Qualified: Annuity payable</w:t>
            </w:r>
          </w:p>
        </w:tc>
        <w:tc>
          <w:tcPr>
            <w:tcW w:w="0" w:type="dxa"/>
            <w:vAlign w:val="bottom"/>
          </w:tcPr>
          <w:p>
            <w:pPr>
              <w:spacing w:after="0"/>
              <w:rPr>
                <w:sz w:val="1"/>
                <w:szCs w:val="1"/>
                <w:color w:val="auto"/>
              </w:rPr>
            </w:pPr>
          </w:p>
        </w:tc>
      </w:tr>
      <w:tr>
        <w:trPr>
          <w:trHeight w:val="95"/>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on a reduced basis at age</w:t>
            </w: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disability between age 53 and</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on a reduced basis at age</w:t>
            </w: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55; annuity payable on a</w:t>
            </w: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55 with eight years of service</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55; annuity payable on a</w:t>
            </w:r>
          </w:p>
        </w:tc>
        <w:tc>
          <w:tcPr>
            <w:tcW w:w="0" w:type="dxa"/>
            <w:vAlign w:val="bottom"/>
          </w:tcPr>
          <w:p>
            <w:pPr>
              <w:spacing w:after="0"/>
              <w:rPr>
                <w:sz w:val="1"/>
                <w:szCs w:val="1"/>
                <w:color w:val="auto"/>
              </w:rPr>
            </w:pPr>
          </w:p>
        </w:tc>
      </w:tr>
      <w:tr>
        <w:trPr>
          <w:trHeight w:val="95"/>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non-reduced basis at age</w:t>
            </w: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or (ii) layoff between age 53</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non-reduced basis at age</w:t>
            </w: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60; steeper reduction for</w:t>
            </w: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and 55 with eight years of</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60; steeper reduction for</w:t>
            </w: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early commencement at</w:t>
            </w: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Qualified: No acceleration.</w:t>
            </w: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service or before age 55 with</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No provisions; absent a</w:t>
            </w: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early commencement at age</w:t>
            </w:r>
          </w:p>
        </w:tc>
        <w:tc>
          <w:tcPr>
            <w:tcW w:w="0" w:type="dxa"/>
            <w:vAlign w:val="bottom"/>
          </w:tcPr>
          <w:p>
            <w:pPr>
              <w:spacing w:after="0"/>
              <w:rPr>
                <w:sz w:val="1"/>
                <w:szCs w:val="1"/>
                <w:color w:val="auto"/>
              </w:rPr>
            </w:pPr>
          </w:p>
        </w:tc>
      </w:tr>
      <w:tr>
        <w:trPr>
          <w:trHeight w:val="98"/>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age 55 for terminations</w:t>
            </w: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060" w:type="dxa"/>
            <w:vAlign w:val="bottom"/>
            <w:tcBorders>
              <w:left w:val="single" w:sz="8" w:color="012E6C"/>
              <w:right w:val="single" w:sz="8" w:color="012E6C"/>
            </w:tcBorders>
            <w:shd w:val="clear" w:color="auto" w:fill="E5E7EF"/>
          </w:tcPr>
          <w:p>
            <w:pPr>
              <w:spacing w:after="0"/>
              <w:rPr>
                <w:sz w:val="6"/>
                <w:szCs w:val="6"/>
                <w:color w:val="auto"/>
              </w:rPr>
            </w:pPr>
          </w:p>
        </w:tc>
        <w:tc>
          <w:tcPr>
            <w:tcW w:w="1920" w:type="dxa"/>
            <w:vAlign w:val="bottom"/>
            <w:tcBorders>
              <w:right w:val="single" w:sz="8" w:color="012E6C"/>
            </w:tcBorders>
            <w:vMerge w:val="continue"/>
            <w:shd w:val="clear" w:color="auto" w:fill="E5E7EF"/>
          </w:tcPr>
          <w:p>
            <w:pPr>
              <w:spacing w:after="0"/>
              <w:rPr>
                <w:sz w:val="6"/>
                <w:szCs w:val="6"/>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Supplemental: Lump Sum</w:t>
            </w: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25 years of service, participant</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negotiated transfer of liability</w:t>
            </w: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55 for terminations prior to</w:t>
            </w:r>
          </w:p>
        </w:tc>
        <w:tc>
          <w:tcPr>
            <w:tcW w:w="0" w:type="dxa"/>
            <w:vAlign w:val="bottom"/>
          </w:tcPr>
          <w:p>
            <w:pPr>
              <w:spacing w:after="0"/>
              <w:rPr>
                <w:sz w:val="1"/>
                <w:szCs w:val="1"/>
                <w:color w:val="auto"/>
              </w:rPr>
            </w:pPr>
          </w:p>
        </w:tc>
      </w:tr>
      <w:tr>
        <w:trPr>
          <w:trHeight w:val="98"/>
        </w:trPr>
        <w:tc>
          <w:tcPr>
            <w:tcW w:w="1060" w:type="dxa"/>
            <w:vAlign w:val="bottom"/>
            <w:tcBorders>
              <w:left w:val="single" w:sz="8" w:color="012E6C"/>
              <w:right w:val="single" w:sz="8" w:color="012E6C"/>
            </w:tcBorders>
            <w:vMerge w:val="restart"/>
            <w:shd w:val="clear" w:color="auto" w:fill="E5E7EF"/>
          </w:tcPr>
          <w:p>
            <w:pPr>
              <w:jc w:val="center"/>
              <w:spacing w:after="0" w:line="174" w:lineRule="exact"/>
              <w:rPr>
                <w:sz w:val="20"/>
                <w:szCs w:val="20"/>
                <w:color w:val="auto"/>
              </w:rPr>
            </w:pPr>
            <w:r>
              <w:rPr>
                <w:rFonts w:ascii="Arial" w:cs="Arial" w:eastAsia="Arial" w:hAnsi="Arial"/>
                <w:sz w:val="15"/>
                <w:szCs w:val="15"/>
                <w:b w:val="1"/>
                <w:bCs w:val="1"/>
                <w:color w:val="002E6D"/>
                <w:w w:val="97"/>
              </w:rPr>
              <w:t>Pension</w:t>
            </w:r>
            <w:r>
              <w:rPr>
                <w:rFonts w:ascii="Arial" w:cs="Arial" w:eastAsia="Arial" w:hAnsi="Arial"/>
                <w:sz w:val="19"/>
                <w:szCs w:val="19"/>
                <w:b w:val="1"/>
                <w:bCs w:val="1"/>
                <w:color w:val="002E6D"/>
                <w:w w:val="97"/>
                <w:vertAlign w:val="superscript"/>
              </w:rPr>
              <w:t>(4)</w:t>
            </w: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prior to age 55 than for</w:t>
            </w: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060" w:type="dxa"/>
            <w:vAlign w:val="bottom"/>
            <w:tcBorders>
              <w:left w:val="single" w:sz="8" w:color="012E6C"/>
              <w:right w:val="single" w:sz="8" w:color="012E6C"/>
            </w:tcBorders>
            <w:vMerge w:val="continue"/>
            <w:shd w:val="clear" w:color="auto" w:fill="E5E7EF"/>
          </w:tcPr>
          <w:p>
            <w:pPr>
              <w:spacing w:after="0"/>
              <w:rPr>
                <w:sz w:val="6"/>
                <w:szCs w:val="6"/>
                <w:color w:val="auto"/>
              </w:rPr>
            </w:pPr>
          </w:p>
        </w:tc>
        <w:tc>
          <w:tcPr>
            <w:tcW w:w="1920" w:type="dxa"/>
            <w:vAlign w:val="bottom"/>
            <w:tcBorders>
              <w:right w:val="single" w:sz="8" w:color="012E6C"/>
            </w:tcBorders>
            <w:vMerge w:val="continue"/>
            <w:shd w:val="clear" w:color="auto" w:fill="E5E7EF"/>
          </w:tcPr>
          <w:p>
            <w:pPr>
              <w:spacing w:after="0"/>
              <w:rPr>
                <w:sz w:val="6"/>
                <w:szCs w:val="6"/>
                <w:color w:val="auto"/>
              </w:rPr>
            </w:pPr>
          </w:p>
        </w:tc>
        <w:tc>
          <w:tcPr>
            <w:tcW w:w="1940" w:type="dxa"/>
            <w:vAlign w:val="bottom"/>
            <w:tcBorders>
              <w:right w:val="single" w:sz="8" w:color="012E6C"/>
            </w:tcBorders>
            <w:vMerge w:val="continue"/>
            <w:shd w:val="clear" w:color="auto" w:fill="E5E7EF"/>
          </w:tcPr>
          <w:p>
            <w:pPr>
              <w:spacing w:after="0"/>
              <w:rPr>
                <w:sz w:val="6"/>
                <w:szCs w:val="6"/>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is eligible for the more</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to buyer, treated as</w:t>
            </w: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age 55 than for terminations</w:t>
            </w:r>
          </w:p>
        </w:tc>
        <w:tc>
          <w:tcPr>
            <w:tcW w:w="0" w:type="dxa"/>
            <w:vAlign w:val="bottom"/>
          </w:tcPr>
          <w:p>
            <w:pPr>
              <w:spacing w:after="0"/>
              <w:rPr>
                <w:sz w:val="1"/>
                <w:szCs w:val="1"/>
                <w:color w:val="auto"/>
              </w:rPr>
            </w:pPr>
          </w:p>
        </w:tc>
      </w:tr>
      <w:tr>
        <w:trPr>
          <w:trHeight w:val="135"/>
        </w:trPr>
        <w:tc>
          <w:tcPr>
            <w:tcW w:w="1060" w:type="dxa"/>
            <w:vAlign w:val="bottom"/>
            <w:tcBorders>
              <w:left w:val="single" w:sz="8" w:color="012E6C"/>
              <w:right w:val="single" w:sz="8" w:color="012E6C"/>
            </w:tcBorders>
            <w:shd w:val="clear" w:color="auto" w:fill="E5E7EF"/>
          </w:tcPr>
          <w:p>
            <w:pPr>
              <w:spacing w:after="0"/>
              <w:rPr>
                <w:sz w:val="11"/>
                <w:szCs w:val="11"/>
                <w:color w:val="auto"/>
              </w:rPr>
            </w:pPr>
          </w:p>
        </w:tc>
        <w:tc>
          <w:tcPr>
            <w:tcW w:w="1920" w:type="dxa"/>
            <w:vAlign w:val="bottom"/>
            <w:tcBorders>
              <w:right w:val="single" w:sz="8" w:color="012E6C"/>
            </w:tcBorders>
            <w:shd w:val="clear" w:color="auto" w:fill="E5E7EF"/>
          </w:tcPr>
          <w:p>
            <w:pPr>
              <w:ind w:left="80"/>
              <w:spacing w:after="0" w:line="135" w:lineRule="exact"/>
              <w:rPr>
                <w:sz w:val="20"/>
                <w:szCs w:val="20"/>
                <w:color w:val="auto"/>
              </w:rPr>
            </w:pPr>
            <w:r>
              <w:rPr>
                <w:rFonts w:ascii="Arial" w:cs="Arial" w:eastAsia="Arial" w:hAnsi="Arial"/>
                <w:sz w:val="14"/>
                <w:szCs w:val="14"/>
                <w:color w:val="auto"/>
              </w:rPr>
              <w:t>terminations after age 55.</w:t>
            </w:r>
          </w:p>
        </w:tc>
        <w:tc>
          <w:tcPr>
            <w:tcW w:w="1940" w:type="dxa"/>
            <w:vAlign w:val="bottom"/>
            <w:tcBorders>
              <w:right w:val="single" w:sz="8" w:color="012E6C"/>
            </w:tcBorders>
            <w:shd w:val="clear" w:color="auto" w:fill="E5E7EF"/>
          </w:tcPr>
          <w:p>
            <w:pPr>
              <w:ind w:left="100"/>
              <w:spacing w:after="0" w:line="135" w:lineRule="exact"/>
              <w:rPr>
                <w:sz w:val="20"/>
                <w:szCs w:val="20"/>
                <w:color w:val="auto"/>
              </w:rPr>
            </w:pPr>
            <w:r>
              <w:rPr>
                <w:rFonts w:ascii="Arial" w:cs="Arial" w:eastAsia="Arial" w:hAnsi="Arial"/>
                <w:sz w:val="14"/>
                <w:szCs w:val="14"/>
                <w:color w:val="auto"/>
              </w:rPr>
              <w:t>within 15 calendar days of</w:t>
            </w:r>
          </w:p>
        </w:tc>
        <w:tc>
          <w:tcPr>
            <w:tcW w:w="2240" w:type="dxa"/>
            <w:vAlign w:val="bottom"/>
            <w:tcBorders>
              <w:right w:val="single" w:sz="8" w:color="012E6C"/>
            </w:tcBorders>
            <w:vMerge w:val="continue"/>
            <w:shd w:val="clear" w:color="auto" w:fill="E5E7EF"/>
          </w:tcPr>
          <w:p>
            <w:pPr>
              <w:spacing w:after="0"/>
              <w:rPr>
                <w:sz w:val="11"/>
                <w:szCs w:val="11"/>
                <w:color w:val="auto"/>
              </w:rPr>
            </w:pPr>
          </w:p>
        </w:tc>
        <w:tc>
          <w:tcPr>
            <w:tcW w:w="2040" w:type="dxa"/>
            <w:vAlign w:val="bottom"/>
            <w:tcBorders>
              <w:right w:val="single" w:sz="8" w:color="012E6C"/>
            </w:tcBorders>
            <w:vMerge w:val="continue"/>
            <w:shd w:val="clear" w:color="auto" w:fill="E5E7EF"/>
          </w:tcPr>
          <w:p>
            <w:pPr>
              <w:spacing w:after="0"/>
              <w:rPr>
                <w:sz w:val="11"/>
                <w:szCs w:val="11"/>
                <w:color w:val="auto"/>
              </w:rPr>
            </w:pPr>
          </w:p>
        </w:tc>
        <w:tc>
          <w:tcPr>
            <w:tcW w:w="2060" w:type="dxa"/>
            <w:vAlign w:val="bottom"/>
            <w:tcBorders>
              <w:right w:val="single" w:sz="8" w:color="012E6C"/>
            </w:tcBorders>
            <w:vMerge w:val="continue"/>
            <w:shd w:val="clear" w:color="auto" w:fill="E5E7E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012E6C"/>
              <w:right w:val="single" w:sz="8" w:color="012E6C"/>
            </w:tcBorders>
            <w:shd w:val="clear" w:color="auto" w:fill="E5E7EF"/>
          </w:tcPr>
          <w:p>
            <w:pPr>
              <w:spacing w:after="0"/>
              <w:rPr>
                <w:sz w:val="12"/>
                <w:szCs w:val="12"/>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Supplemental: Annuity or</w:t>
            </w:r>
          </w:p>
        </w:tc>
        <w:tc>
          <w:tcPr>
            <w:tcW w:w="1940" w:type="dxa"/>
            <w:vAlign w:val="bottom"/>
            <w:tcBorders>
              <w:right w:val="single" w:sz="8" w:color="012E6C"/>
            </w:tcBorders>
            <w:shd w:val="clear" w:color="auto" w:fill="E5E7EF"/>
          </w:tcPr>
          <w:p>
            <w:pPr>
              <w:ind w:left="100"/>
              <w:spacing w:after="0" w:line="149" w:lineRule="exact"/>
              <w:rPr>
                <w:sz w:val="20"/>
                <w:szCs w:val="20"/>
                <w:color w:val="auto"/>
              </w:rPr>
            </w:pPr>
            <w:r>
              <w:rPr>
                <w:rFonts w:ascii="Arial" w:cs="Arial" w:eastAsia="Arial" w:hAnsi="Arial"/>
                <w:sz w:val="14"/>
                <w:szCs w:val="14"/>
                <w:color w:val="auto"/>
              </w:rPr>
              <w:t>the change in control.</w:t>
            </w:r>
          </w:p>
        </w:tc>
        <w:tc>
          <w:tcPr>
            <w:tcW w:w="2240" w:type="dxa"/>
            <w:vAlign w:val="bottom"/>
            <w:tcBorders>
              <w:right w:val="single" w:sz="8" w:color="012E6C"/>
            </w:tcBorders>
            <w:shd w:val="clear" w:color="auto" w:fill="E5E7EF"/>
          </w:tcPr>
          <w:p>
            <w:pPr>
              <w:ind w:left="100"/>
              <w:spacing w:after="0" w:line="149" w:lineRule="exact"/>
              <w:rPr>
                <w:sz w:val="20"/>
                <w:szCs w:val="20"/>
                <w:color w:val="auto"/>
              </w:rPr>
            </w:pPr>
            <w:r>
              <w:rPr>
                <w:rFonts w:ascii="Arial" w:cs="Arial" w:eastAsia="Arial" w:hAnsi="Arial"/>
                <w:sz w:val="14"/>
                <w:szCs w:val="14"/>
                <w:color w:val="auto"/>
              </w:rPr>
              <w:t>favorable actuarial reductions</w:t>
            </w:r>
          </w:p>
        </w:tc>
        <w:tc>
          <w:tcPr>
            <w:tcW w:w="2040" w:type="dxa"/>
            <w:vAlign w:val="bottom"/>
            <w:tcBorders>
              <w:right w:val="single" w:sz="8" w:color="012E6C"/>
            </w:tcBorders>
            <w:shd w:val="clear" w:color="auto" w:fill="E5E7EF"/>
          </w:tcPr>
          <w:p>
            <w:pPr>
              <w:ind w:left="80"/>
              <w:spacing w:after="0" w:line="149" w:lineRule="exact"/>
              <w:rPr>
                <w:sz w:val="20"/>
                <w:szCs w:val="20"/>
                <w:color w:val="auto"/>
              </w:rPr>
            </w:pPr>
            <w:r>
              <w:rPr>
                <w:rFonts w:ascii="Arial" w:cs="Arial" w:eastAsia="Arial" w:hAnsi="Arial"/>
                <w:sz w:val="14"/>
                <w:szCs w:val="14"/>
                <w:color w:val="auto"/>
              </w:rPr>
              <w:t>retirement or termination.</w:t>
            </w:r>
          </w:p>
        </w:tc>
        <w:tc>
          <w:tcPr>
            <w:tcW w:w="2060" w:type="dxa"/>
            <w:vAlign w:val="bottom"/>
            <w:tcBorders>
              <w:right w:val="single" w:sz="8" w:color="012E6C"/>
            </w:tcBorders>
            <w:shd w:val="clear" w:color="auto" w:fill="E5E7EF"/>
          </w:tcPr>
          <w:p>
            <w:pPr>
              <w:ind w:left="100"/>
              <w:spacing w:after="0" w:line="149" w:lineRule="exact"/>
              <w:rPr>
                <w:sz w:val="20"/>
                <w:szCs w:val="20"/>
                <w:color w:val="auto"/>
              </w:rPr>
            </w:pPr>
            <w:r>
              <w:rPr>
                <w:rFonts w:ascii="Arial" w:cs="Arial" w:eastAsia="Arial" w:hAnsi="Arial"/>
                <w:sz w:val="14"/>
                <w:szCs w:val="14"/>
                <w:color w:val="auto"/>
              </w:rPr>
              <w:t>after age 55.</w:t>
            </w:r>
          </w:p>
        </w:tc>
        <w:tc>
          <w:tcPr>
            <w:tcW w:w="0" w:type="dxa"/>
            <w:vAlign w:val="bottom"/>
          </w:tcPr>
          <w:p>
            <w:pPr>
              <w:spacing w:after="0"/>
              <w:rPr>
                <w:sz w:val="1"/>
                <w:szCs w:val="1"/>
                <w:color w:val="auto"/>
              </w:rPr>
            </w:pPr>
          </w:p>
        </w:tc>
      </w:tr>
      <w:tr>
        <w:trPr>
          <w:trHeight w:val="126"/>
        </w:trPr>
        <w:tc>
          <w:tcPr>
            <w:tcW w:w="1060" w:type="dxa"/>
            <w:vAlign w:val="bottom"/>
            <w:tcBorders>
              <w:left w:val="single" w:sz="8" w:color="012E6C"/>
              <w:right w:val="single" w:sz="8" w:color="012E6C"/>
            </w:tcBorders>
            <w:shd w:val="clear" w:color="auto" w:fill="E5E7EF"/>
          </w:tcPr>
          <w:p>
            <w:pPr>
              <w:spacing w:after="0"/>
              <w:rPr>
                <w:sz w:val="10"/>
                <w:szCs w:val="10"/>
                <w:color w:val="auto"/>
              </w:rPr>
            </w:pPr>
          </w:p>
        </w:tc>
        <w:tc>
          <w:tcPr>
            <w:tcW w:w="1920" w:type="dxa"/>
            <w:vAlign w:val="bottom"/>
            <w:tcBorders>
              <w:right w:val="single" w:sz="8" w:color="012E6C"/>
            </w:tcBorders>
            <w:vMerge w:val="continue"/>
            <w:shd w:val="clear" w:color="auto" w:fill="E5E7EF"/>
          </w:tcPr>
          <w:p>
            <w:pPr>
              <w:spacing w:after="0"/>
              <w:rPr>
                <w:sz w:val="10"/>
                <w:szCs w:val="10"/>
                <w:color w:val="auto"/>
              </w:rPr>
            </w:pPr>
          </w:p>
        </w:tc>
        <w:tc>
          <w:tcPr>
            <w:tcW w:w="1940" w:type="dxa"/>
            <w:vAlign w:val="bottom"/>
            <w:tcBorders>
              <w:right w:val="single" w:sz="8" w:color="012E6C"/>
            </w:tcBorders>
            <w:shd w:val="clear" w:color="auto" w:fill="E5E7EF"/>
          </w:tcPr>
          <w:p>
            <w:pPr>
              <w:spacing w:after="0"/>
              <w:rPr>
                <w:sz w:val="10"/>
                <w:szCs w:val="10"/>
                <w:color w:val="auto"/>
              </w:rPr>
            </w:pPr>
          </w:p>
        </w:tc>
        <w:tc>
          <w:tcPr>
            <w:tcW w:w="2240" w:type="dxa"/>
            <w:vAlign w:val="bottom"/>
            <w:tcBorders>
              <w:right w:val="single" w:sz="8" w:color="012E6C"/>
            </w:tcBorders>
            <w:shd w:val="clear" w:color="auto" w:fill="E5E7EF"/>
          </w:tcPr>
          <w:p>
            <w:pPr>
              <w:ind w:left="100"/>
              <w:spacing w:after="0" w:line="127" w:lineRule="exact"/>
              <w:rPr>
                <w:sz w:val="20"/>
                <w:szCs w:val="20"/>
                <w:color w:val="auto"/>
              </w:rPr>
            </w:pPr>
            <w:r>
              <w:rPr>
                <w:rFonts w:ascii="Arial" w:cs="Arial" w:eastAsia="Arial" w:hAnsi="Arial"/>
                <w:sz w:val="14"/>
                <w:szCs w:val="14"/>
                <w:color w:val="auto"/>
              </w:rPr>
              <w:t>for participants terminating</w:t>
            </w:r>
          </w:p>
        </w:tc>
        <w:tc>
          <w:tcPr>
            <w:tcW w:w="2040" w:type="dxa"/>
            <w:vAlign w:val="bottom"/>
            <w:tcBorders>
              <w:right w:val="single" w:sz="8" w:color="012E6C"/>
            </w:tcBorders>
            <w:shd w:val="clear" w:color="auto" w:fill="E5E7EF"/>
          </w:tcPr>
          <w:p>
            <w:pPr>
              <w:spacing w:after="0"/>
              <w:rPr>
                <w:sz w:val="10"/>
                <w:szCs w:val="10"/>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Supplemental: Annuity or</w:t>
            </w:r>
          </w:p>
        </w:tc>
        <w:tc>
          <w:tcPr>
            <w:tcW w:w="0" w:type="dxa"/>
            <w:vAlign w:val="bottom"/>
          </w:tcPr>
          <w:p>
            <w:pPr>
              <w:spacing w:after="0"/>
              <w:rPr>
                <w:sz w:val="1"/>
                <w:szCs w:val="1"/>
                <w:color w:val="auto"/>
              </w:rPr>
            </w:pPr>
          </w:p>
        </w:tc>
      </w:tr>
      <w:tr>
        <w:trPr>
          <w:trHeight w:val="9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lump sum at later of age</w:t>
            </w: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after age 55.</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continue"/>
            <w:shd w:val="clear" w:color="auto" w:fill="E5E7EF"/>
          </w:tcPr>
          <w:p>
            <w:pPr>
              <w:spacing w:after="0"/>
              <w:rPr>
                <w:sz w:val="7"/>
                <w:szCs w:val="7"/>
                <w:color w:val="auto"/>
              </w:rPr>
            </w:pP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lump sum, same early</w:t>
            </w:r>
          </w:p>
        </w:tc>
        <w:tc>
          <w:tcPr>
            <w:tcW w:w="0" w:type="dxa"/>
            <w:vAlign w:val="bottom"/>
          </w:tcPr>
          <w:p>
            <w:pPr>
              <w:spacing w:after="0"/>
              <w:rPr>
                <w:sz w:val="1"/>
                <w:szCs w:val="1"/>
                <w:color w:val="auto"/>
              </w:rPr>
            </w:pPr>
          </w:p>
        </w:tc>
      </w:tr>
      <w:tr>
        <w:trPr>
          <w:trHeight w:val="9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55 or termination, same</w:t>
            </w: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shd w:val="clear" w:color="auto" w:fill="E5E7EF"/>
          </w:tcPr>
          <w:p>
            <w:pPr>
              <w:spacing w:after="0"/>
              <w:rPr>
                <w:sz w:val="7"/>
                <w:szCs w:val="7"/>
                <w:color w:val="auto"/>
              </w:rPr>
            </w:pP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Supplemental: Annuity or lump</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commencement reductions</w:t>
            </w:r>
          </w:p>
        </w:tc>
        <w:tc>
          <w:tcPr>
            <w:tcW w:w="0" w:type="dxa"/>
            <w:vAlign w:val="bottom"/>
          </w:tcPr>
          <w:p>
            <w:pPr>
              <w:spacing w:after="0"/>
              <w:rPr>
                <w:sz w:val="1"/>
                <w:szCs w:val="1"/>
                <w:color w:val="auto"/>
              </w:rPr>
            </w:pPr>
          </w:p>
        </w:tc>
      </w:tr>
      <w:tr>
        <w:trPr>
          <w:trHeight w:val="95"/>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early commencement</w:t>
            </w: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sum at later of age 55 or</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applied as for Pension-</w:t>
            </w: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reductions applied as for</w:t>
            </w: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termination, same provisions</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Qualified.</w:t>
            </w: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Arial" w:cs="Arial" w:eastAsia="Arial" w:hAnsi="Arial"/>
                <w:sz w:val="14"/>
                <w:szCs w:val="14"/>
                <w:color w:val="auto"/>
              </w:rPr>
              <w:t>Pension-Qualified.</w:t>
            </w: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as Pension-Qualified for</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4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shd w:val="clear" w:color="auto" w:fill="E5E7EF"/>
          </w:tcPr>
          <w:p>
            <w:pPr>
              <w:spacing w:after="0"/>
              <w:rPr>
                <w:sz w:val="15"/>
                <w:szCs w:val="15"/>
                <w:color w:val="auto"/>
              </w:rPr>
            </w:pPr>
          </w:p>
        </w:tc>
        <w:tc>
          <w:tcPr>
            <w:tcW w:w="1920" w:type="dxa"/>
            <w:vAlign w:val="bottom"/>
            <w:tcBorders>
              <w:right w:val="single" w:sz="8" w:color="012E6C"/>
            </w:tcBorders>
            <w:shd w:val="clear" w:color="auto" w:fill="E5E7EF"/>
          </w:tcPr>
          <w:p>
            <w:pPr>
              <w:spacing w:after="0"/>
              <w:rPr>
                <w:sz w:val="15"/>
                <w:szCs w:val="15"/>
                <w:color w:val="auto"/>
              </w:rPr>
            </w:pPr>
          </w:p>
        </w:tc>
        <w:tc>
          <w:tcPr>
            <w:tcW w:w="1940" w:type="dxa"/>
            <w:vAlign w:val="bottom"/>
            <w:tcBorders>
              <w:right w:val="single" w:sz="8" w:color="012E6C"/>
            </w:tcBorders>
            <w:shd w:val="clear" w:color="auto" w:fill="E5E7EF"/>
          </w:tcPr>
          <w:p>
            <w:pPr>
              <w:spacing w:after="0"/>
              <w:rPr>
                <w:sz w:val="15"/>
                <w:szCs w:val="15"/>
                <w:color w:val="auto"/>
              </w:rPr>
            </w:pPr>
          </w:p>
        </w:tc>
        <w:tc>
          <w:tcPr>
            <w:tcW w:w="224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spousal waiver, disability, and</w:t>
            </w:r>
          </w:p>
        </w:tc>
        <w:tc>
          <w:tcPr>
            <w:tcW w:w="2040" w:type="dxa"/>
            <w:vAlign w:val="bottom"/>
            <w:tcBorders>
              <w:right w:val="single" w:sz="8" w:color="012E6C"/>
            </w:tcBorders>
            <w:shd w:val="clear" w:color="auto" w:fill="E5E7EF"/>
          </w:tcPr>
          <w:p>
            <w:pPr>
              <w:spacing w:after="0"/>
              <w:rPr>
                <w:sz w:val="15"/>
                <w:szCs w:val="15"/>
                <w:color w:val="auto"/>
              </w:rPr>
            </w:pPr>
          </w:p>
        </w:tc>
        <w:tc>
          <w:tcPr>
            <w:tcW w:w="2060" w:type="dxa"/>
            <w:vAlign w:val="bottom"/>
            <w:tcBorders>
              <w:right w:val="single" w:sz="8" w:color="012E6C"/>
            </w:tcBorders>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shd w:val="clear" w:color="auto" w:fill="E5E7EF"/>
          </w:tcPr>
          <w:p>
            <w:pPr>
              <w:spacing w:after="0"/>
              <w:rPr>
                <w:sz w:val="15"/>
                <w:szCs w:val="15"/>
                <w:color w:val="auto"/>
              </w:rPr>
            </w:pPr>
          </w:p>
        </w:tc>
        <w:tc>
          <w:tcPr>
            <w:tcW w:w="1920" w:type="dxa"/>
            <w:vAlign w:val="bottom"/>
            <w:tcBorders>
              <w:right w:val="single" w:sz="8" w:color="012E6C"/>
            </w:tcBorders>
            <w:shd w:val="clear" w:color="auto" w:fill="E5E7EF"/>
          </w:tcPr>
          <w:p>
            <w:pPr>
              <w:spacing w:after="0"/>
              <w:rPr>
                <w:sz w:val="15"/>
                <w:szCs w:val="15"/>
                <w:color w:val="auto"/>
              </w:rPr>
            </w:pPr>
          </w:p>
        </w:tc>
        <w:tc>
          <w:tcPr>
            <w:tcW w:w="1940" w:type="dxa"/>
            <w:vAlign w:val="bottom"/>
            <w:tcBorders>
              <w:right w:val="single" w:sz="8" w:color="012E6C"/>
            </w:tcBorders>
            <w:shd w:val="clear" w:color="auto" w:fill="E5E7EF"/>
          </w:tcPr>
          <w:p>
            <w:pPr>
              <w:spacing w:after="0"/>
              <w:rPr>
                <w:sz w:val="15"/>
                <w:szCs w:val="15"/>
                <w:color w:val="auto"/>
              </w:rPr>
            </w:pPr>
          </w:p>
        </w:tc>
        <w:tc>
          <w:tcPr>
            <w:tcW w:w="224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layoff.</w:t>
            </w:r>
          </w:p>
        </w:tc>
        <w:tc>
          <w:tcPr>
            <w:tcW w:w="2040" w:type="dxa"/>
            <w:vAlign w:val="bottom"/>
            <w:tcBorders>
              <w:right w:val="single" w:sz="8" w:color="012E6C"/>
            </w:tcBorders>
            <w:shd w:val="clear" w:color="auto" w:fill="E5E7EF"/>
          </w:tcPr>
          <w:p>
            <w:pPr>
              <w:spacing w:after="0"/>
              <w:rPr>
                <w:sz w:val="15"/>
                <w:szCs w:val="15"/>
                <w:color w:val="auto"/>
              </w:rPr>
            </w:pPr>
          </w:p>
        </w:tc>
        <w:tc>
          <w:tcPr>
            <w:tcW w:w="2060" w:type="dxa"/>
            <w:vAlign w:val="bottom"/>
            <w:tcBorders>
              <w:right w:val="single" w:sz="8" w:color="012E6C"/>
            </w:tcBorders>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060" w:type="dxa"/>
            <w:vAlign w:val="bottom"/>
            <w:tcBorders>
              <w:left w:val="single" w:sz="8" w:color="012E6C"/>
              <w:bottom w:val="single" w:sz="8" w:color="012E6C"/>
              <w:right w:val="single" w:sz="8" w:color="012E6C"/>
            </w:tcBorders>
            <w:shd w:val="clear" w:color="auto" w:fill="E5E7EF"/>
          </w:tcPr>
          <w:p>
            <w:pPr>
              <w:spacing w:after="0"/>
              <w:rPr>
                <w:sz w:val="6"/>
                <w:szCs w:val="6"/>
                <w:color w:val="auto"/>
              </w:rPr>
            </w:pPr>
          </w:p>
        </w:tc>
        <w:tc>
          <w:tcPr>
            <w:tcW w:w="1920" w:type="dxa"/>
            <w:vAlign w:val="bottom"/>
            <w:tcBorders>
              <w:bottom w:val="single" w:sz="8" w:color="012E6C"/>
              <w:right w:val="single" w:sz="8" w:color="012E6C"/>
            </w:tcBorders>
            <w:shd w:val="clear" w:color="auto" w:fill="E5E7EF"/>
          </w:tcPr>
          <w:p>
            <w:pPr>
              <w:spacing w:after="0"/>
              <w:rPr>
                <w:sz w:val="6"/>
                <w:szCs w:val="6"/>
                <w:color w:val="auto"/>
              </w:rPr>
            </w:pPr>
          </w:p>
        </w:tc>
        <w:tc>
          <w:tcPr>
            <w:tcW w:w="1940" w:type="dxa"/>
            <w:vAlign w:val="bottom"/>
            <w:tcBorders>
              <w:bottom w:val="single" w:sz="8" w:color="012E6C"/>
              <w:right w:val="single" w:sz="8" w:color="012E6C"/>
            </w:tcBorders>
            <w:shd w:val="clear" w:color="auto" w:fill="E5E7EF"/>
          </w:tcPr>
          <w:p>
            <w:pPr>
              <w:spacing w:after="0"/>
              <w:rPr>
                <w:sz w:val="6"/>
                <w:szCs w:val="6"/>
                <w:color w:val="auto"/>
              </w:rPr>
            </w:pPr>
          </w:p>
        </w:tc>
        <w:tc>
          <w:tcPr>
            <w:tcW w:w="2240" w:type="dxa"/>
            <w:vAlign w:val="bottom"/>
            <w:tcBorders>
              <w:bottom w:val="single" w:sz="8" w:color="012E6C"/>
              <w:right w:val="single" w:sz="8" w:color="012E6C"/>
            </w:tcBorders>
            <w:shd w:val="clear" w:color="auto" w:fill="E5E7EF"/>
          </w:tcPr>
          <w:p>
            <w:pPr>
              <w:spacing w:after="0"/>
              <w:rPr>
                <w:sz w:val="6"/>
                <w:szCs w:val="6"/>
                <w:color w:val="auto"/>
              </w:rPr>
            </w:pPr>
          </w:p>
        </w:tc>
        <w:tc>
          <w:tcPr>
            <w:tcW w:w="2040" w:type="dxa"/>
            <w:vAlign w:val="bottom"/>
            <w:tcBorders>
              <w:bottom w:val="single" w:sz="8" w:color="012E6C"/>
              <w:right w:val="single" w:sz="8" w:color="012E6C"/>
            </w:tcBorders>
            <w:shd w:val="clear" w:color="auto" w:fill="E5E7EF"/>
          </w:tcPr>
          <w:p>
            <w:pPr>
              <w:spacing w:after="0"/>
              <w:rPr>
                <w:sz w:val="6"/>
                <w:szCs w:val="6"/>
                <w:color w:val="auto"/>
              </w:rPr>
            </w:pPr>
          </w:p>
        </w:tc>
        <w:tc>
          <w:tcPr>
            <w:tcW w:w="2060" w:type="dxa"/>
            <w:vAlign w:val="bottom"/>
            <w:tcBorders>
              <w:bottom w:val="single" w:sz="8" w:color="012E6C"/>
              <w:right w:val="single" w:sz="8" w:color="012E6C"/>
            </w:tcBorders>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1060" w:type="dxa"/>
            <w:vAlign w:val="bottom"/>
            <w:tcBorders>
              <w:left w:val="single" w:sz="8" w:color="012E6C"/>
              <w:right w:val="single" w:sz="8" w:color="012E6C"/>
            </w:tcBorders>
          </w:tcPr>
          <w:p>
            <w:pPr>
              <w:spacing w:after="0"/>
              <w:rPr>
                <w:sz w:val="21"/>
                <w:szCs w:val="21"/>
                <w:color w:val="auto"/>
              </w:rPr>
            </w:pPr>
          </w:p>
        </w:tc>
        <w:tc>
          <w:tcPr>
            <w:tcW w:w="1920" w:type="dxa"/>
            <w:vAlign w:val="bottom"/>
            <w:tcBorders>
              <w:right w:val="single" w:sz="8" w:color="012E6C"/>
            </w:tcBorders>
          </w:tcPr>
          <w:p>
            <w:pPr>
              <w:spacing w:after="0"/>
              <w:rPr>
                <w:sz w:val="21"/>
                <w:szCs w:val="21"/>
                <w:color w:val="auto"/>
              </w:rPr>
            </w:pPr>
          </w:p>
        </w:tc>
        <w:tc>
          <w:tcPr>
            <w:tcW w:w="1940" w:type="dxa"/>
            <w:vAlign w:val="bottom"/>
            <w:tcBorders>
              <w:right w:val="single" w:sz="8" w:color="012E6C"/>
            </w:tcBorders>
          </w:tcPr>
          <w:p>
            <w:pPr>
              <w:spacing w:after="0"/>
              <w:rPr>
                <w:sz w:val="21"/>
                <w:szCs w:val="21"/>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DMICP: Lump sum or</w:t>
            </w:r>
          </w:p>
        </w:tc>
        <w:tc>
          <w:tcPr>
            <w:tcW w:w="2040" w:type="dxa"/>
            <w:vAlign w:val="bottom"/>
            <w:tcBorders>
              <w:right w:val="single" w:sz="8" w:color="012E6C"/>
            </w:tcBorders>
          </w:tcPr>
          <w:p>
            <w:pPr>
              <w:spacing w:after="0"/>
              <w:rPr>
                <w:sz w:val="21"/>
                <w:szCs w:val="21"/>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DMICP: Lump sum or</w:t>
            </w: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installment payments in</w:t>
            </w:r>
          </w:p>
        </w:tc>
        <w:tc>
          <w:tcPr>
            <w:tcW w:w="2040" w:type="dxa"/>
            <w:vAlign w:val="bottom"/>
            <w:tcBorders>
              <w:right w:val="single" w:sz="8" w:color="012E6C"/>
            </w:tcBorders>
          </w:tcPr>
          <w:p>
            <w:pPr>
              <w:spacing w:after="0"/>
              <w:rPr>
                <w:sz w:val="15"/>
                <w:szCs w:val="15"/>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installment payments in</w:t>
            </w: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2E6D"/>
                <w:w w:val="96"/>
              </w:rPr>
              <w:t>DMICP</w:t>
            </w:r>
            <w:r>
              <w:rPr>
                <w:rFonts w:ascii="Arial" w:cs="Arial" w:eastAsia="Arial" w:hAnsi="Arial"/>
                <w:sz w:val="19"/>
                <w:szCs w:val="19"/>
                <w:b w:val="1"/>
                <w:bCs w:val="1"/>
                <w:color w:val="002E6D"/>
                <w:w w:val="96"/>
                <w:vertAlign w:val="superscript"/>
              </w:rPr>
              <w:t>(5)</w:t>
            </w:r>
            <w:r>
              <w:rPr>
                <w:rFonts w:ascii="Arial" w:cs="Arial" w:eastAsia="Arial" w:hAnsi="Arial"/>
                <w:sz w:val="15"/>
                <w:szCs w:val="15"/>
                <w:b w:val="1"/>
                <w:bCs w:val="1"/>
                <w:color w:val="002E6D"/>
                <w:w w:val="96"/>
              </w:rPr>
              <w:t xml:space="preserve"> /</w:t>
            </w: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accordance with NEO</w:t>
            </w:r>
          </w:p>
        </w:tc>
        <w:tc>
          <w:tcPr>
            <w:tcW w:w="2040" w:type="dxa"/>
            <w:vAlign w:val="bottom"/>
            <w:tcBorders>
              <w:right w:val="single" w:sz="8" w:color="012E6C"/>
            </w:tcBorders>
          </w:tcPr>
          <w:p>
            <w:pPr>
              <w:spacing w:after="0"/>
              <w:rPr>
                <w:sz w:val="15"/>
                <w:szCs w:val="15"/>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accordance with NEO</w:t>
            </w:r>
          </w:p>
        </w:tc>
        <w:tc>
          <w:tcPr>
            <w:tcW w:w="0" w:type="dxa"/>
            <w:vAlign w:val="bottom"/>
          </w:tcPr>
          <w:p>
            <w:pPr>
              <w:spacing w:after="0"/>
              <w:rPr>
                <w:sz w:val="1"/>
                <w:szCs w:val="1"/>
                <w:color w:val="auto"/>
              </w:rPr>
            </w:pPr>
          </w:p>
        </w:tc>
      </w:tr>
      <w:tr>
        <w:trPr>
          <w:trHeight w:val="179"/>
        </w:trPr>
        <w:tc>
          <w:tcPr>
            <w:tcW w:w="1060" w:type="dxa"/>
            <w:vAlign w:val="bottom"/>
            <w:tcBorders>
              <w:left w:val="single" w:sz="8" w:color="012E6C"/>
              <w:right w:val="single" w:sz="8" w:color="012E6C"/>
            </w:tcBorders>
            <w:vMerge w:val="continue"/>
          </w:tcPr>
          <w:p>
            <w:pPr>
              <w:spacing w:after="0"/>
              <w:rPr>
                <w:sz w:val="15"/>
                <w:szCs w:val="15"/>
                <w:color w:val="auto"/>
              </w:rPr>
            </w:pPr>
          </w:p>
        </w:tc>
        <w:tc>
          <w:tcPr>
            <w:tcW w:w="1920" w:type="dxa"/>
            <w:vAlign w:val="bottom"/>
            <w:tcBorders>
              <w:right w:val="single" w:sz="8" w:color="012E6C"/>
            </w:tcBorders>
            <w:vMerge w:val="restart"/>
          </w:tcPr>
          <w:p>
            <w:pPr>
              <w:ind w:left="80"/>
              <w:spacing w:after="0"/>
              <w:rPr>
                <w:sz w:val="20"/>
                <w:szCs w:val="20"/>
                <w:color w:val="auto"/>
              </w:rPr>
            </w:pPr>
            <w:r>
              <w:rPr>
                <w:rFonts w:ascii="Arial" w:cs="Arial" w:eastAsia="Arial" w:hAnsi="Arial"/>
                <w:sz w:val="14"/>
                <w:szCs w:val="14"/>
                <w:color w:val="auto"/>
              </w:rPr>
              <w:t>Lump sum or installment</w:t>
            </w: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elections, except lump sum</w:t>
            </w:r>
          </w:p>
        </w:tc>
        <w:tc>
          <w:tcPr>
            <w:tcW w:w="2040" w:type="dxa"/>
            <w:vAlign w:val="bottom"/>
            <w:tcBorders>
              <w:right w:val="single" w:sz="8" w:color="012E6C"/>
            </w:tcBorders>
          </w:tcPr>
          <w:p>
            <w:pPr>
              <w:spacing w:after="0"/>
              <w:rPr>
                <w:sz w:val="15"/>
                <w:szCs w:val="15"/>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elections, except lump sum</w:t>
            </w:r>
          </w:p>
        </w:tc>
        <w:tc>
          <w:tcPr>
            <w:tcW w:w="0" w:type="dxa"/>
            <w:vAlign w:val="bottom"/>
          </w:tcPr>
          <w:p>
            <w:pPr>
              <w:spacing w:after="0"/>
              <w:rPr>
                <w:sz w:val="1"/>
                <w:szCs w:val="1"/>
                <w:color w:val="auto"/>
              </w:rPr>
            </w:pPr>
          </w:p>
        </w:tc>
      </w:tr>
      <w:tr>
        <w:trPr>
          <w:trHeight w:val="105"/>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2E6D"/>
                <w:w w:val="96"/>
              </w:rPr>
              <w:t>NQSSP</w:t>
            </w:r>
            <w:r>
              <w:rPr>
                <w:rFonts w:ascii="Arial" w:cs="Arial" w:eastAsia="Arial" w:hAnsi="Arial"/>
                <w:sz w:val="19"/>
                <w:szCs w:val="19"/>
                <w:b w:val="1"/>
                <w:bCs w:val="1"/>
                <w:color w:val="002E6D"/>
                <w:w w:val="96"/>
                <w:vertAlign w:val="superscript"/>
              </w:rPr>
              <w:t>(5)</w:t>
            </w:r>
            <w:r>
              <w:rPr>
                <w:rFonts w:ascii="Arial" w:cs="Arial" w:eastAsia="Arial" w:hAnsi="Arial"/>
                <w:sz w:val="15"/>
                <w:szCs w:val="15"/>
                <w:b w:val="1"/>
                <w:bCs w:val="1"/>
                <w:color w:val="002E6D"/>
                <w:w w:val="96"/>
              </w:rPr>
              <w:t xml:space="preserve"> /</w:t>
            </w:r>
          </w:p>
        </w:tc>
        <w:tc>
          <w:tcPr>
            <w:tcW w:w="1920" w:type="dxa"/>
            <w:vAlign w:val="bottom"/>
            <w:tcBorders>
              <w:right w:val="single" w:sz="8" w:color="012E6C"/>
            </w:tcBorders>
            <w:vMerge w:val="continue"/>
          </w:tcPr>
          <w:p>
            <w:pPr>
              <w:spacing w:after="0"/>
              <w:rPr>
                <w:sz w:val="9"/>
                <w:szCs w:val="9"/>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Immediate lump sum</w:t>
            </w:r>
          </w:p>
        </w:tc>
        <w:tc>
          <w:tcPr>
            <w:tcW w:w="22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only for layoff prior to age 55.</w:t>
            </w:r>
          </w:p>
        </w:tc>
        <w:tc>
          <w:tcPr>
            <w:tcW w:w="2040" w:type="dxa"/>
            <w:vAlign w:val="bottom"/>
            <w:tcBorders>
              <w:right w:val="single" w:sz="8" w:color="012E6C"/>
            </w:tcBorders>
            <w:vMerge w:val="restart"/>
          </w:tcPr>
          <w:p>
            <w:pPr>
              <w:ind w:left="80"/>
              <w:spacing w:after="0"/>
              <w:rPr>
                <w:sz w:val="20"/>
                <w:szCs w:val="20"/>
                <w:color w:val="auto"/>
              </w:rPr>
            </w:pPr>
            <w:r>
              <w:rPr>
                <w:rFonts w:ascii="Arial" w:cs="Arial" w:eastAsia="Arial" w:hAnsi="Arial"/>
                <w:sz w:val="14"/>
                <w:szCs w:val="14"/>
                <w:color w:val="auto"/>
              </w:rPr>
              <w:t>Follows termination</w:t>
            </w:r>
          </w:p>
        </w:tc>
        <w:tc>
          <w:tcPr>
            <w:tcW w:w="206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only if termination is prior to</w:t>
            </w:r>
          </w:p>
        </w:tc>
        <w:tc>
          <w:tcPr>
            <w:tcW w:w="0" w:type="dxa"/>
            <w:vAlign w:val="bottom"/>
          </w:tcPr>
          <w:p>
            <w:pPr>
              <w:spacing w:after="0"/>
              <w:rPr>
                <w:sz w:val="1"/>
                <w:szCs w:val="1"/>
                <w:color w:val="auto"/>
              </w:rPr>
            </w:pPr>
          </w:p>
        </w:tc>
      </w:tr>
      <w:tr>
        <w:trPr>
          <w:trHeight w:val="71"/>
        </w:trPr>
        <w:tc>
          <w:tcPr>
            <w:tcW w:w="1060" w:type="dxa"/>
            <w:vAlign w:val="bottom"/>
            <w:tcBorders>
              <w:left w:val="single" w:sz="8" w:color="012E6C"/>
              <w:right w:val="single" w:sz="8" w:color="012E6C"/>
            </w:tcBorders>
            <w:vMerge w:val="continue"/>
          </w:tcPr>
          <w:p>
            <w:pPr>
              <w:spacing w:after="0"/>
              <w:rPr>
                <w:sz w:val="6"/>
                <w:szCs w:val="6"/>
                <w:color w:val="auto"/>
              </w:rPr>
            </w:pPr>
          </w:p>
        </w:tc>
        <w:tc>
          <w:tcPr>
            <w:tcW w:w="1920" w:type="dxa"/>
            <w:vAlign w:val="bottom"/>
            <w:tcBorders>
              <w:right w:val="single" w:sz="8" w:color="012E6C"/>
            </w:tcBorders>
            <w:vMerge w:val="restart"/>
          </w:tcPr>
          <w:p>
            <w:pPr>
              <w:ind w:left="80"/>
              <w:spacing w:after="0"/>
              <w:rPr>
                <w:sz w:val="20"/>
                <w:szCs w:val="20"/>
                <w:color w:val="auto"/>
              </w:rPr>
            </w:pPr>
            <w:r>
              <w:rPr>
                <w:rFonts w:ascii="Arial" w:cs="Arial" w:eastAsia="Arial" w:hAnsi="Arial"/>
                <w:sz w:val="14"/>
                <w:szCs w:val="14"/>
                <w:color w:val="auto"/>
              </w:rPr>
              <w:t>payment in accordance</w:t>
            </w:r>
          </w:p>
        </w:tc>
        <w:tc>
          <w:tcPr>
            <w:tcW w:w="1940" w:type="dxa"/>
            <w:vAlign w:val="bottom"/>
            <w:tcBorders>
              <w:right w:val="single" w:sz="8" w:color="012E6C"/>
            </w:tcBorders>
            <w:vMerge w:val="continue"/>
          </w:tcPr>
          <w:p>
            <w:pPr>
              <w:spacing w:after="0"/>
              <w:rPr>
                <w:sz w:val="6"/>
                <w:szCs w:val="6"/>
                <w:color w:val="auto"/>
              </w:rPr>
            </w:pPr>
          </w:p>
        </w:tc>
        <w:tc>
          <w:tcPr>
            <w:tcW w:w="2240" w:type="dxa"/>
            <w:vAlign w:val="bottom"/>
            <w:tcBorders>
              <w:right w:val="single" w:sz="8" w:color="012E6C"/>
            </w:tcBorders>
            <w:vMerge w:val="continue"/>
          </w:tcPr>
          <w:p>
            <w:pPr>
              <w:spacing w:after="0"/>
              <w:rPr>
                <w:sz w:val="6"/>
                <w:szCs w:val="6"/>
                <w:color w:val="auto"/>
              </w:rPr>
            </w:pPr>
          </w:p>
        </w:tc>
        <w:tc>
          <w:tcPr>
            <w:tcW w:w="2040" w:type="dxa"/>
            <w:vAlign w:val="bottom"/>
            <w:tcBorders>
              <w:right w:val="single" w:sz="8" w:color="012E6C"/>
            </w:tcBorders>
            <w:vMerge w:val="continue"/>
          </w:tcPr>
          <w:p>
            <w:pPr>
              <w:spacing w:after="0"/>
              <w:rPr>
                <w:sz w:val="6"/>
                <w:szCs w:val="6"/>
                <w:color w:val="auto"/>
              </w:rPr>
            </w:pPr>
          </w:p>
        </w:tc>
        <w:tc>
          <w:tcPr>
            <w:tcW w:w="2060" w:type="dxa"/>
            <w:vAlign w:val="bottom"/>
            <w:tcBorders>
              <w:right w:val="single" w:sz="8" w:color="012E6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012E6C"/>
              <w:right w:val="single" w:sz="8" w:color="012E6C"/>
            </w:tcBorders>
            <w:vMerge w:val="continue"/>
          </w:tcPr>
          <w:p>
            <w:pPr>
              <w:spacing w:after="0"/>
              <w:rPr>
                <w:sz w:val="9"/>
                <w:szCs w:val="9"/>
                <w:color w:val="auto"/>
              </w:rPr>
            </w:pPr>
          </w:p>
        </w:tc>
        <w:tc>
          <w:tcPr>
            <w:tcW w:w="1920" w:type="dxa"/>
            <w:vAlign w:val="bottom"/>
            <w:tcBorders>
              <w:right w:val="single" w:sz="8" w:color="012E6C"/>
            </w:tcBorders>
            <w:vMerge w:val="continue"/>
          </w:tcPr>
          <w:p>
            <w:pPr>
              <w:spacing w:after="0"/>
              <w:rPr>
                <w:sz w:val="9"/>
                <w:szCs w:val="9"/>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payment.</w:t>
            </w:r>
          </w:p>
        </w:tc>
        <w:tc>
          <w:tcPr>
            <w:tcW w:w="22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NQSSP/NCAP: Lump sum for</w:t>
            </w:r>
          </w:p>
        </w:tc>
        <w:tc>
          <w:tcPr>
            <w:tcW w:w="2040" w:type="dxa"/>
            <w:vAlign w:val="bottom"/>
            <w:tcBorders>
              <w:right w:val="single" w:sz="8" w:color="012E6C"/>
            </w:tcBorders>
            <w:vMerge w:val="restart"/>
          </w:tcPr>
          <w:p>
            <w:pPr>
              <w:ind w:left="80"/>
              <w:spacing w:after="0"/>
              <w:rPr>
                <w:sz w:val="20"/>
                <w:szCs w:val="20"/>
                <w:color w:val="auto"/>
              </w:rPr>
            </w:pPr>
            <w:r>
              <w:rPr>
                <w:rFonts w:ascii="Arial" w:cs="Arial" w:eastAsia="Arial" w:hAnsi="Arial"/>
                <w:sz w:val="14"/>
                <w:szCs w:val="14"/>
                <w:color w:val="auto"/>
              </w:rPr>
              <w:t>provisions.</w:t>
            </w:r>
          </w:p>
        </w:tc>
        <w:tc>
          <w:tcPr>
            <w:tcW w:w="206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age 55.</w:t>
            </w:r>
          </w:p>
        </w:tc>
        <w:tc>
          <w:tcPr>
            <w:tcW w:w="0" w:type="dxa"/>
            <w:vAlign w:val="bottom"/>
          </w:tcPr>
          <w:p>
            <w:pPr>
              <w:spacing w:after="0"/>
              <w:rPr>
                <w:sz w:val="1"/>
                <w:szCs w:val="1"/>
                <w:color w:val="auto"/>
              </w:rPr>
            </w:pPr>
          </w:p>
        </w:tc>
      </w:tr>
      <w:tr>
        <w:trPr>
          <w:trHeight w:val="118"/>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2E6D"/>
                <w:w w:val="93"/>
              </w:rPr>
              <w:t>NCAP</w:t>
            </w:r>
            <w:r>
              <w:rPr>
                <w:rFonts w:ascii="Arial" w:cs="Arial" w:eastAsia="Arial" w:hAnsi="Arial"/>
                <w:sz w:val="19"/>
                <w:szCs w:val="19"/>
                <w:b w:val="1"/>
                <w:bCs w:val="1"/>
                <w:color w:val="002E6D"/>
                <w:w w:val="93"/>
                <w:vertAlign w:val="superscript"/>
              </w:rPr>
              <w:t>(5)</w:t>
            </w:r>
          </w:p>
        </w:tc>
        <w:tc>
          <w:tcPr>
            <w:tcW w:w="1920" w:type="dxa"/>
            <w:vAlign w:val="bottom"/>
            <w:tcBorders>
              <w:right w:val="single" w:sz="8" w:color="012E6C"/>
            </w:tcBorders>
            <w:vMerge w:val="restart"/>
          </w:tcPr>
          <w:p>
            <w:pPr>
              <w:ind w:left="80"/>
              <w:spacing w:after="0"/>
              <w:rPr>
                <w:sz w:val="20"/>
                <w:szCs w:val="20"/>
                <w:color w:val="auto"/>
              </w:rPr>
            </w:pPr>
            <w:r>
              <w:rPr>
                <w:rFonts w:ascii="Arial" w:cs="Arial" w:eastAsia="Arial" w:hAnsi="Arial"/>
                <w:sz w:val="14"/>
                <w:szCs w:val="14"/>
                <w:color w:val="auto"/>
              </w:rPr>
              <w:t>with NEO elections.</w:t>
            </w:r>
          </w:p>
        </w:tc>
        <w:tc>
          <w:tcPr>
            <w:tcW w:w="1940" w:type="dxa"/>
            <w:vAlign w:val="bottom"/>
            <w:tcBorders>
              <w:right w:val="single" w:sz="8" w:color="012E6C"/>
            </w:tcBorders>
            <w:vMerge w:val="continue"/>
          </w:tcPr>
          <w:p>
            <w:pPr>
              <w:spacing w:after="0"/>
              <w:rPr>
                <w:sz w:val="10"/>
                <w:szCs w:val="10"/>
                <w:color w:val="auto"/>
              </w:rPr>
            </w:pPr>
          </w:p>
        </w:tc>
        <w:tc>
          <w:tcPr>
            <w:tcW w:w="2240" w:type="dxa"/>
            <w:vAlign w:val="bottom"/>
            <w:tcBorders>
              <w:right w:val="single" w:sz="8" w:color="012E6C"/>
            </w:tcBorders>
            <w:vMerge w:val="continue"/>
          </w:tcPr>
          <w:p>
            <w:pPr>
              <w:spacing w:after="0"/>
              <w:rPr>
                <w:sz w:val="10"/>
                <w:szCs w:val="10"/>
                <w:color w:val="auto"/>
              </w:rPr>
            </w:pPr>
          </w:p>
        </w:tc>
        <w:tc>
          <w:tcPr>
            <w:tcW w:w="2040" w:type="dxa"/>
            <w:vAlign w:val="bottom"/>
            <w:tcBorders>
              <w:right w:val="single" w:sz="8" w:color="012E6C"/>
            </w:tcBorders>
            <w:vMerge w:val="continue"/>
          </w:tcPr>
          <w:p>
            <w:pPr>
              <w:spacing w:after="0"/>
              <w:rPr>
                <w:sz w:val="10"/>
                <w:szCs w:val="10"/>
                <w:color w:val="auto"/>
              </w:rPr>
            </w:pPr>
          </w:p>
        </w:tc>
        <w:tc>
          <w:tcPr>
            <w:tcW w:w="2060" w:type="dxa"/>
            <w:vAlign w:val="bottom"/>
            <w:tcBorders>
              <w:right w:val="single" w:sz="8" w:color="012E6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012E6C"/>
              <w:right w:val="single" w:sz="8" w:color="012E6C"/>
            </w:tcBorders>
            <w:vMerge w:val="continue"/>
          </w:tcPr>
          <w:p>
            <w:pPr>
              <w:spacing w:after="0"/>
              <w:rPr>
                <w:sz w:val="4"/>
                <w:szCs w:val="4"/>
                <w:color w:val="auto"/>
              </w:rPr>
            </w:pPr>
          </w:p>
        </w:tc>
        <w:tc>
          <w:tcPr>
            <w:tcW w:w="1920" w:type="dxa"/>
            <w:vAlign w:val="bottom"/>
            <w:tcBorders>
              <w:right w:val="single" w:sz="8" w:color="012E6C"/>
            </w:tcBorders>
            <w:vMerge w:val="continue"/>
          </w:tcPr>
          <w:p>
            <w:pPr>
              <w:spacing w:after="0"/>
              <w:rPr>
                <w:sz w:val="4"/>
                <w:szCs w:val="4"/>
                <w:color w:val="auto"/>
              </w:rPr>
            </w:pPr>
          </w:p>
        </w:tc>
        <w:tc>
          <w:tcPr>
            <w:tcW w:w="1940" w:type="dxa"/>
            <w:vAlign w:val="bottom"/>
            <w:tcBorders>
              <w:right w:val="single" w:sz="8" w:color="012E6C"/>
            </w:tcBorders>
          </w:tcPr>
          <w:p>
            <w:pPr>
              <w:spacing w:after="0"/>
              <w:rPr>
                <w:sz w:val="4"/>
                <w:szCs w:val="4"/>
                <w:color w:val="auto"/>
              </w:rPr>
            </w:pPr>
          </w:p>
        </w:tc>
        <w:tc>
          <w:tcPr>
            <w:tcW w:w="22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death; for disability or layoff,</w:t>
            </w:r>
          </w:p>
        </w:tc>
        <w:tc>
          <w:tcPr>
            <w:tcW w:w="2040" w:type="dxa"/>
            <w:vAlign w:val="bottom"/>
            <w:tcBorders>
              <w:right w:val="single" w:sz="8" w:color="012E6C"/>
            </w:tcBorders>
          </w:tcPr>
          <w:p>
            <w:pPr>
              <w:spacing w:after="0"/>
              <w:rPr>
                <w:sz w:val="4"/>
                <w:szCs w:val="4"/>
                <w:color w:val="auto"/>
              </w:rPr>
            </w:pPr>
          </w:p>
        </w:tc>
        <w:tc>
          <w:tcPr>
            <w:tcW w:w="206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NQSSP/NCAP: Lump sum</w:t>
            </w:r>
          </w:p>
        </w:tc>
        <w:tc>
          <w:tcPr>
            <w:tcW w:w="0" w:type="dxa"/>
            <w:vAlign w:val="bottom"/>
          </w:tcPr>
          <w:p>
            <w:pPr>
              <w:spacing w:after="0"/>
              <w:rPr>
                <w:sz w:val="1"/>
                <w:szCs w:val="1"/>
                <w:color w:val="auto"/>
              </w:rPr>
            </w:pPr>
          </w:p>
        </w:tc>
      </w:tr>
      <w:tr>
        <w:trPr>
          <w:trHeight w:val="125"/>
        </w:trPr>
        <w:tc>
          <w:tcPr>
            <w:tcW w:w="1060" w:type="dxa"/>
            <w:vAlign w:val="bottom"/>
            <w:tcBorders>
              <w:left w:val="single" w:sz="8" w:color="012E6C"/>
              <w:right w:val="single" w:sz="8" w:color="012E6C"/>
            </w:tcBorders>
            <w:vMerge w:val="continue"/>
          </w:tcPr>
          <w:p>
            <w:pPr>
              <w:spacing w:after="0"/>
              <w:rPr>
                <w:sz w:val="10"/>
                <w:szCs w:val="10"/>
                <w:color w:val="auto"/>
              </w:rPr>
            </w:pPr>
          </w:p>
        </w:tc>
        <w:tc>
          <w:tcPr>
            <w:tcW w:w="1920" w:type="dxa"/>
            <w:vAlign w:val="bottom"/>
            <w:tcBorders>
              <w:right w:val="single" w:sz="8" w:color="012E6C"/>
            </w:tcBorders>
          </w:tcPr>
          <w:p>
            <w:pPr>
              <w:spacing w:after="0"/>
              <w:rPr>
                <w:sz w:val="10"/>
                <w:szCs w:val="10"/>
                <w:color w:val="auto"/>
              </w:rPr>
            </w:pPr>
          </w:p>
        </w:tc>
        <w:tc>
          <w:tcPr>
            <w:tcW w:w="1940" w:type="dxa"/>
            <w:vAlign w:val="bottom"/>
            <w:tcBorders>
              <w:right w:val="single" w:sz="8" w:color="012E6C"/>
            </w:tcBorders>
          </w:tcPr>
          <w:p>
            <w:pPr>
              <w:spacing w:after="0"/>
              <w:rPr>
                <w:sz w:val="10"/>
                <w:szCs w:val="10"/>
                <w:color w:val="auto"/>
              </w:rPr>
            </w:pPr>
          </w:p>
        </w:tc>
        <w:tc>
          <w:tcPr>
            <w:tcW w:w="2240" w:type="dxa"/>
            <w:vAlign w:val="bottom"/>
            <w:tcBorders>
              <w:right w:val="single" w:sz="8" w:color="012E6C"/>
            </w:tcBorders>
            <w:vMerge w:val="continue"/>
          </w:tcPr>
          <w:p>
            <w:pPr>
              <w:spacing w:after="0"/>
              <w:rPr>
                <w:sz w:val="10"/>
                <w:szCs w:val="10"/>
                <w:color w:val="auto"/>
              </w:rPr>
            </w:pPr>
          </w:p>
        </w:tc>
        <w:tc>
          <w:tcPr>
            <w:tcW w:w="2040" w:type="dxa"/>
            <w:vAlign w:val="bottom"/>
            <w:tcBorders>
              <w:right w:val="single" w:sz="8" w:color="012E6C"/>
            </w:tcBorders>
          </w:tcPr>
          <w:p>
            <w:pPr>
              <w:spacing w:after="0"/>
              <w:rPr>
                <w:sz w:val="10"/>
                <w:szCs w:val="10"/>
                <w:color w:val="auto"/>
              </w:rPr>
            </w:pPr>
          </w:p>
        </w:tc>
        <w:tc>
          <w:tcPr>
            <w:tcW w:w="2060" w:type="dxa"/>
            <w:vAlign w:val="bottom"/>
            <w:tcBorders>
              <w:right w:val="single" w:sz="8" w:color="012E6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060" w:type="dxa"/>
            <w:vAlign w:val="bottom"/>
            <w:tcBorders>
              <w:left w:val="single" w:sz="8" w:color="012E6C"/>
              <w:right w:val="single" w:sz="8" w:color="012E6C"/>
            </w:tcBorders>
          </w:tcPr>
          <w:p>
            <w:pPr>
              <w:spacing w:after="0"/>
              <w:rPr>
                <w:sz w:val="14"/>
                <w:szCs w:val="14"/>
                <w:color w:val="auto"/>
              </w:rPr>
            </w:pPr>
          </w:p>
        </w:tc>
        <w:tc>
          <w:tcPr>
            <w:tcW w:w="1920" w:type="dxa"/>
            <w:vAlign w:val="bottom"/>
            <w:tcBorders>
              <w:right w:val="single" w:sz="8" w:color="012E6C"/>
            </w:tcBorders>
          </w:tcPr>
          <w:p>
            <w:pPr>
              <w:spacing w:after="0"/>
              <w:rPr>
                <w:sz w:val="14"/>
                <w:szCs w:val="14"/>
                <w:color w:val="auto"/>
              </w:rPr>
            </w:pPr>
          </w:p>
        </w:tc>
        <w:tc>
          <w:tcPr>
            <w:tcW w:w="1940" w:type="dxa"/>
            <w:vAlign w:val="bottom"/>
            <w:tcBorders>
              <w:right w:val="single" w:sz="8" w:color="012E6C"/>
            </w:tcBorders>
          </w:tcPr>
          <w:p>
            <w:pPr>
              <w:spacing w:after="0"/>
              <w:rPr>
                <w:sz w:val="14"/>
                <w:szCs w:val="14"/>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lump sum or installment</w:t>
            </w:r>
          </w:p>
        </w:tc>
        <w:tc>
          <w:tcPr>
            <w:tcW w:w="2040" w:type="dxa"/>
            <w:vAlign w:val="bottom"/>
            <w:tcBorders>
              <w:right w:val="single" w:sz="8" w:color="012E6C"/>
            </w:tcBorders>
          </w:tcPr>
          <w:p>
            <w:pPr>
              <w:spacing w:after="0"/>
              <w:rPr>
                <w:sz w:val="14"/>
                <w:szCs w:val="14"/>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or installment payments in</w:t>
            </w: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payments in accordance with</w:t>
            </w:r>
          </w:p>
        </w:tc>
        <w:tc>
          <w:tcPr>
            <w:tcW w:w="2040" w:type="dxa"/>
            <w:vAlign w:val="bottom"/>
            <w:tcBorders>
              <w:right w:val="single" w:sz="8" w:color="012E6C"/>
            </w:tcBorders>
          </w:tcPr>
          <w:p>
            <w:pPr>
              <w:spacing w:after="0"/>
              <w:rPr>
                <w:sz w:val="15"/>
                <w:szCs w:val="15"/>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accordance with NEO</w:t>
            </w: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NEO elections.</w:t>
            </w:r>
          </w:p>
        </w:tc>
        <w:tc>
          <w:tcPr>
            <w:tcW w:w="2040" w:type="dxa"/>
            <w:vAlign w:val="bottom"/>
            <w:tcBorders>
              <w:right w:val="single" w:sz="8" w:color="012E6C"/>
            </w:tcBorders>
          </w:tcPr>
          <w:p>
            <w:pPr>
              <w:spacing w:after="0"/>
              <w:rPr>
                <w:sz w:val="15"/>
                <w:szCs w:val="15"/>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elections.</w:t>
            </w:r>
          </w:p>
        </w:tc>
        <w:tc>
          <w:tcPr>
            <w:tcW w:w="0" w:type="dxa"/>
            <w:vAlign w:val="bottom"/>
          </w:tcPr>
          <w:p>
            <w:pPr>
              <w:spacing w:after="0"/>
              <w:rPr>
                <w:sz w:val="1"/>
                <w:szCs w:val="1"/>
                <w:color w:val="auto"/>
              </w:rPr>
            </w:pPr>
          </w:p>
        </w:tc>
      </w:tr>
      <w:tr>
        <w:trPr>
          <w:trHeight w:val="79"/>
        </w:trPr>
        <w:tc>
          <w:tcPr>
            <w:tcW w:w="1060" w:type="dxa"/>
            <w:vAlign w:val="bottom"/>
            <w:tcBorders>
              <w:left w:val="single" w:sz="8" w:color="012E6C"/>
              <w:bottom w:val="single" w:sz="8" w:color="012E6C"/>
              <w:right w:val="single" w:sz="8" w:color="012E6C"/>
            </w:tcBorders>
          </w:tcPr>
          <w:p>
            <w:pPr>
              <w:spacing w:after="0"/>
              <w:rPr>
                <w:sz w:val="6"/>
                <w:szCs w:val="6"/>
                <w:color w:val="auto"/>
              </w:rPr>
            </w:pPr>
          </w:p>
        </w:tc>
        <w:tc>
          <w:tcPr>
            <w:tcW w:w="1920" w:type="dxa"/>
            <w:vAlign w:val="bottom"/>
            <w:tcBorders>
              <w:bottom w:val="single" w:sz="8" w:color="012E6C"/>
              <w:right w:val="single" w:sz="8" w:color="012E6C"/>
            </w:tcBorders>
          </w:tcPr>
          <w:p>
            <w:pPr>
              <w:spacing w:after="0"/>
              <w:rPr>
                <w:sz w:val="6"/>
                <w:szCs w:val="6"/>
                <w:color w:val="auto"/>
              </w:rPr>
            </w:pPr>
          </w:p>
        </w:tc>
        <w:tc>
          <w:tcPr>
            <w:tcW w:w="1940" w:type="dxa"/>
            <w:vAlign w:val="bottom"/>
            <w:tcBorders>
              <w:bottom w:val="single" w:sz="8" w:color="012E6C"/>
              <w:right w:val="single" w:sz="8" w:color="012E6C"/>
            </w:tcBorders>
          </w:tcPr>
          <w:p>
            <w:pPr>
              <w:spacing w:after="0"/>
              <w:rPr>
                <w:sz w:val="6"/>
                <w:szCs w:val="6"/>
                <w:color w:val="auto"/>
              </w:rPr>
            </w:pPr>
          </w:p>
        </w:tc>
        <w:tc>
          <w:tcPr>
            <w:tcW w:w="2240" w:type="dxa"/>
            <w:vAlign w:val="bottom"/>
            <w:tcBorders>
              <w:bottom w:val="single" w:sz="8" w:color="012E6C"/>
              <w:right w:val="single" w:sz="8" w:color="012E6C"/>
            </w:tcBorders>
          </w:tcPr>
          <w:p>
            <w:pPr>
              <w:spacing w:after="0"/>
              <w:rPr>
                <w:sz w:val="6"/>
                <w:szCs w:val="6"/>
                <w:color w:val="auto"/>
              </w:rPr>
            </w:pPr>
          </w:p>
        </w:tc>
        <w:tc>
          <w:tcPr>
            <w:tcW w:w="2040" w:type="dxa"/>
            <w:vAlign w:val="bottom"/>
            <w:tcBorders>
              <w:bottom w:val="single" w:sz="8" w:color="012E6C"/>
              <w:right w:val="single" w:sz="8" w:color="012E6C"/>
            </w:tcBorders>
          </w:tcPr>
          <w:p>
            <w:pPr>
              <w:spacing w:after="0"/>
              <w:rPr>
                <w:sz w:val="6"/>
                <w:szCs w:val="6"/>
                <w:color w:val="auto"/>
              </w:rPr>
            </w:pPr>
          </w:p>
        </w:tc>
        <w:tc>
          <w:tcPr>
            <w:tcW w:w="2060" w:type="dxa"/>
            <w:vAlign w:val="bottom"/>
            <w:tcBorders>
              <w:bottom w:val="single" w:sz="8" w:color="012E6C"/>
              <w:right w:val="single" w:sz="8" w:color="012E6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60" w:right="100" w:hanging="252"/>
        <w:spacing w:after="0" w:line="232" w:lineRule="auto"/>
        <w:tabs>
          <w:tab w:leader="none" w:pos="266" w:val="left"/>
        </w:tabs>
        <w:numPr>
          <w:ilvl w:val="0"/>
          <w:numId w:val="107"/>
        </w:numPr>
        <w:rPr>
          <w:rFonts w:ascii="Arial" w:cs="Arial" w:eastAsia="Arial" w:hAnsi="Arial"/>
          <w:sz w:val="19"/>
          <w:szCs w:val="19"/>
          <w:color w:val="auto"/>
          <w:vertAlign w:val="superscript"/>
        </w:rPr>
      </w:pPr>
      <w:r>
        <w:rPr>
          <w:rFonts w:ascii="Arial" w:cs="Arial" w:eastAsia="Arial" w:hAnsi="Arial"/>
          <w:sz w:val="14"/>
          <w:szCs w:val="14"/>
          <w:color w:val="auto"/>
        </w:rPr>
        <w:t>Divestiture is defined as a transaction which results in the transfer of control of a business operation to any person, corporation, association, partnership, joint venture, or other business entity of which less than 50 percent of the voting stock or other equity interests (in the case of entities other than corporations) is owned or controlled directly or indirectly by us, one or more of our subsidiaries, or by a combination thereof following the transaction.</w:t>
      </w:r>
    </w:p>
    <w:p>
      <w:pPr>
        <w:spacing w:after="0" w:line="11"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07"/>
        </w:numPr>
        <w:rPr>
          <w:rFonts w:ascii="Arial" w:cs="Arial" w:eastAsia="Arial" w:hAnsi="Arial"/>
          <w:sz w:val="19"/>
          <w:szCs w:val="19"/>
          <w:color w:val="auto"/>
          <w:vertAlign w:val="superscript"/>
        </w:rPr>
      </w:pPr>
      <w:r>
        <w:rPr>
          <w:rFonts w:ascii="Arial" w:cs="Arial" w:eastAsia="Arial" w:hAnsi="Arial"/>
          <w:sz w:val="14"/>
          <w:szCs w:val="14"/>
          <w:color w:val="auto"/>
        </w:rPr>
        <w:t>See “Compensation Discussion and Analysis” for discussion of annual incentive bonus payment calculation.</w:t>
      </w:r>
    </w:p>
    <w:p>
      <w:pPr>
        <w:spacing w:after="0" w:line="57" w:lineRule="exact"/>
        <w:rPr>
          <w:rFonts w:ascii="Arial" w:cs="Arial" w:eastAsia="Arial" w:hAnsi="Arial"/>
          <w:sz w:val="19"/>
          <w:szCs w:val="19"/>
          <w:color w:val="auto"/>
          <w:vertAlign w:val="superscript"/>
        </w:rPr>
      </w:pPr>
    </w:p>
    <w:p>
      <w:pPr>
        <w:ind w:left="260" w:right="140" w:hanging="252"/>
        <w:spacing w:after="0" w:line="239" w:lineRule="auto"/>
        <w:tabs>
          <w:tab w:leader="none" w:pos="266" w:val="left"/>
        </w:tabs>
        <w:numPr>
          <w:ilvl w:val="0"/>
          <w:numId w:val="107"/>
        </w:numPr>
        <w:rPr>
          <w:rFonts w:ascii="Arial" w:cs="Arial" w:eastAsia="Arial" w:hAnsi="Arial"/>
          <w:sz w:val="19"/>
          <w:szCs w:val="19"/>
          <w:color w:val="auto"/>
          <w:vertAlign w:val="superscript"/>
        </w:rPr>
      </w:pPr>
      <w:r>
        <w:rPr>
          <w:rFonts w:ascii="Arial" w:cs="Arial" w:eastAsia="Arial" w:hAnsi="Arial"/>
          <w:sz w:val="14"/>
          <w:szCs w:val="14"/>
          <w:color w:val="auto"/>
        </w:rPr>
        <w:t>Mr. Taiclet's equity replacement award is subject to the same provisions on termination as the other RSUs except in the event of retirement or layoff. For his equity replacement award, Mr. Taiclet would forfeit all unvested RSUs upon retirement or resignation and, in the event of a layoff, before the first anniversary of the grant date, approximately half of the RSUs will immediately vest and the remainder will be forfeited. In the event of a layoff after the first anniversary but before the second anniversary of the date of grant, all remaining unvested RSUs will immediately vest.</w:t>
      </w:r>
    </w:p>
    <w:p>
      <w:pPr>
        <w:spacing w:after="0" w:line="11"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07"/>
        </w:numPr>
        <w:rPr>
          <w:rFonts w:ascii="Arial" w:cs="Arial" w:eastAsia="Arial" w:hAnsi="Arial"/>
          <w:sz w:val="19"/>
          <w:szCs w:val="19"/>
          <w:color w:val="auto"/>
          <w:vertAlign w:val="superscript"/>
        </w:rPr>
      </w:pPr>
      <w:r>
        <w:rPr>
          <w:rFonts w:ascii="Arial" w:cs="Arial" w:eastAsia="Arial" w:hAnsi="Arial"/>
          <w:sz w:val="14"/>
          <w:szCs w:val="14"/>
          <w:color w:val="auto"/>
        </w:rPr>
        <w:t>See “2020 Pension Benefits” table for present value of accumulated benefit.</w:t>
      </w:r>
    </w:p>
    <w:p>
      <w:pPr>
        <w:spacing w:after="0" w:line="57" w:lineRule="exact"/>
        <w:rPr>
          <w:rFonts w:ascii="Arial" w:cs="Arial" w:eastAsia="Arial" w:hAnsi="Arial"/>
          <w:sz w:val="19"/>
          <w:szCs w:val="19"/>
          <w:color w:val="auto"/>
          <w:vertAlign w:val="superscript"/>
        </w:rPr>
      </w:pPr>
    </w:p>
    <w:p>
      <w:pPr>
        <w:ind w:left="260" w:hanging="252"/>
        <w:spacing w:after="0" w:line="189" w:lineRule="auto"/>
        <w:tabs>
          <w:tab w:leader="none" w:pos="260" w:val="left"/>
        </w:tabs>
        <w:numPr>
          <w:ilvl w:val="0"/>
          <w:numId w:val="107"/>
        </w:numPr>
        <w:rPr>
          <w:rFonts w:ascii="Arial" w:cs="Arial" w:eastAsia="Arial" w:hAnsi="Arial"/>
          <w:sz w:val="19"/>
          <w:szCs w:val="19"/>
          <w:color w:val="auto"/>
          <w:vertAlign w:val="superscript"/>
        </w:rPr>
      </w:pPr>
      <w:r>
        <w:rPr>
          <w:rFonts w:ascii="Arial" w:cs="Arial" w:eastAsia="Arial" w:hAnsi="Arial"/>
          <w:sz w:val="14"/>
          <w:szCs w:val="14"/>
          <w:color w:val="auto"/>
        </w:rPr>
        <w:t>See “Aggregate Balance at Last FYE” column in “2020 Nonqualified Deferred Compensation” table for amounts payable.</w:t>
      </w:r>
    </w:p>
    <w:p>
      <w:pPr>
        <w:spacing w:after="0" w:line="11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following table quantifies the payments under our executive compensation programs in RSU, LTIP and PSU awards and the lump sum payable under the Supplemental Pension that would be made for each NEO assuming a termination event occurred on December 31, 2020. Payments under other plans do not change as a result of the termination event, and quantification of those payments is found elsewhere in this Proxy Statement; benefits under plans available generally to salaried employees also are not included. The table shows amounts that would actually be paid on or shortly after December 31, 2020 on account of the trigger event. Amounts that are contingent upon future performance, continued vesting or already earned as of December 31, 2020 are described and quantified in the footnotes following the table. Award agreements for the NEOs contain clawback provisions and post-employment restrictive covenants. To receive a supplemental severance benefit or favorable vesting of 2020-22 RSU, LTIP and PSU awards on layoff, an executive must execute a release of claims and, for the supplemental severance benefit, an agreement containing two-year post-employment non-compete and non-solicitation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266065</wp:posOffset>
            </wp:positionV>
            <wp:extent cx="969010" cy="2228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72</w:t>
      </w:r>
    </w:p>
    <w:p>
      <w:pPr>
        <w:sectPr>
          <w:pgSz w:w="11900" w:h="16838" w:orient="portrait"/>
          <w:cols w:equalWidth="0" w:num="1">
            <w:col w:w="11260"/>
          </w:cols>
          <w:pgMar w:left="320" w:top="609" w:right="319" w:bottom="1440" w:gutter="0" w:footer="0" w:header="0"/>
        </w:sectPr>
      </w:pPr>
    </w:p>
    <w:bookmarkStart w:id="76" w:name="page77"/>
    <w:bookmarkEnd w:id="76"/>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Potential Payments Upon Termination or Change in Control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20" w:type="dxa"/>
            <w:vAlign w:val="bottom"/>
            <w:shd w:val="clear" w:color="auto" w:fill="E5E7EF"/>
          </w:tcPr>
          <w:p>
            <w:pPr>
              <w:spacing w:after="0"/>
              <w:rPr>
                <w:sz w:val="14"/>
                <w:szCs w:val="14"/>
                <w:color w:val="auto"/>
              </w:rPr>
            </w:pPr>
          </w:p>
        </w:tc>
        <w:tc>
          <w:tcPr>
            <w:tcW w:w="1800" w:type="dxa"/>
            <w:vAlign w:val="bottom"/>
            <w:shd w:val="clear" w:color="auto" w:fill="E5E7EF"/>
          </w:tcPr>
          <w:p>
            <w:pPr>
              <w:spacing w:after="0"/>
              <w:rPr>
                <w:sz w:val="14"/>
                <w:szCs w:val="14"/>
                <w:color w:val="auto"/>
              </w:rPr>
            </w:pPr>
          </w:p>
        </w:tc>
        <w:tc>
          <w:tcPr>
            <w:tcW w:w="1260" w:type="dxa"/>
            <w:vAlign w:val="bottom"/>
            <w:shd w:val="clear" w:color="auto" w:fill="E5E7EF"/>
          </w:tcPr>
          <w:p>
            <w:pPr>
              <w:spacing w:after="0"/>
              <w:rPr>
                <w:sz w:val="14"/>
                <w:szCs w:val="14"/>
                <w:color w:val="auto"/>
              </w:rPr>
            </w:pPr>
          </w:p>
        </w:tc>
        <w:tc>
          <w:tcPr>
            <w:tcW w:w="112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Change</w:t>
            </w:r>
          </w:p>
        </w:tc>
        <w:tc>
          <w:tcPr>
            <w:tcW w:w="112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Death/</w:t>
            </w:r>
          </w:p>
        </w:tc>
        <w:tc>
          <w:tcPr>
            <w:tcW w:w="1120" w:type="dxa"/>
            <w:vAlign w:val="bottom"/>
            <w:shd w:val="clear" w:color="auto" w:fill="E5E7EF"/>
          </w:tcPr>
          <w:p>
            <w:pPr>
              <w:spacing w:after="0"/>
              <w:rPr>
                <w:sz w:val="14"/>
                <w:szCs w:val="14"/>
                <w:color w:val="auto"/>
              </w:rPr>
            </w:pPr>
          </w:p>
        </w:tc>
        <w:tc>
          <w:tcPr>
            <w:tcW w:w="1120" w:type="dxa"/>
            <w:vAlign w:val="bottom"/>
            <w:shd w:val="clear" w:color="auto" w:fill="E5E7EF"/>
          </w:tcPr>
          <w:p>
            <w:pPr>
              <w:spacing w:after="0"/>
              <w:rPr>
                <w:sz w:val="14"/>
                <w:szCs w:val="14"/>
                <w:color w:val="auto"/>
              </w:rPr>
            </w:pPr>
          </w:p>
        </w:tc>
        <w:tc>
          <w:tcPr>
            <w:tcW w:w="9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Termination/</w:t>
            </w:r>
          </w:p>
        </w:tc>
      </w:tr>
      <w:tr>
        <w:trPr>
          <w:trHeight w:val="182"/>
        </w:trPr>
        <w:tc>
          <w:tcPr>
            <w:tcW w:w="2420" w:type="dxa"/>
            <w:vAlign w:val="bottom"/>
            <w:shd w:val="clear" w:color="auto" w:fill="E5E7EF"/>
          </w:tcPr>
          <w:p>
            <w:pPr>
              <w:spacing w:after="0"/>
              <w:rPr>
                <w:sz w:val="15"/>
                <w:szCs w:val="15"/>
                <w:color w:val="auto"/>
              </w:rPr>
            </w:pPr>
          </w:p>
        </w:tc>
        <w:tc>
          <w:tcPr>
            <w:tcW w:w="1800" w:type="dxa"/>
            <w:vAlign w:val="bottom"/>
            <w:shd w:val="clear" w:color="auto" w:fill="E5E7EF"/>
          </w:tcPr>
          <w:p>
            <w:pPr>
              <w:spacing w:after="0"/>
              <w:rPr>
                <w:sz w:val="15"/>
                <w:szCs w:val="15"/>
                <w:color w:val="auto"/>
              </w:rPr>
            </w:pPr>
          </w:p>
        </w:tc>
        <w:tc>
          <w:tcPr>
            <w:tcW w:w="126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Retirement</w:t>
            </w:r>
          </w:p>
        </w:tc>
        <w:tc>
          <w:tcPr>
            <w:tcW w:w="112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In Control</w:t>
            </w:r>
          </w:p>
        </w:tc>
        <w:tc>
          <w:tcPr>
            <w:tcW w:w="112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Disability</w:t>
            </w:r>
          </w:p>
        </w:tc>
        <w:tc>
          <w:tcPr>
            <w:tcW w:w="112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Layoff</w:t>
            </w:r>
          </w:p>
        </w:tc>
        <w:tc>
          <w:tcPr>
            <w:tcW w:w="112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Divestiture</w:t>
            </w:r>
          </w:p>
        </w:tc>
        <w:tc>
          <w:tcPr>
            <w:tcW w:w="960" w:type="dxa"/>
            <w:vAlign w:val="bottom"/>
            <w:shd w:val="clear" w:color="auto" w:fill="E5E7EF"/>
          </w:tcPr>
          <w:p>
            <w:pPr>
              <w:jc w:val="right"/>
              <w:spacing w:after="0" w:line="182" w:lineRule="exact"/>
              <w:rPr>
                <w:sz w:val="20"/>
                <w:szCs w:val="20"/>
                <w:color w:val="auto"/>
              </w:rPr>
            </w:pPr>
            <w:r>
              <w:rPr>
                <w:rFonts w:ascii="Arial" w:cs="Arial" w:eastAsia="Arial" w:hAnsi="Arial"/>
                <w:sz w:val="13"/>
                <w:szCs w:val="13"/>
                <w:color w:val="auto"/>
              </w:rPr>
              <w:t>Resignation</w:t>
            </w:r>
            <w:r>
              <w:rPr>
                <w:rFonts w:ascii="Arial" w:cs="Arial" w:eastAsia="Arial" w:hAnsi="Arial"/>
                <w:sz w:val="16"/>
                <w:szCs w:val="16"/>
                <w:color w:val="auto"/>
                <w:vertAlign w:val="superscript"/>
              </w:rPr>
              <w:t>(1)</w:t>
            </w:r>
          </w:p>
        </w:tc>
      </w:tr>
      <w:tr>
        <w:trPr>
          <w:trHeight w:val="208"/>
        </w:trPr>
        <w:tc>
          <w:tcPr>
            <w:tcW w:w="24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800" w:type="dxa"/>
            <w:vAlign w:val="bottom"/>
            <w:tcBorders>
              <w:bottom w:val="single" w:sz="8" w:color="E5E7EF"/>
            </w:tcBorders>
            <w:shd w:val="clear" w:color="auto" w:fill="E5E7EF"/>
          </w:tcPr>
          <w:p>
            <w:pPr>
              <w:spacing w:after="0"/>
              <w:rPr>
                <w:sz w:val="17"/>
                <w:szCs w:val="17"/>
                <w:color w:val="auto"/>
              </w:rPr>
            </w:pPr>
          </w:p>
        </w:tc>
        <w:tc>
          <w:tcPr>
            <w:tcW w:w="1260" w:type="dxa"/>
            <w:vAlign w:val="bottom"/>
            <w:tcBorders>
              <w:bottom w:val="single" w:sz="8" w:color="E5E7EF"/>
            </w:tcBorders>
            <w:shd w:val="clear" w:color="auto" w:fill="E5E7EF"/>
          </w:tcPr>
          <w:p>
            <w:pPr>
              <w:jc w:val="right"/>
              <w:ind w:right="109"/>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ind w:right="109"/>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ind w:right="89"/>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ind w:right="109"/>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ind w:right="10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420" w:type="dxa"/>
            <w:vAlign w:val="bottom"/>
            <w:tcBorders>
              <w:top w:val="single" w:sz="8" w:color="959595"/>
            </w:tcBorders>
          </w:tcPr>
          <w:p>
            <w:pPr>
              <w:ind w:left="20"/>
              <w:spacing w:after="0"/>
              <w:rPr>
                <w:sz w:val="20"/>
                <w:szCs w:val="20"/>
                <w:color w:val="auto"/>
              </w:rPr>
            </w:pPr>
            <w:r>
              <w:rPr>
                <w:rFonts w:ascii="Arial" w:cs="Arial" w:eastAsia="Arial" w:hAnsi="Arial"/>
                <w:sz w:val="14"/>
                <w:szCs w:val="14"/>
                <w:b w:val="1"/>
                <w:bCs w:val="1"/>
                <w:color w:val="002E6D"/>
              </w:rPr>
              <w:t>James D. Taiclet</w:t>
            </w:r>
          </w:p>
        </w:tc>
        <w:tc>
          <w:tcPr>
            <w:tcW w:w="1800" w:type="dxa"/>
            <w:vAlign w:val="bottom"/>
            <w:tcBorders>
              <w:top w:val="single" w:sz="8" w:color="959595"/>
            </w:tcBorders>
            <w:shd w:val="clear" w:color="auto" w:fill="E5E7EF"/>
          </w:tcPr>
          <w:p>
            <w:pPr>
              <w:ind w:left="20"/>
              <w:spacing w:after="0" w:line="182" w:lineRule="exact"/>
              <w:rPr>
                <w:sz w:val="20"/>
                <w:szCs w:val="20"/>
                <w:color w:val="auto"/>
              </w:rPr>
            </w:pPr>
            <w:r>
              <w:rPr>
                <w:rFonts w:ascii="Arial" w:cs="Arial" w:eastAsia="Arial" w:hAnsi="Arial"/>
                <w:sz w:val="14"/>
                <w:szCs w:val="14"/>
                <w:color w:val="auto"/>
              </w:rPr>
              <w:t>Supplemental Pension</w:t>
            </w:r>
            <w:r>
              <w:rPr>
                <w:rFonts w:ascii="Arial" w:cs="Arial" w:eastAsia="Arial" w:hAnsi="Arial"/>
                <w:sz w:val="18"/>
                <w:szCs w:val="18"/>
                <w:color w:val="auto"/>
                <w:vertAlign w:val="superscript"/>
              </w:rPr>
              <w:t>(2)</w:t>
            </w:r>
          </w:p>
        </w:tc>
        <w:tc>
          <w:tcPr>
            <w:tcW w:w="1260" w:type="dxa"/>
            <w:vAlign w:val="bottom"/>
            <w:tcBorders>
              <w:top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top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top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top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Borders>
              <w:top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Borders>
              <w:top w:val="single" w:sz="8" w:color="959595"/>
            </w:tcBorders>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LTIP</w:t>
            </w:r>
            <w:r>
              <w:rPr>
                <w:rFonts w:ascii="Arial" w:cs="Arial" w:eastAsia="Arial" w:hAnsi="Arial"/>
                <w:sz w:val="18"/>
                <w:szCs w:val="18"/>
                <w:color w:val="auto"/>
                <w:vertAlign w:val="superscript"/>
              </w:rPr>
              <w:t>(3)</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2,800,000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shd w:val="clear" w:color="auto" w:fill="E5E7EF"/>
          </w:tcPr>
          <w:p>
            <w:pPr>
              <w:ind w:left="20"/>
              <w:spacing w:after="0" w:line="189" w:lineRule="exact"/>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(4)</w:t>
            </w:r>
          </w:p>
        </w:tc>
        <w:tc>
          <w:tcPr>
            <w:tcW w:w="126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9,309,443</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9,309,443</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2,767,886</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2,407,212</w:t>
            </w:r>
          </w:p>
        </w:tc>
        <w:tc>
          <w:tcPr>
            <w:tcW w:w="960" w:type="dxa"/>
            <w:vAlign w:val="bottom"/>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1,717,413</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Borders>
              <w:bottom w:val="single" w:sz="8" w:color="959595"/>
            </w:tcBorders>
            <w:shd w:val="clear" w:color="auto" w:fill="E5E7EF"/>
          </w:tcPr>
          <w:p>
            <w:pPr>
              <w:ind w:left="20"/>
              <w:spacing w:after="0" w:line="189" w:lineRule="exact"/>
              <w:rPr>
                <w:sz w:val="20"/>
                <w:szCs w:val="20"/>
                <w:color w:val="auto"/>
              </w:rPr>
            </w:pPr>
            <w:r>
              <w:rPr>
                <w:rFonts w:ascii="Arial" w:cs="Arial" w:eastAsia="Arial" w:hAnsi="Arial"/>
                <w:sz w:val="14"/>
                <w:szCs w:val="14"/>
                <w:color w:val="auto"/>
              </w:rPr>
              <w:t>Executive Severance</w:t>
            </w:r>
            <w:r>
              <w:rPr>
                <w:rFonts w:ascii="Arial" w:cs="Arial" w:eastAsia="Arial" w:hAnsi="Arial"/>
                <w:sz w:val="18"/>
                <w:szCs w:val="18"/>
                <w:color w:val="auto"/>
                <w:vertAlign w:val="superscript"/>
              </w:rPr>
              <w:t>(6)</w:t>
            </w:r>
          </w:p>
        </w:tc>
        <w:tc>
          <w:tcPr>
            <w:tcW w:w="126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14,070,623</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Borders>
              <w:bottom w:val="single" w:sz="8" w:color="959595"/>
            </w:tcBorders>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3"/>
        </w:trPr>
        <w:tc>
          <w:tcPr>
            <w:tcW w:w="2420" w:type="dxa"/>
            <w:vAlign w:val="bottom"/>
            <w:tcBorders>
              <w:bottom w:val="single" w:sz="8" w:color="959595"/>
            </w:tcBorders>
          </w:tcPr>
          <w:p>
            <w:pPr>
              <w:spacing w:after="0"/>
              <w:rPr>
                <w:sz w:val="15"/>
                <w:szCs w:val="15"/>
                <w:color w:val="auto"/>
              </w:rPr>
            </w:pPr>
          </w:p>
        </w:tc>
        <w:tc>
          <w:tcPr>
            <w:tcW w:w="18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0</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13,826,856</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9,309,443</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16,838,509</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2,407,212</w:t>
            </w:r>
          </w:p>
        </w:tc>
        <w:tc>
          <w:tcPr>
            <w:tcW w:w="9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b w:val="1"/>
                <w:bCs w:val="1"/>
                <w:color w:val="auto"/>
              </w:rPr>
              <w:t>0</w:t>
            </w: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b w:val="1"/>
                <w:bCs w:val="1"/>
                <w:color w:val="002E6D"/>
              </w:rPr>
              <w:t>Marillyn A. Hewson</w:t>
            </w:r>
          </w:p>
        </w:tc>
        <w:tc>
          <w:tcPr>
            <w:tcW w:w="1800" w:type="dxa"/>
            <w:vAlign w:val="bottom"/>
            <w:shd w:val="clear" w:color="auto" w:fill="E5E7EF"/>
          </w:tcPr>
          <w:p>
            <w:pPr>
              <w:ind w:left="20"/>
              <w:spacing w:after="0" w:line="182" w:lineRule="exact"/>
              <w:rPr>
                <w:sz w:val="20"/>
                <w:szCs w:val="20"/>
                <w:color w:val="auto"/>
              </w:rPr>
            </w:pPr>
            <w:r>
              <w:rPr>
                <w:rFonts w:ascii="Arial" w:cs="Arial" w:eastAsia="Arial" w:hAnsi="Arial"/>
                <w:sz w:val="14"/>
                <w:szCs w:val="14"/>
                <w:color w:val="auto"/>
              </w:rPr>
              <w:t>Supplemental Pension</w:t>
            </w:r>
            <w:r>
              <w:rPr>
                <w:rFonts w:ascii="Arial" w:cs="Arial" w:eastAsia="Arial" w:hAnsi="Arial"/>
                <w:sz w:val="18"/>
                <w:szCs w:val="18"/>
                <w:color w:val="auto"/>
                <w:vertAlign w:val="superscript"/>
              </w:rPr>
              <w:t>(2)</w:t>
            </w:r>
          </w:p>
        </w:tc>
        <w:tc>
          <w:tcPr>
            <w:tcW w:w="126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46,464,098</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46,464,098</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46,464,098</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46,464,098</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46,464,098</w:t>
            </w:r>
          </w:p>
        </w:tc>
        <w:tc>
          <w:tcPr>
            <w:tcW w:w="960" w:type="dxa"/>
            <w:vAlign w:val="bottom"/>
            <w:shd w:val="clear" w:color="auto" w:fill="E5E7EF"/>
          </w:tcPr>
          <w:p>
            <w:pPr>
              <w:jc w:val="right"/>
              <w:ind w:right="9"/>
              <w:spacing w:after="0"/>
              <w:rPr>
                <w:sz w:val="20"/>
                <w:szCs w:val="20"/>
                <w:color w:val="auto"/>
              </w:rPr>
            </w:pPr>
            <w:r>
              <w:rPr>
                <w:rFonts w:ascii="Arial" w:cs="Arial" w:eastAsia="Arial" w:hAnsi="Arial"/>
                <w:sz w:val="14"/>
                <w:szCs w:val="14"/>
                <w:color w:val="auto"/>
              </w:rPr>
              <w:t>46,464,098</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LTIP</w:t>
            </w:r>
            <w:r>
              <w:rPr>
                <w:rFonts w:ascii="Arial" w:cs="Arial" w:eastAsia="Arial" w:hAnsi="Arial"/>
                <w:sz w:val="18"/>
                <w:szCs w:val="18"/>
                <w:color w:val="auto"/>
                <w:vertAlign w:val="superscript"/>
              </w:rPr>
              <w:t>(3)</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5,860,000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shd w:val="clear" w:color="auto" w:fill="E5E7EF"/>
          </w:tcPr>
          <w:p>
            <w:pPr>
              <w:ind w:left="20"/>
              <w:spacing w:after="0" w:line="189" w:lineRule="exact"/>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(4)</w:t>
            </w:r>
          </w:p>
        </w:tc>
        <w:tc>
          <w:tcPr>
            <w:tcW w:w="126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12,949,448</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12,949,448</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10,518,778</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Borders>
              <w:bottom w:val="single" w:sz="8" w:color="959595"/>
            </w:tcBorders>
            <w:shd w:val="clear" w:color="auto" w:fill="E5E7EF"/>
          </w:tcPr>
          <w:p>
            <w:pPr>
              <w:ind w:left="20"/>
              <w:spacing w:after="0" w:line="189" w:lineRule="exact"/>
              <w:rPr>
                <w:sz w:val="20"/>
                <w:szCs w:val="20"/>
                <w:color w:val="auto"/>
              </w:rPr>
            </w:pPr>
            <w:r>
              <w:rPr>
                <w:rFonts w:ascii="Arial" w:cs="Arial" w:eastAsia="Arial" w:hAnsi="Arial"/>
                <w:sz w:val="14"/>
                <w:szCs w:val="14"/>
                <w:color w:val="auto"/>
              </w:rPr>
              <w:t>Executive Severance</w:t>
            </w:r>
            <w:r>
              <w:rPr>
                <w:rFonts w:ascii="Arial" w:cs="Arial" w:eastAsia="Arial" w:hAnsi="Arial"/>
                <w:sz w:val="18"/>
                <w:szCs w:val="18"/>
                <w:color w:val="auto"/>
                <w:vertAlign w:val="superscript"/>
              </w:rPr>
              <w:t>(6)</w:t>
            </w:r>
          </w:p>
        </w:tc>
        <w:tc>
          <w:tcPr>
            <w:tcW w:w="126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5,190,820</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Borders>
              <w:bottom w:val="single" w:sz="8" w:color="959595"/>
            </w:tcBorders>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3"/>
        </w:trPr>
        <w:tc>
          <w:tcPr>
            <w:tcW w:w="2420" w:type="dxa"/>
            <w:vAlign w:val="bottom"/>
            <w:tcBorders>
              <w:bottom w:val="single" w:sz="8" w:color="959595"/>
            </w:tcBorders>
          </w:tcPr>
          <w:p>
            <w:pPr>
              <w:spacing w:after="0"/>
              <w:rPr>
                <w:sz w:val="15"/>
                <w:szCs w:val="15"/>
                <w:color w:val="auto"/>
              </w:rPr>
            </w:pPr>
          </w:p>
        </w:tc>
        <w:tc>
          <w:tcPr>
            <w:tcW w:w="18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46,464,098</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75,792,324</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59,413,546</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51,654,918</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46,464,098</w:t>
            </w:r>
          </w:p>
        </w:tc>
        <w:tc>
          <w:tcPr>
            <w:tcW w:w="9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b w:val="1"/>
                <w:bCs w:val="1"/>
                <w:color w:val="auto"/>
              </w:rPr>
              <w:t>46,464,098</w:t>
            </w: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b w:val="1"/>
                <w:bCs w:val="1"/>
                <w:color w:val="002E6D"/>
              </w:rPr>
              <w:t>Kenneth R. Possenriede</w:t>
            </w:r>
          </w:p>
        </w:tc>
        <w:tc>
          <w:tcPr>
            <w:tcW w:w="1800" w:type="dxa"/>
            <w:vAlign w:val="bottom"/>
            <w:shd w:val="clear" w:color="auto" w:fill="E5E7EF"/>
          </w:tcPr>
          <w:p>
            <w:pPr>
              <w:ind w:left="20"/>
              <w:spacing w:after="0" w:line="182" w:lineRule="exact"/>
              <w:rPr>
                <w:sz w:val="20"/>
                <w:szCs w:val="20"/>
                <w:color w:val="auto"/>
              </w:rPr>
            </w:pPr>
            <w:r>
              <w:rPr>
                <w:rFonts w:ascii="Arial" w:cs="Arial" w:eastAsia="Arial" w:hAnsi="Arial"/>
                <w:sz w:val="14"/>
                <w:szCs w:val="14"/>
                <w:color w:val="auto"/>
              </w:rPr>
              <w:t>Supplemental Pension</w:t>
            </w:r>
            <w:r>
              <w:rPr>
                <w:rFonts w:ascii="Arial" w:cs="Arial" w:eastAsia="Arial" w:hAnsi="Arial"/>
                <w:sz w:val="18"/>
                <w:szCs w:val="18"/>
                <w:color w:val="auto"/>
                <w:vertAlign w:val="superscript"/>
              </w:rPr>
              <w:t>(2)</w:t>
            </w:r>
          </w:p>
        </w:tc>
        <w:tc>
          <w:tcPr>
            <w:tcW w:w="126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5,529,259</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5,529,259</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5,529,259</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5,529,259</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5,529,259</w:t>
            </w:r>
          </w:p>
        </w:tc>
        <w:tc>
          <w:tcPr>
            <w:tcW w:w="960" w:type="dxa"/>
            <w:vAlign w:val="bottom"/>
            <w:shd w:val="clear" w:color="auto" w:fill="E5E7EF"/>
          </w:tcPr>
          <w:p>
            <w:pPr>
              <w:jc w:val="right"/>
              <w:ind w:right="9"/>
              <w:spacing w:after="0"/>
              <w:rPr>
                <w:sz w:val="20"/>
                <w:szCs w:val="20"/>
                <w:color w:val="auto"/>
              </w:rPr>
            </w:pPr>
            <w:r>
              <w:rPr>
                <w:rFonts w:ascii="Arial" w:cs="Arial" w:eastAsia="Arial" w:hAnsi="Arial"/>
                <w:sz w:val="14"/>
                <w:szCs w:val="14"/>
                <w:color w:val="auto"/>
              </w:rPr>
              <w:t>5,529,259</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LTIP</w:t>
            </w:r>
            <w:r>
              <w:rPr>
                <w:rFonts w:ascii="Arial" w:cs="Arial" w:eastAsia="Arial" w:hAnsi="Arial"/>
                <w:sz w:val="18"/>
                <w:szCs w:val="18"/>
                <w:color w:val="auto"/>
                <w:vertAlign w:val="superscript"/>
              </w:rPr>
              <w:t>(3)</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1,830,000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shd w:val="clear" w:color="auto" w:fill="E5E7EF"/>
          </w:tcPr>
          <w:p>
            <w:pPr>
              <w:ind w:left="20"/>
              <w:spacing w:after="0" w:line="189" w:lineRule="exact"/>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(4)</w:t>
            </w:r>
          </w:p>
        </w:tc>
        <w:tc>
          <w:tcPr>
            <w:tcW w:w="126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3,239,470</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3,239,470</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1,465,074</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Borders>
              <w:bottom w:val="single" w:sz="8" w:color="959595"/>
            </w:tcBorders>
            <w:shd w:val="clear" w:color="auto" w:fill="E5E7EF"/>
          </w:tcPr>
          <w:p>
            <w:pPr>
              <w:ind w:left="20"/>
              <w:spacing w:after="0" w:line="189" w:lineRule="exact"/>
              <w:rPr>
                <w:sz w:val="20"/>
                <w:szCs w:val="20"/>
                <w:color w:val="auto"/>
              </w:rPr>
            </w:pPr>
            <w:r>
              <w:rPr>
                <w:rFonts w:ascii="Arial" w:cs="Arial" w:eastAsia="Arial" w:hAnsi="Arial"/>
                <w:sz w:val="14"/>
                <w:szCs w:val="14"/>
                <w:color w:val="auto"/>
              </w:rPr>
              <w:t>Executive Severance</w:t>
            </w:r>
            <w:r>
              <w:rPr>
                <w:rFonts w:ascii="Arial" w:cs="Arial" w:eastAsia="Arial" w:hAnsi="Arial"/>
                <w:sz w:val="18"/>
                <w:szCs w:val="18"/>
                <w:color w:val="auto"/>
                <w:vertAlign w:val="superscript"/>
              </w:rPr>
              <w:t>(6)</w:t>
            </w:r>
          </w:p>
        </w:tc>
        <w:tc>
          <w:tcPr>
            <w:tcW w:w="126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1,967,439</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Borders>
              <w:bottom w:val="single" w:sz="8" w:color="959595"/>
            </w:tcBorders>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3"/>
        </w:trPr>
        <w:tc>
          <w:tcPr>
            <w:tcW w:w="2420" w:type="dxa"/>
            <w:vAlign w:val="bottom"/>
            <w:tcBorders>
              <w:bottom w:val="single" w:sz="8" w:color="959595"/>
            </w:tcBorders>
          </w:tcPr>
          <w:p>
            <w:pPr>
              <w:spacing w:after="0"/>
              <w:rPr>
                <w:sz w:val="15"/>
                <w:szCs w:val="15"/>
                <w:color w:val="auto"/>
              </w:rPr>
            </w:pPr>
          </w:p>
        </w:tc>
        <w:tc>
          <w:tcPr>
            <w:tcW w:w="18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5,529,259</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12,063,803</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8,768,729</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7,496,698</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5,529,259</w:t>
            </w:r>
          </w:p>
        </w:tc>
        <w:tc>
          <w:tcPr>
            <w:tcW w:w="9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b w:val="1"/>
                <w:bCs w:val="1"/>
                <w:color w:val="auto"/>
              </w:rPr>
              <w:t>5,529,259</w:t>
            </w: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b w:val="1"/>
                <w:bCs w:val="1"/>
                <w:color w:val="002E6D"/>
              </w:rPr>
              <w:t>Frank A. St. John</w:t>
            </w:r>
          </w:p>
        </w:tc>
        <w:tc>
          <w:tcPr>
            <w:tcW w:w="1800" w:type="dxa"/>
            <w:vAlign w:val="bottom"/>
            <w:shd w:val="clear" w:color="auto" w:fill="E5E7EF"/>
          </w:tcPr>
          <w:p>
            <w:pPr>
              <w:ind w:left="20"/>
              <w:spacing w:after="0" w:line="182" w:lineRule="exact"/>
              <w:rPr>
                <w:sz w:val="20"/>
                <w:szCs w:val="20"/>
                <w:color w:val="auto"/>
              </w:rPr>
            </w:pPr>
            <w:r>
              <w:rPr>
                <w:rFonts w:ascii="Arial" w:cs="Arial" w:eastAsia="Arial" w:hAnsi="Arial"/>
                <w:sz w:val="14"/>
                <w:szCs w:val="14"/>
                <w:color w:val="auto"/>
              </w:rPr>
              <w:t>Supplemental Pension</w:t>
            </w:r>
            <w:r>
              <w:rPr>
                <w:rFonts w:ascii="Arial" w:cs="Arial" w:eastAsia="Arial" w:hAnsi="Arial"/>
                <w:sz w:val="18"/>
                <w:szCs w:val="18"/>
                <w:color w:val="auto"/>
                <w:vertAlign w:val="superscript"/>
              </w:rPr>
              <w:t>(2)</w:t>
            </w:r>
          </w:p>
        </w:tc>
        <w:tc>
          <w:tcPr>
            <w:tcW w:w="126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4,349,230</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LTIP</w:t>
            </w:r>
            <w:r>
              <w:rPr>
                <w:rFonts w:ascii="Arial" w:cs="Arial" w:eastAsia="Arial" w:hAnsi="Arial"/>
                <w:sz w:val="18"/>
                <w:szCs w:val="18"/>
                <w:color w:val="auto"/>
                <w:vertAlign w:val="superscript"/>
              </w:rPr>
              <w:t>(3)</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1,715,000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shd w:val="clear" w:color="auto" w:fill="E5E7EF"/>
          </w:tcPr>
          <w:p>
            <w:pPr>
              <w:ind w:left="20"/>
              <w:spacing w:after="0" w:line="189" w:lineRule="exact"/>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(4)</w:t>
            </w:r>
          </w:p>
        </w:tc>
        <w:tc>
          <w:tcPr>
            <w:tcW w:w="126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3,930,657</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3,930,657</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2,423,413</w:t>
            </w:r>
          </w:p>
        </w:tc>
        <w:tc>
          <w:tcPr>
            <w:tcW w:w="960" w:type="dxa"/>
            <w:vAlign w:val="bottom"/>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3,075,021</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Borders>
              <w:bottom w:val="single" w:sz="8" w:color="959595"/>
            </w:tcBorders>
            <w:shd w:val="clear" w:color="auto" w:fill="E5E7EF"/>
          </w:tcPr>
          <w:p>
            <w:pPr>
              <w:ind w:left="20"/>
              <w:spacing w:after="0" w:line="189" w:lineRule="exact"/>
              <w:rPr>
                <w:sz w:val="20"/>
                <w:szCs w:val="20"/>
                <w:color w:val="auto"/>
              </w:rPr>
            </w:pPr>
            <w:r>
              <w:rPr>
                <w:rFonts w:ascii="Arial" w:cs="Arial" w:eastAsia="Arial" w:hAnsi="Arial"/>
                <w:sz w:val="14"/>
                <w:szCs w:val="14"/>
                <w:color w:val="auto"/>
              </w:rPr>
              <w:t>Executive Severance</w:t>
            </w:r>
            <w:r>
              <w:rPr>
                <w:rFonts w:ascii="Arial" w:cs="Arial" w:eastAsia="Arial" w:hAnsi="Arial"/>
                <w:sz w:val="18"/>
                <w:szCs w:val="18"/>
                <w:color w:val="auto"/>
                <w:vertAlign w:val="superscript"/>
              </w:rPr>
              <w:t>(6)</w:t>
            </w:r>
          </w:p>
        </w:tc>
        <w:tc>
          <w:tcPr>
            <w:tcW w:w="126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1,979,676</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Borders>
              <w:bottom w:val="single" w:sz="8" w:color="959595"/>
            </w:tcBorders>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3"/>
        </w:trPr>
        <w:tc>
          <w:tcPr>
            <w:tcW w:w="2420" w:type="dxa"/>
            <w:vAlign w:val="bottom"/>
            <w:tcBorders>
              <w:bottom w:val="single" w:sz="8" w:color="959595"/>
            </w:tcBorders>
          </w:tcPr>
          <w:p>
            <w:pPr>
              <w:spacing w:after="0"/>
              <w:rPr>
                <w:sz w:val="15"/>
                <w:szCs w:val="15"/>
                <w:color w:val="auto"/>
              </w:rPr>
            </w:pPr>
          </w:p>
        </w:tc>
        <w:tc>
          <w:tcPr>
            <w:tcW w:w="18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0</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13,069,908</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3,930,657</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1,979,676</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2,423,413</w:t>
            </w:r>
          </w:p>
        </w:tc>
        <w:tc>
          <w:tcPr>
            <w:tcW w:w="9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b w:val="1"/>
                <w:bCs w:val="1"/>
                <w:color w:val="auto"/>
              </w:rPr>
              <w:t>0</w:t>
            </w: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b w:val="1"/>
                <w:bCs w:val="1"/>
                <w:color w:val="002E6D"/>
              </w:rPr>
              <w:t>Richard F. Ambrose</w:t>
            </w:r>
          </w:p>
        </w:tc>
        <w:tc>
          <w:tcPr>
            <w:tcW w:w="1800" w:type="dxa"/>
            <w:vAlign w:val="bottom"/>
            <w:shd w:val="clear" w:color="auto" w:fill="E5E7EF"/>
          </w:tcPr>
          <w:p>
            <w:pPr>
              <w:ind w:left="20"/>
              <w:spacing w:after="0" w:line="182" w:lineRule="exact"/>
              <w:rPr>
                <w:sz w:val="20"/>
                <w:szCs w:val="20"/>
                <w:color w:val="auto"/>
              </w:rPr>
            </w:pPr>
            <w:r>
              <w:rPr>
                <w:rFonts w:ascii="Arial" w:cs="Arial" w:eastAsia="Arial" w:hAnsi="Arial"/>
                <w:sz w:val="14"/>
                <w:szCs w:val="14"/>
                <w:color w:val="auto"/>
              </w:rPr>
              <w:t>Supplemental Pension</w:t>
            </w:r>
            <w:r>
              <w:rPr>
                <w:rFonts w:ascii="Arial" w:cs="Arial" w:eastAsia="Arial" w:hAnsi="Arial"/>
                <w:sz w:val="18"/>
                <w:szCs w:val="18"/>
                <w:color w:val="auto"/>
                <w:vertAlign w:val="superscript"/>
              </w:rPr>
              <w:t>(2)</w:t>
            </w:r>
          </w:p>
        </w:tc>
        <w:tc>
          <w:tcPr>
            <w:tcW w:w="126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6,809,602</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6,809,602</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6,809,602</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6,809,602</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6,809,602</w:t>
            </w:r>
          </w:p>
        </w:tc>
        <w:tc>
          <w:tcPr>
            <w:tcW w:w="960" w:type="dxa"/>
            <w:vAlign w:val="bottom"/>
            <w:shd w:val="clear" w:color="auto" w:fill="E5E7EF"/>
          </w:tcPr>
          <w:p>
            <w:pPr>
              <w:jc w:val="right"/>
              <w:ind w:right="9"/>
              <w:spacing w:after="0"/>
              <w:rPr>
                <w:sz w:val="20"/>
                <w:szCs w:val="20"/>
                <w:color w:val="auto"/>
              </w:rPr>
            </w:pPr>
            <w:r>
              <w:rPr>
                <w:rFonts w:ascii="Arial" w:cs="Arial" w:eastAsia="Arial" w:hAnsi="Arial"/>
                <w:sz w:val="14"/>
                <w:szCs w:val="14"/>
                <w:color w:val="auto"/>
              </w:rPr>
              <w:t>6,809,602</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LTIP</w:t>
            </w:r>
            <w:r>
              <w:rPr>
                <w:rFonts w:ascii="Arial" w:cs="Arial" w:eastAsia="Arial" w:hAnsi="Arial"/>
                <w:sz w:val="18"/>
                <w:szCs w:val="18"/>
                <w:color w:val="auto"/>
                <w:vertAlign w:val="superscript"/>
              </w:rPr>
              <w:t>(3)</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1,585,000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shd w:val="clear" w:color="auto" w:fill="E5E7EF"/>
          </w:tcPr>
          <w:p>
            <w:pPr>
              <w:ind w:left="20"/>
              <w:spacing w:after="0" w:line="189" w:lineRule="exact"/>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(4)</w:t>
            </w:r>
          </w:p>
        </w:tc>
        <w:tc>
          <w:tcPr>
            <w:tcW w:w="126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3,595,025</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3,595,025</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2,992,405</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Borders>
              <w:bottom w:val="single" w:sz="8" w:color="959595"/>
            </w:tcBorders>
            <w:shd w:val="clear" w:color="auto" w:fill="E5E7EF"/>
          </w:tcPr>
          <w:p>
            <w:pPr>
              <w:ind w:left="20"/>
              <w:spacing w:after="0" w:line="189" w:lineRule="exact"/>
              <w:rPr>
                <w:sz w:val="20"/>
                <w:szCs w:val="20"/>
                <w:color w:val="auto"/>
              </w:rPr>
            </w:pPr>
            <w:r>
              <w:rPr>
                <w:rFonts w:ascii="Arial" w:cs="Arial" w:eastAsia="Arial" w:hAnsi="Arial"/>
                <w:sz w:val="14"/>
                <w:szCs w:val="14"/>
                <w:color w:val="auto"/>
              </w:rPr>
              <w:t>Executive Severance</w:t>
            </w:r>
            <w:r>
              <w:rPr>
                <w:rFonts w:ascii="Arial" w:cs="Arial" w:eastAsia="Arial" w:hAnsi="Arial"/>
                <w:sz w:val="18"/>
                <w:szCs w:val="18"/>
                <w:color w:val="auto"/>
                <w:vertAlign w:val="superscript"/>
              </w:rPr>
              <w:t>(6)</w:t>
            </w:r>
          </w:p>
        </w:tc>
        <w:tc>
          <w:tcPr>
            <w:tcW w:w="126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1,974,646</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Borders>
              <w:bottom w:val="single" w:sz="8" w:color="959595"/>
            </w:tcBorders>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3"/>
        </w:trPr>
        <w:tc>
          <w:tcPr>
            <w:tcW w:w="2420" w:type="dxa"/>
            <w:vAlign w:val="bottom"/>
            <w:tcBorders>
              <w:bottom w:val="single" w:sz="8" w:color="959595"/>
            </w:tcBorders>
          </w:tcPr>
          <w:p>
            <w:pPr>
              <w:spacing w:after="0"/>
              <w:rPr>
                <w:sz w:val="15"/>
                <w:szCs w:val="15"/>
                <w:color w:val="auto"/>
              </w:rPr>
            </w:pPr>
          </w:p>
        </w:tc>
        <w:tc>
          <w:tcPr>
            <w:tcW w:w="18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6,809,602</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14,982,032</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10,404,627</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8,784,248</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6,809,602</w:t>
            </w:r>
          </w:p>
        </w:tc>
        <w:tc>
          <w:tcPr>
            <w:tcW w:w="9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b w:val="1"/>
                <w:bCs w:val="1"/>
                <w:color w:val="auto"/>
              </w:rPr>
              <w:t>6,809,602</w:t>
            </w: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b w:val="1"/>
                <w:bCs w:val="1"/>
                <w:color w:val="002E6D"/>
              </w:rPr>
              <w:t>Michele A. Evans</w:t>
            </w:r>
          </w:p>
        </w:tc>
        <w:tc>
          <w:tcPr>
            <w:tcW w:w="1800" w:type="dxa"/>
            <w:vAlign w:val="bottom"/>
            <w:shd w:val="clear" w:color="auto" w:fill="E5E7EF"/>
          </w:tcPr>
          <w:p>
            <w:pPr>
              <w:ind w:left="20"/>
              <w:spacing w:after="0" w:line="182" w:lineRule="exact"/>
              <w:rPr>
                <w:sz w:val="20"/>
                <w:szCs w:val="20"/>
                <w:color w:val="auto"/>
              </w:rPr>
            </w:pPr>
            <w:r>
              <w:rPr>
                <w:rFonts w:ascii="Arial" w:cs="Arial" w:eastAsia="Arial" w:hAnsi="Arial"/>
                <w:sz w:val="14"/>
                <w:szCs w:val="14"/>
                <w:color w:val="auto"/>
              </w:rPr>
              <w:t>Supplemental Pension</w:t>
            </w:r>
            <w:r>
              <w:rPr>
                <w:rFonts w:ascii="Arial" w:cs="Arial" w:eastAsia="Arial" w:hAnsi="Arial"/>
                <w:sz w:val="18"/>
                <w:szCs w:val="18"/>
                <w:color w:val="auto"/>
                <w:vertAlign w:val="superscript"/>
              </w:rPr>
              <w:t>(2)</w:t>
            </w:r>
          </w:p>
        </w:tc>
        <w:tc>
          <w:tcPr>
            <w:tcW w:w="126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3,413,362</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3,413,362</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3,413,362</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3,413,362</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3,413,362</w:t>
            </w:r>
          </w:p>
        </w:tc>
        <w:tc>
          <w:tcPr>
            <w:tcW w:w="960" w:type="dxa"/>
            <w:vAlign w:val="bottom"/>
            <w:shd w:val="clear" w:color="auto" w:fill="E5E7EF"/>
          </w:tcPr>
          <w:p>
            <w:pPr>
              <w:jc w:val="right"/>
              <w:ind w:right="9"/>
              <w:spacing w:after="0"/>
              <w:rPr>
                <w:sz w:val="20"/>
                <w:szCs w:val="20"/>
                <w:color w:val="auto"/>
              </w:rPr>
            </w:pPr>
            <w:r>
              <w:rPr>
                <w:rFonts w:ascii="Arial" w:cs="Arial" w:eastAsia="Arial" w:hAnsi="Arial"/>
                <w:sz w:val="14"/>
                <w:szCs w:val="14"/>
                <w:color w:val="auto"/>
              </w:rPr>
              <w:t>3,413,362</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LTIP</w:t>
            </w:r>
            <w:r>
              <w:rPr>
                <w:rFonts w:ascii="Arial" w:cs="Arial" w:eastAsia="Arial" w:hAnsi="Arial"/>
                <w:sz w:val="18"/>
                <w:szCs w:val="18"/>
                <w:color w:val="auto"/>
                <w:vertAlign w:val="superscript"/>
              </w:rPr>
              <w:t>(3)</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1,685,000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shd w:val="clear" w:color="auto" w:fill="E5E7EF"/>
          </w:tcPr>
          <w:p>
            <w:pPr>
              <w:ind w:left="20"/>
              <w:spacing w:after="0" w:line="189" w:lineRule="exact"/>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(4)</w:t>
            </w:r>
          </w:p>
        </w:tc>
        <w:tc>
          <w:tcPr>
            <w:tcW w:w="126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3,115,799</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3,115,799</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(5)</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1,364,466</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0</w:t>
            </w:r>
          </w:p>
        </w:tc>
      </w:tr>
      <w:tr>
        <w:trPr>
          <w:trHeight w:val="189"/>
        </w:trPr>
        <w:tc>
          <w:tcPr>
            <w:tcW w:w="2420" w:type="dxa"/>
            <w:vAlign w:val="bottom"/>
          </w:tcPr>
          <w:p>
            <w:pPr>
              <w:spacing w:after="0"/>
              <w:rPr>
                <w:sz w:val="16"/>
                <w:szCs w:val="16"/>
                <w:color w:val="auto"/>
              </w:rPr>
            </w:pPr>
          </w:p>
        </w:tc>
        <w:tc>
          <w:tcPr>
            <w:tcW w:w="1800" w:type="dxa"/>
            <w:vAlign w:val="bottom"/>
            <w:tcBorders>
              <w:bottom w:val="single" w:sz="8" w:color="959595"/>
            </w:tcBorders>
            <w:shd w:val="clear" w:color="auto" w:fill="E5E7EF"/>
          </w:tcPr>
          <w:p>
            <w:pPr>
              <w:ind w:left="20"/>
              <w:spacing w:after="0" w:line="189" w:lineRule="exact"/>
              <w:rPr>
                <w:sz w:val="20"/>
                <w:szCs w:val="20"/>
                <w:color w:val="auto"/>
              </w:rPr>
            </w:pPr>
            <w:r>
              <w:rPr>
                <w:rFonts w:ascii="Arial" w:cs="Arial" w:eastAsia="Arial" w:hAnsi="Arial"/>
                <w:sz w:val="14"/>
                <w:szCs w:val="14"/>
                <w:color w:val="auto"/>
              </w:rPr>
              <w:t>Executive Severance</w:t>
            </w:r>
            <w:r>
              <w:rPr>
                <w:rFonts w:ascii="Arial" w:cs="Arial" w:eastAsia="Arial" w:hAnsi="Arial"/>
                <w:sz w:val="18"/>
                <w:szCs w:val="18"/>
                <w:color w:val="auto"/>
                <w:vertAlign w:val="superscript"/>
              </w:rPr>
              <w:t>(6)</w:t>
            </w:r>
          </w:p>
        </w:tc>
        <w:tc>
          <w:tcPr>
            <w:tcW w:w="126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1,973,443</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0</w:t>
            </w:r>
          </w:p>
        </w:tc>
        <w:tc>
          <w:tcPr>
            <w:tcW w:w="960" w:type="dxa"/>
            <w:vAlign w:val="bottom"/>
            <w:tcBorders>
              <w:bottom w:val="single" w:sz="8" w:color="959595"/>
            </w:tcBorders>
            <w:shd w:val="clear" w:color="auto" w:fill="E5E7EF"/>
          </w:tcPr>
          <w:p>
            <w:pPr>
              <w:jc w:val="right"/>
              <w:ind w:right="9"/>
              <w:spacing w:after="0"/>
              <w:rPr>
                <w:sz w:val="20"/>
                <w:szCs w:val="20"/>
                <w:color w:val="auto"/>
              </w:rPr>
            </w:pPr>
            <w:r>
              <w:rPr>
                <w:rFonts w:ascii="Arial" w:cs="Arial" w:eastAsia="Arial" w:hAnsi="Arial"/>
                <w:sz w:val="14"/>
                <w:szCs w:val="14"/>
                <w:color w:val="auto"/>
              </w:rPr>
              <w:t>0</w:t>
            </w:r>
          </w:p>
        </w:tc>
      </w:tr>
      <w:tr>
        <w:trPr>
          <w:trHeight w:val="183"/>
        </w:trPr>
        <w:tc>
          <w:tcPr>
            <w:tcW w:w="2420" w:type="dxa"/>
            <w:vAlign w:val="bottom"/>
            <w:tcBorders>
              <w:bottom w:val="single" w:sz="8" w:color="959595"/>
            </w:tcBorders>
          </w:tcPr>
          <w:p>
            <w:pPr>
              <w:spacing w:after="0"/>
              <w:rPr>
                <w:sz w:val="15"/>
                <w:szCs w:val="15"/>
                <w:color w:val="auto"/>
              </w:rPr>
            </w:pPr>
          </w:p>
        </w:tc>
        <w:tc>
          <w:tcPr>
            <w:tcW w:w="18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3,413,362</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9,578,627</w:t>
            </w:r>
          </w:p>
        </w:tc>
        <w:tc>
          <w:tcPr>
            <w:tcW w:w="112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6,529,161</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5,386,805</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3,413,362</w:t>
            </w:r>
          </w:p>
        </w:tc>
        <w:tc>
          <w:tcPr>
            <w:tcW w:w="960" w:type="dxa"/>
            <w:vAlign w:val="bottom"/>
            <w:tcBorders>
              <w:bottom w:val="single" w:sz="8" w:color="959595"/>
            </w:tcBorders>
          </w:tcPr>
          <w:p>
            <w:pPr>
              <w:jc w:val="right"/>
              <w:ind w:right="9"/>
              <w:spacing w:after="0"/>
              <w:rPr>
                <w:sz w:val="20"/>
                <w:szCs w:val="20"/>
                <w:color w:val="auto"/>
              </w:rPr>
            </w:pPr>
            <w:r>
              <w:rPr>
                <w:rFonts w:ascii="Arial" w:cs="Arial" w:eastAsia="Arial" w:hAnsi="Arial"/>
                <w:sz w:val="14"/>
                <w:szCs w:val="14"/>
                <w:b w:val="1"/>
                <w:bCs w:val="1"/>
                <w:color w:val="auto"/>
              </w:rPr>
              <w:t>3,413,362</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002E6D"/>
        </w:rPr>
        <w:t>Termination/Resignation</w:t>
      </w:r>
    </w:p>
    <w:p>
      <w:pPr>
        <w:spacing w:after="0" w:line="121" w:lineRule="exact"/>
        <w:rPr>
          <w:sz w:val="20"/>
          <w:szCs w:val="20"/>
          <w:color w:val="auto"/>
        </w:rPr>
      </w:pPr>
    </w:p>
    <w:p>
      <w:pPr>
        <w:ind w:left="260" w:right="220" w:hanging="252"/>
        <w:spacing w:after="0" w:line="222" w:lineRule="auto"/>
        <w:tabs>
          <w:tab w:leader="none" w:pos="249" w:val="left"/>
        </w:tabs>
        <w:numPr>
          <w:ilvl w:val="0"/>
          <w:numId w:val="108"/>
        </w:numPr>
        <w:rPr>
          <w:rFonts w:ascii="Arial" w:cs="Arial" w:eastAsia="Arial" w:hAnsi="Arial"/>
          <w:sz w:val="20"/>
          <w:szCs w:val="20"/>
          <w:color w:val="auto"/>
          <w:vertAlign w:val="superscript"/>
        </w:rPr>
      </w:pPr>
      <w:r>
        <w:rPr>
          <w:rFonts w:ascii="Arial" w:cs="Arial" w:eastAsia="Arial" w:hAnsi="Arial"/>
          <w:sz w:val="15"/>
          <w:szCs w:val="15"/>
          <w:color w:val="auto"/>
        </w:rPr>
        <w:t>Resignation by executives who are eligible for retirement, for purposes of this table, is treated as retirement. All NEOs, except Mr. Taiclet and Mr. St. John, were eligible for retirement as of December 31,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73</w:t>
      </w:r>
    </w:p>
    <w:p>
      <w:pPr>
        <w:sectPr>
          <w:pgSz w:w="11900" w:h="16838" w:orient="portrait"/>
          <w:cols w:equalWidth="0" w:num="1">
            <w:col w:w="11240"/>
          </w:cols>
          <w:pgMar w:left="320" w:top="609" w:right="339" w:bottom="1440" w:gutter="0" w:footer="0" w:header="0"/>
        </w:sectPr>
      </w:pPr>
    </w:p>
    <w:bookmarkStart w:id="77" w:name="page78"/>
    <w:bookmarkEnd w:id="77"/>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002E6D"/>
        </w:rPr>
        <w:t>Supplemental Pension</w:t>
      </w:r>
    </w:p>
    <w:p>
      <w:pPr>
        <w:spacing w:after="0" w:line="121" w:lineRule="exact"/>
        <w:rPr>
          <w:sz w:val="20"/>
          <w:szCs w:val="20"/>
          <w:color w:val="auto"/>
        </w:rPr>
      </w:pPr>
    </w:p>
    <w:p>
      <w:pPr>
        <w:ind w:left="260" w:right="60" w:hanging="252"/>
        <w:spacing w:after="0" w:line="256" w:lineRule="auto"/>
        <w:tabs>
          <w:tab w:leader="none" w:pos="276" w:val="left"/>
        </w:tabs>
        <w:numPr>
          <w:ilvl w:val="0"/>
          <w:numId w:val="109"/>
        </w:numPr>
        <w:rPr>
          <w:rFonts w:ascii="Arial" w:cs="Arial" w:eastAsia="Arial" w:hAnsi="Arial"/>
          <w:sz w:val="20"/>
          <w:szCs w:val="20"/>
          <w:color w:val="auto"/>
          <w:vertAlign w:val="superscript"/>
        </w:rPr>
      </w:pPr>
      <w:r>
        <w:rPr>
          <w:rFonts w:ascii="Arial" w:cs="Arial" w:eastAsia="Arial" w:hAnsi="Arial"/>
          <w:sz w:val="15"/>
          <w:szCs w:val="15"/>
          <w:color w:val="auto"/>
        </w:rPr>
        <w:t>The NEOs would not receive any enhancement to their Supplemental Pension in connection with any termination events or a change in control as of December 31, 2020, and payments under the Supplemental Pension would be payable to such NEOs in accordance with their individual elections, except in the case of a change in control. The Supplemental Pension lump sum value was calculated as the unreduced benefit at age 60 (or the NEO's actual age as of December 31, 2020, if greater) using plan assumptions. Payments under the Supplemental Pension do not commence prior to age 55, except in the case of a change in control; thus Mr. St. John is the only NEO who would experience an accelerated SERP payment in the case of a change in control as of December 31, 2020. The Supplemental Pension assumptions in effect for December 31, 2020, are a 4.00 percent discount rate (1.00 percent for benefits earned prior to 2005) and the mortality tables applicable to lump sum distributions for qualified plans under section 417(e) of the Internal Revenue Code (except the 1983 Group Annuity Mortality with sex distinction is used for benefits accrued prior to 2005, and this table is used for benefits accrued after 2004 if the resulting benefit is larger). All forms of payment, whether lump sum or annuities, are calculated using the plan assumptions to be actuarially equivalent, so there are no incremental benefits associated with any of the events or payment form. The Supplemental Pension assumptions are set forth in the plan document and are different than the assumptions used to calculate the accrued benefit reported in the “2020 Pension Benefits” or “Summary Compensation” tables or for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002E6D"/>
        </w:rPr>
        <w:t>Long-Term Incentive Performance Awards</w:t>
      </w:r>
    </w:p>
    <w:p>
      <w:pPr>
        <w:spacing w:after="0" w:line="121" w:lineRule="exact"/>
        <w:rPr>
          <w:sz w:val="20"/>
          <w:szCs w:val="20"/>
          <w:color w:val="auto"/>
        </w:rPr>
      </w:pPr>
    </w:p>
    <w:p>
      <w:pPr>
        <w:ind w:left="260" w:hanging="252"/>
        <w:spacing w:after="0" w:line="253" w:lineRule="auto"/>
        <w:tabs>
          <w:tab w:leader="none" w:pos="249" w:val="left"/>
        </w:tabs>
        <w:numPr>
          <w:ilvl w:val="0"/>
          <w:numId w:val="110"/>
        </w:numPr>
        <w:rPr>
          <w:rFonts w:ascii="Arial" w:cs="Arial" w:eastAsia="Arial" w:hAnsi="Arial"/>
          <w:sz w:val="20"/>
          <w:szCs w:val="20"/>
          <w:color w:val="auto"/>
          <w:vertAlign w:val="superscript"/>
        </w:rPr>
      </w:pPr>
      <w:r>
        <w:rPr>
          <w:rFonts w:ascii="Arial" w:cs="Arial" w:eastAsia="Arial" w:hAnsi="Arial"/>
          <w:sz w:val="15"/>
          <w:szCs w:val="15"/>
          <w:color w:val="auto"/>
        </w:rPr>
        <w:t>The table shows an amount payable in the event of a change in control trigger event for the 2019-2021 and 2020-2022 LTIP performance periods. For a trigger event based upon death, disability, retirement (or resignation after satisfying the requirements for retirement), layoff or divestiture on December 31, 2020, amounts (if any) for the 2019-2021 and 2020-2022 LTIP performance periods would not be payable until after the end of the performance period. The estimated prorated amounts payable for the 2019-2021 performance cycle based on performance through December 31, 2020 are: Ms. Hewson: $3,695,558; Mr. Possenriede: $1,162,939; Mr. St. John: $1,014,341; Mr. Ambrose: $1,014,341; and Ms. Evans: $1,014,341. The estimated prorated amounts payable for the 2020-2022 performance cycle based on performance through December 31, 2020 are: Mr. Taiclet: $1,207,564; Ms. Hewson: $1,293,819; Mr. Possenriede: $401,084; Mr. St. John: $401,083; Mr. Ambrose: $345,018; and Ms. Evans: $388,145. The table does not include amounts for the 2018-2020 performance cycle as these amounts are reported in the "Summary Compensation Table" (see notes to column (g)).</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002E6D"/>
        </w:rPr>
        <w:t>Restricted Stock Units</w:t>
      </w:r>
    </w:p>
    <w:p>
      <w:pPr>
        <w:spacing w:after="0" w:line="121" w:lineRule="exact"/>
        <w:rPr>
          <w:sz w:val="20"/>
          <w:szCs w:val="20"/>
          <w:color w:val="auto"/>
        </w:rPr>
      </w:pPr>
    </w:p>
    <w:p>
      <w:pPr>
        <w:ind w:left="260" w:hanging="252"/>
        <w:spacing w:after="0" w:line="254" w:lineRule="auto"/>
        <w:tabs>
          <w:tab w:leader="none" w:pos="249" w:val="left"/>
        </w:tabs>
        <w:numPr>
          <w:ilvl w:val="0"/>
          <w:numId w:val="111"/>
        </w:numPr>
        <w:rPr>
          <w:rFonts w:ascii="Arial" w:cs="Arial" w:eastAsia="Arial" w:hAnsi="Arial"/>
          <w:sz w:val="20"/>
          <w:szCs w:val="20"/>
          <w:color w:val="auto"/>
          <w:vertAlign w:val="superscript"/>
        </w:rPr>
      </w:pPr>
      <w:r>
        <w:rPr>
          <w:rFonts w:ascii="Arial" w:cs="Arial" w:eastAsia="Arial" w:hAnsi="Arial"/>
          <w:sz w:val="15"/>
          <w:szCs w:val="15"/>
          <w:color w:val="auto"/>
        </w:rPr>
        <w:t>All 2018, 2019 and 2020 RSUs other than Mr. Taiclet's equity replacement award would continue to vest for retirement or layoff occurring on December 31, 2020, and would not become payable until February 2021, February 2022 and February 2023, respectively, and are not included in the table. If Mr. Taiclet retired or resigned as of December 31, 2020, his equity replacement award would be forfeited and, therefore is not included in the table. In addition, in the event of his layoff as of December 31, 2020, 7,689 RSUs of his unvested equity replacement award would immediately vest and the remainder would be forfeited. For a change in control (assuming satisfaction of the double trigger), death, disability, divestiture or, for Mr. Taiclet only, layoff, the reported value of the RSUs was based upon the closing price of our stock on December 31, 2020 ($354.98) plus deferred dividend equivalents that accrued. The amounts for retirement or layoff on December 31, 2020 are not payable until the end of the respective vesting periods (February 2021, February 2022 and February 2023 for the 2018, 2019 and 2020 RSUs, respectively) but would have the same value on December 31, 2020 as the amounts shown for immediate payment on account of death, disability and divestiture. If a NEO is retirement-eligible, then in the case of a divestiture occurring on December 31, 2020, the RSUs will continue to vest and are treated as a retirement.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002E6D"/>
        </w:rPr>
        <w:t>Performance Stock Units</w:t>
      </w:r>
    </w:p>
    <w:p>
      <w:pPr>
        <w:spacing w:after="0" w:line="135" w:lineRule="exact"/>
        <w:rPr>
          <w:sz w:val="20"/>
          <w:szCs w:val="20"/>
          <w:color w:val="auto"/>
        </w:rPr>
      </w:pPr>
    </w:p>
    <w:p>
      <w:pPr>
        <w:ind w:left="260" w:hanging="252"/>
        <w:spacing w:after="0" w:line="256" w:lineRule="auto"/>
        <w:tabs>
          <w:tab w:leader="none" w:pos="249" w:val="left"/>
        </w:tabs>
        <w:numPr>
          <w:ilvl w:val="0"/>
          <w:numId w:val="112"/>
        </w:numPr>
        <w:rPr>
          <w:rFonts w:ascii="Arial" w:cs="Arial" w:eastAsia="Arial" w:hAnsi="Arial"/>
          <w:sz w:val="20"/>
          <w:szCs w:val="20"/>
          <w:color w:val="auto"/>
          <w:vertAlign w:val="superscript"/>
        </w:rPr>
      </w:pPr>
      <w:r>
        <w:rPr>
          <w:rFonts w:ascii="Arial" w:cs="Arial" w:eastAsia="Arial" w:hAnsi="Arial"/>
          <w:sz w:val="15"/>
          <w:szCs w:val="15"/>
          <w:color w:val="auto"/>
        </w:rPr>
        <w:t>The table shows an amount payable in the event of a change in control trigger event for the 2018-2020, 2019-2021 and 2020-2022 performance periods. The amount shown for the PSUs upon a change in control is the target level of the shares valued using the closing price of our stock on December 31, 2020 ($354.98) plus deferred dividend equivalents that accrued. The table assumes the double trigger occurred. For a trigger event based upon death, disability, retirement (or resignation after satisfying the requirements for retirement), layoff or divestiture on December 31, 2020, amounts (if any) for the 2018-2020 and 2019-2021 and 2020-2022 PSU performance periods would be paid on a prorated basis following the end of the applicable performance period. The payments estimated to be paid on a non-prorated basis following the end of the performance cycle using the December 31, 2020 stock price are reported for the 2018-2020 PSU performance cycle in column (h) of the "Outstanding Equity Awards at 2020 Fiscal Year-End Table" and for 2019-2021 and 2020-2022 in column (j) of that table. The prorated amounts for a trigger event occurring on December 31, 2020 plus deferred dividend equivalents that accrued are for each cycle: (i) 2018-2020 cycle: Ms. Hewson: $11,547,255; Mr. Possenriede: $143,624; Mr. St. John: $3,398,858; Mr. Ambrose: $3,398,858; and Ms. Evans: $181,059; and (ii) 2019-2021 cycle: Ms. Hewson: $10,539,101; Mr. Possenriede: $3,317,671; Mr. St. John: $2,893,431; Mr. Ambrose: $2,893,431; and Ms. Evans: $2,893,431; and (iii) 2020-2022 cycle: Mr. Taiclet: $1,417,961; Ms. Hewson: $2,587,020; Mr. Possenriede: $802,151; Mr. St. John: $791,730; Mr. Ambrose: $690,164; and Ms. Evans: $776,251. The prorated amounts are based on the stock price and estimated performance as of December 31, 2020.</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02E6D"/>
        </w:rPr>
        <w:t>Executive Severance</w:t>
      </w:r>
    </w:p>
    <w:p>
      <w:pPr>
        <w:spacing w:after="0" w:line="121" w:lineRule="exact"/>
        <w:rPr>
          <w:sz w:val="20"/>
          <w:szCs w:val="20"/>
          <w:color w:val="auto"/>
        </w:rPr>
      </w:pPr>
    </w:p>
    <w:p>
      <w:pPr>
        <w:ind w:left="260" w:right="140" w:hanging="252"/>
        <w:spacing w:after="0" w:line="234" w:lineRule="auto"/>
        <w:tabs>
          <w:tab w:leader="none" w:pos="249" w:val="left"/>
        </w:tabs>
        <w:numPr>
          <w:ilvl w:val="0"/>
          <w:numId w:val="113"/>
        </w:numPr>
        <w:rPr>
          <w:rFonts w:ascii="Arial" w:cs="Arial" w:eastAsia="Arial" w:hAnsi="Arial"/>
          <w:sz w:val="20"/>
          <w:szCs w:val="20"/>
          <w:color w:val="auto"/>
          <w:vertAlign w:val="superscript"/>
        </w:rPr>
      </w:pPr>
      <w:r>
        <w:rPr>
          <w:rFonts w:ascii="Arial" w:cs="Arial" w:eastAsia="Arial" w:hAnsi="Arial"/>
          <w:sz w:val="15"/>
          <w:szCs w:val="15"/>
          <w:color w:val="auto"/>
        </w:rPr>
        <w:t>The total amounts projected for severance payments due to layoff are based on the plan (as amended) approved by the Board in 2008. It includes payment for one year of salary (2.99 years for Mr. Taiclet) and one year of target annual incentive (2.99 for Mr. Taiclet), estimated costs for benefits continuation for one year, outplacement services and relocation assistance (if required under the plan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271780</wp:posOffset>
            </wp:positionV>
            <wp:extent cx="969010" cy="2228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74</w:t>
      </w:r>
    </w:p>
    <w:p>
      <w:pPr>
        <w:sectPr>
          <w:pgSz w:w="11900" w:h="16838" w:orient="portrait"/>
          <w:cols w:equalWidth="0" w:num="1">
            <w:col w:w="11200"/>
          </w:cols>
          <w:pgMar w:left="320" w:top="609" w:right="379" w:bottom="1440" w:gutter="0" w:footer="0" w:header="0"/>
        </w:sectPr>
      </w:pPr>
    </w:p>
    <w:bookmarkStart w:id="78" w:name="page79"/>
    <w:bookmarkEnd w:id="78"/>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CEO Pay Ratio</w:t>
      </w:r>
    </w:p>
    <w:p>
      <w:pPr>
        <w:spacing w:after="0" w:line="123"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the Corporation must annually disclose in its proxy statement the median of the annual total compensation of all of its employees (excluding the CEO), the annual total compensation of its CEO, and the ratio of the CEO compensation to the employee median compensation. The ratio of CEO pay to the pay of the Corporation’s median employee for fiscal year 2020 is 185 to one.</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Lockheed Martin employs approximately 114,000 employees that are, in large part, highly-skilled professionals located primarily in the United States, but also represented in numerous other countries. For purposes of the fiscal year 2020 CEO pay ratio set forth above, we used the same median employee identified with respect to our fiscal year 2018 and 2019 CEO pay ratio, because there has not been a change in our employee population or employee compensation arrangements that we believe would significantly change the pay ratio disclosure.</w:t>
      </w:r>
    </w:p>
    <w:p>
      <w:pPr>
        <w:spacing w:after="0" w:line="99"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The median employee was determined by calculating the total annual cash compensation (base salary plus annual incentive) of all employees except the CEO as of December 31, 2018, and then sorting those employees from highest to lowest; and determining the median employee from that list.</w:t>
      </w:r>
    </w:p>
    <w:p>
      <w:pPr>
        <w:spacing w:after="0" w:line="96"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total compensation for our CEO for fiscal year 2020 as set forth in the Summary Compensation Table (SCT) on page 58 was $23,360,369. For purposes of the CEO pay ratio, however, we have annualized our CEO's salary and certain perquisites since he only served a portion of the year as CEO (his total annualized compensation was $24,518,639). We did not annualize his annual incentive because a part of his one-time equity replacement award was intended to make him whole for the portion of the annual incentive he forfeited from his prior employer. We also did not annualize his long-term incentive award opportunity or his equity replacement grant because they represented awards that were independent of the amount of time served as CEO during the year. Finally, we have excluded the director compensation he received in 2020 prior to becoming CEO as not being representative of his CEO compensation.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vMerge w:val="restart"/>
            <w:shd w:val="clear" w:color="auto" w:fill="E5E7EF"/>
          </w:tcPr>
          <w:p>
            <w:pPr>
              <w:ind w:left="20"/>
              <w:spacing w:after="0"/>
              <w:rPr>
                <w:sz w:val="20"/>
                <w:szCs w:val="20"/>
                <w:color w:val="auto"/>
              </w:rPr>
            </w:pPr>
            <w:r>
              <w:rPr>
                <w:rFonts w:ascii="Arial" w:cs="Arial" w:eastAsia="Arial" w:hAnsi="Arial"/>
                <w:sz w:val="14"/>
                <w:szCs w:val="14"/>
                <w:b w:val="1"/>
                <w:bCs w:val="1"/>
                <w:color w:val="auto"/>
              </w:rPr>
              <w:t>Summary Compensation Table Components</w:t>
            </w:r>
          </w:p>
        </w:tc>
        <w:tc>
          <w:tcPr>
            <w:tcW w:w="2060" w:type="dxa"/>
            <w:vAlign w:val="bottom"/>
            <w:shd w:val="clear" w:color="auto" w:fill="E5E7EF"/>
          </w:tcPr>
          <w:p>
            <w:pPr>
              <w:jc w:val="center"/>
              <w:spacing w:after="0"/>
              <w:rPr>
                <w:sz w:val="20"/>
                <w:szCs w:val="20"/>
                <w:color w:val="auto"/>
              </w:rPr>
            </w:pPr>
            <w:r>
              <w:rPr>
                <w:rFonts w:ascii="Arial" w:cs="Arial" w:eastAsia="Arial" w:hAnsi="Arial"/>
                <w:sz w:val="14"/>
                <w:szCs w:val="14"/>
                <w:b w:val="1"/>
                <w:bCs w:val="1"/>
                <w:color w:val="auto"/>
              </w:rPr>
              <w:t>Compensation</w:t>
            </w:r>
          </w:p>
        </w:tc>
        <w:tc>
          <w:tcPr>
            <w:tcW w:w="5720" w:type="dxa"/>
            <w:vAlign w:val="bottom"/>
            <w:shd w:val="clear" w:color="auto" w:fill="E5E7E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460" w:type="dxa"/>
            <w:vAlign w:val="bottom"/>
            <w:vMerge w:val="continue"/>
            <w:shd w:val="clear" w:color="auto" w:fill="E5E7EF"/>
          </w:tcPr>
          <w:p>
            <w:pPr>
              <w:spacing w:after="0"/>
              <w:rPr>
                <w:sz w:val="11"/>
                <w:szCs w:val="11"/>
                <w:color w:val="auto"/>
              </w:rPr>
            </w:pPr>
          </w:p>
        </w:tc>
        <w:tc>
          <w:tcPr>
            <w:tcW w:w="2060" w:type="dxa"/>
            <w:vAlign w:val="bottom"/>
            <w:vMerge w:val="restart"/>
            <w:shd w:val="clear" w:color="auto" w:fill="E5E7EF"/>
          </w:tcPr>
          <w:p>
            <w:pPr>
              <w:jc w:val="center"/>
              <w:spacing w:after="0"/>
              <w:rPr>
                <w:sz w:val="20"/>
                <w:szCs w:val="20"/>
                <w:color w:val="auto"/>
              </w:rPr>
            </w:pPr>
            <w:r>
              <w:rPr>
                <w:rFonts w:ascii="Arial" w:cs="Arial" w:eastAsia="Arial" w:hAnsi="Arial"/>
                <w:sz w:val="14"/>
                <w:szCs w:val="14"/>
                <w:b w:val="1"/>
                <w:bCs w:val="1"/>
                <w:color w:val="auto"/>
              </w:rPr>
              <w:t>for CEO Pay Ratio</w:t>
            </w:r>
          </w:p>
        </w:tc>
        <w:tc>
          <w:tcPr>
            <w:tcW w:w="5720" w:type="dxa"/>
            <w:vAlign w:val="bottom"/>
            <w:vMerge w:val="restart"/>
            <w:shd w:val="clear" w:color="auto" w:fill="E5E7EF"/>
          </w:tcPr>
          <w:p>
            <w:pPr>
              <w:ind w:left="20"/>
              <w:spacing w:after="0"/>
              <w:rPr>
                <w:sz w:val="20"/>
                <w:szCs w:val="20"/>
                <w:color w:val="auto"/>
              </w:rPr>
            </w:pPr>
            <w:r>
              <w:rPr>
                <w:rFonts w:ascii="Arial" w:cs="Arial" w:eastAsia="Arial" w:hAnsi="Arial"/>
                <w:sz w:val="14"/>
                <w:szCs w:val="14"/>
                <w:b w:val="1"/>
                <w:bCs w:val="1"/>
                <w:color w:val="auto"/>
              </w:rPr>
              <w:t>Explanation of Amounts</w:t>
            </w:r>
          </w:p>
        </w:tc>
        <w:tc>
          <w:tcPr>
            <w:tcW w:w="0" w:type="dxa"/>
            <w:vAlign w:val="bottom"/>
          </w:tcPr>
          <w:p>
            <w:pPr>
              <w:spacing w:after="0"/>
              <w:rPr>
                <w:sz w:val="1"/>
                <w:szCs w:val="1"/>
                <w:color w:val="auto"/>
              </w:rPr>
            </w:pPr>
          </w:p>
        </w:tc>
      </w:tr>
      <w:tr>
        <w:trPr>
          <w:trHeight w:val="80"/>
        </w:trPr>
        <w:tc>
          <w:tcPr>
            <w:tcW w:w="3460" w:type="dxa"/>
            <w:vAlign w:val="bottom"/>
            <w:tcBorders>
              <w:bottom w:val="single" w:sz="8" w:color="E5E7EF"/>
            </w:tcBorders>
            <w:shd w:val="clear" w:color="auto" w:fill="E5E7EF"/>
          </w:tcPr>
          <w:p>
            <w:pPr>
              <w:spacing w:after="0"/>
              <w:rPr>
                <w:sz w:val="6"/>
                <w:szCs w:val="6"/>
                <w:color w:val="auto"/>
              </w:rPr>
            </w:pPr>
          </w:p>
        </w:tc>
        <w:tc>
          <w:tcPr>
            <w:tcW w:w="2060" w:type="dxa"/>
            <w:vAlign w:val="bottom"/>
            <w:tcBorders>
              <w:bottom w:val="single" w:sz="8" w:color="E5E7EF"/>
            </w:tcBorders>
            <w:vMerge w:val="continue"/>
            <w:shd w:val="clear" w:color="auto" w:fill="E5E7EF"/>
          </w:tcPr>
          <w:p>
            <w:pPr>
              <w:spacing w:after="0"/>
              <w:rPr>
                <w:sz w:val="6"/>
                <w:szCs w:val="6"/>
                <w:color w:val="auto"/>
              </w:rPr>
            </w:pPr>
          </w:p>
        </w:tc>
        <w:tc>
          <w:tcPr>
            <w:tcW w:w="5720" w:type="dxa"/>
            <w:vAlign w:val="bottom"/>
            <w:tcBorders>
              <w:bottom w:val="single" w:sz="8" w:color="E5E7EF"/>
            </w:tcBorders>
            <w:vMerge w:val="continue"/>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460" w:type="dxa"/>
            <w:vAlign w:val="bottom"/>
            <w:tcBorders>
              <w:top w:val="single" w:sz="8" w:color="808080"/>
            </w:tcBorders>
          </w:tcPr>
          <w:p>
            <w:pPr>
              <w:ind w:left="20"/>
              <w:spacing w:after="0"/>
              <w:rPr>
                <w:sz w:val="20"/>
                <w:szCs w:val="20"/>
                <w:color w:val="auto"/>
              </w:rPr>
            </w:pPr>
            <w:r>
              <w:rPr>
                <w:rFonts w:ascii="Arial" w:cs="Arial" w:eastAsia="Arial" w:hAnsi="Arial"/>
                <w:sz w:val="14"/>
                <w:szCs w:val="14"/>
                <w:color w:val="auto"/>
              </w:rPr>
              <w:t>Base Salary</w:t>
            </w:r>
          </w:p>
        </w:tc>
        <w:tc>
          <w:tcPr>
            <w:tcW w:w="2060" w:type="dxa"/>
            <w:vAlign w:val="bottom"/>
            <w:tcBorders>
              <w:top w:val="single" w:sz="8" w:color="808080"/>
            </w:tcBorders>
          </w:tcPr>
          <w:p>
            <w:pPr>
              <w:jc w:val="center"/>
              <w:ind w:right="148"/>
              <w:spacing w:after="0"/>
              <w:rPr>
                <w:sz w:val="20"/>
                <w:szCs w:val="20"/>
                <w:color w:val="auto"/>
              </w:rPr>
            </w:pPr>
            <w:r>
              <w:rPr>
                <w:rFonts w:ascii="Arial" w:cs="Arial" w:eastAsia="Arial" w:hAnsi="Arial"/>
                <w:sz w:val="14"/>
                <w:szCs w:val="14"/>
                <w:color w:val="auto"/>
              </w:rPr>
              <w:t>$1,700,000</w:t>
            </w:r>
          </w:p>
        </w:tc>
        <w:tc>
          <w:tcPr>
            <w:tcW w:w="5720" w:type="dxa"/>
            <w:vAlign w:val="bottom"/>
            <w:tcBorders>
              <w:top w:val="single" w:sz="8" w:color="808080"/>
            </w:tcBorders>
          </w:tcPr>
          <w:p>
            <w:pPr>
              <w:ind w:left="20"/>
              <w:spacing w:after="0"/>
              <w:rPr>
                <w:sz w:val="20"/>
                <w:szCs w:val="20"/>
                <w:color w:val="auto"/>
              </w:rPr>
            </w:pPr>
            <w:r>
              <w:rPr>
                <w:rFonts w:ascii="Arial" w:cs="Arial" w:eastAsia="Arial" w:hAnsi="Arial"/>
                <w:sz w:val="14"/>
                <w:szCs w:val="14"/>
                <w:color w:val="auto"/>
              </w:rPr>
              <w:t>Annualized salary; actual salary of $915,385 disclosed in the Summary Compensation</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720" w:type="dxa"/>
            <w:vAlign w:val="bottom"/>
          </w:tcPr>
          <w:p>
            <w:pPr>
              <w:ind w:left="20"/>
              <w:spacing w:after="0"/>
              <w:rPr>
                <w:sz w:val="20"/>
                <w:szCs w:val="20"/>
                <w:color w:val="auto"/>
              </w:rPr>
            </w:pPr>
            <w:r>
              <w:rPr>
                <w:rFonts w:ascii="Arial" w:cs="Arial" w:eastAsia="Arial" w:hAnsi="Arial"/>
                <w:sz w:val="14"/>
                <w:szCs w:val="14"/>
                <w:color w:val="auto"/>
              </w:rPr>
              <w:t>Table</w:t>
            </w:r>
          </w:p>
        </w:tc>
        <w:tc>
          <w:tcPr>
            <w:tcW w:w="0" w:type="dxa"/>
            <w:vAlign w:val="bottom"/>
          </w:tcPr>
          <w:p>
            <w:pPr>
              <w:spacing w:after="0"/>
              <w:rPr>
                <w:sz w:val="1"/>
                <w:szCs w:val="1"/>
                <w:color w:val="auto"/>
              </w:rPr>
            </w:pPr>
          </w:p>
        </w:tc>
      </w:tr>
      <w:tr>
        <w:trPr>
          <w:trHeight w:val="25"/>
        </w:trPr>
        <w:tc>
          <w:tcPr>
            <w:tcW w:w="346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tcPr>
          <w:p>
            <w:pPr>
              <w:spacing w:after="0"/>
              <w:rPr>
                <w:sz w:val="2"/>
                <w:szCs w:val="2"/>
                <w:color w:val="auto"/>
              </w:rPr>
            </w:pPr>
          </w:p>
        </w:tc>
        <w:tc>
          <w:tcPr>
            <w:tcW w:w="57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460" w:type="dxa"/>
            <w:vAlign w:val="bottom"/>
            <w:shd w:val="clear" w:color="auto" w:fill="E5E7EF"/>
          </w:tcPr>
          <w:p>
            <w:pPr>
              <w:ind w:left="20"/>
              <w:spacing w:after="0"/>
              <w:rPr>
                <w:sz w:val="20"/>
                <w:szCs w:val="20"/>
                <w:color w:val="auto"/>
              </w:rPr>
            </w:pPr>
            <w:r>
              <w:rPr>
                <w:rFonts w:ascii="Arial" w:cs="Arial" w:eastAsia="Arial" w:hAnsi="Arial"/>
                <w:sz w:val="14"/>
                <w:szCs w:val="14"/>
                <w:color w:val="auto"/>
              </w:rPr>
              <w:t>Stock Awards</w:t>
            </w:r>
          </w:p>
        </w:tc>
        <w:tc>
          <w:tcPr>
            <w:tcW w:w="2060" w:type="dxa"/>
            <w:vAlign w:val="bottom"/>
            <w:shd w:val="clear" w:color="auto" w:fill="E5E7EF"/>
          </w:tcPr>
          <w:p>
            <w:pPr>
              <w:jc w:val="center"/>
              <w:ind w:right="148"/>
              <w:spacing w:after="0"/>
              <w:rPr>
                <w:sz w:val="20"/>
                <w:szCs w:val="20"/>
                <w:color w:val="auto"/>
              </w:rPr>
            </w:pPr>
            <w:r>
              <w:rPr>
                <w:rFonts w:ascii="Arial" w:cs="Arial" w:eastAsia="Arial" w:hAnsi="Arial"/>
                <w:sz w:val="14"/>
                <w:szCs w:val="14"/>
                <w:color w:val="auto"/>
              </w:rPr>
              <w:t>$18,611,850</w:t>
            </w:r>
          </w:p>
        </w:tc>
        <w:tc>
          <w:tcPr>
            <w:tcW w:w="5720" w:type="dxa"/>
            <w:vAlign w:val="bottom"/>
            <w:shd w:val="clear" w:color="auto" w:fill="E5E7EF"/>
          </w:tcPr>
          <w:p>
            <w:pPr>
              <w:ind w:left="20"/>
              <w:spacing w:after="0"/>
              <w:rPr>
                <w:sz w:val="20"/>
                <w:szCs w:val="20"/>
                <w:color w:val="auto"/>
              </w:rPr>
            </w:pPr>
            <w:r>
              <w:rPr>
                <w:rFonts w:ascii="Arial" w:cs="Arial" w:eastAsia="Arial" w:hAnsi="Arial"/>
                <w:sz w:val="14"/>
                <w:szCs w:val="14"/>
                <w:color w:val="auto"/>
              </w:rPr>
              <w:t>Includes approximately $12.9 million annual LTI grant and $5.7 million one-time</w:t>
            </w:r>
          </w:p>
        </w:tc>
        <w:tc>
          <w:tcPr>
            <w:tcW w:w="0" w:type="dxa"/>
            <w:vAlign w:val="bottom"/>
          </w:tcPr>
          <w:p>
            <w:pPr>
              <w:spacing w:after="0"/>
              <w:rPr>
                <w:sz w:val="1"/>
                <w:szCs w:val="1"/>
                <w:color w:val="auto"/>
              </w:rPr>
            </w:pPr>
          </w:p>
        </w:tc>
      </w:tr>
      <w:tr>
        <w:trPr>
          <w:trHeight w:val="175"/>
        </w:trPr>
        <w:tc>
          <w:tcPr>
            <w:tcW w:w="3460" w:type="dxa"/>
            <w:vAlign w:val="bottom"/>
            <w:shd w:val="clear" w:color="auto" w:fill="E5E7EF"/>
          </w:tcPr>
          <w:p>
            <w:pPr>
              <w:spacing w:after="0"/>
              <w:rPr>
                <w:sz w:val="15"/>
                <w:szCs w:val="15"/>
                <w:color w:val="auto"/>
              </w:rPr>
            </w:pPr>
          </w:p>
        </w:tc>
        <w:tc>
          <w:tcPr>
            <w:tcW w:w="2060" w:type="dxa"/>
            <w:vAlign w:val="bottom"/>
            <w:shd w:val="clear" w:color="auto" w:fill="E5E7EF"/>
          </w:tcPr>
          <w:p>
            <w:pPr>
              <w:spacing w:after="0"/>
              <w:rPr>
                <w:sz w:val="15"/>
                <w:szCs w:val="15"/>
                <w:color w:val="auto"/>
              </w:rPr>
            </w:pPr>
          </w:p>
        </w:tc>
        <w:tc>
          <w:tcPr>
            <w:tcW w:w="5720" w:type="dxa"/>
            <w:vAlign w:val="bottom"/>
            <w:shd w:val="clear" w:color="auto" w:fill="E5E7EF"/>
          </w:tcPr>
          <w:p>
            <w:pPr>
              <w:ind w:left="20"/>
              <w:spacing w:after="0"/>
              <w:rPr>
                <w:sz w:val="20"/>
                <w:szCs w:val="20"/>
                <w:color w:val="auto"/>
              </w:rPr>
            </w:pPr>
            <w:r>
              <w:rPr>
                <w:rFonts w:ascii="Arial" w:cs="Arial" w:eastAsia="Arial" w:hAnsi="Arial"/>
                <w:sz w:val="14"/>
                <w:szCs w:val="14"/>
                <w:color w:val="auto"/>
              </w:rPr>
              <w:t>replacement award. Excludes $162,500 related to his 2020 annual non-employee</w:t>
            </w:r>
          </w:p>
        </w:tc>
        <w:tc>
          <w:tcPr>
            <w:tcW w:w="0" w:type="dxa"/>
            <w:vAlign w:val="bottom"/>
          </w:tcPr>
          <w:p>
            <w:pPr>
              <w:spacing w:after="0"/>
              <w:rPr>
                <w:sz w:val="1"/>
                <w:szCs w:val="1"/>
                <w:color w:val="auto"/>
              </w:rPr>
            </w:pPr>
          </w:p>
        </w:tc>
      </w:tr>
      <w:tr>
        <w:trPr>
          <w:trHeight w:val="206"/>
        </w:trPr>
        <w:tc>
          <w:tcPr>
            <w:tcW w:w="3460" w:type="dxa"/>
            <w:vAlign w:val="bottom"/>
            <w:tcBorders>
              <w:bottom w:val="single" w:sz="8" w:color="E5E7EF"/>
            </w:tcBorders>
            <w:shd w:val="clear" w:color="auto" w:fill="E5E7EF"/>
          </w:tcPr>
          <w:p>
            <w:pPr>
              <w:spacing w:after="0"/>
              <w:rPr>
                <w:sz w:val="17"/>
                <w:szCs w:val="17"/>
                <w:color w:val="auto"/>
              </w:rPr>
            </w:pPr>
          </w:p>
        </w:tc>
        <w:tc>
          <w:tcPr>
            <w:tcW w:w="2060" w:type="dxa"/>
            <w:vAlign w:val="bottom"/>
            <w:tcBorders>
              <w:bottom w:val="single" w:sz="8" w:color="E5E7EF"/>
            </w:tcBorders>
            <w:shd w:val="clear" w:color="auto" w:fill="E5E7EF"/>
          </w:tcPr>
          <w:p>
            <w:pPr>
              <w:spacing w:after="0"/>
              <w:rPr>
                <w:sz w:val="17"/>
                <w:szCs w:val="17"/>
                <w:color w:val="auto"/>
              </w:rPr>
            </w:pPr>
          </w:p>
        </w:tc>
        <w:tc>
          <w:tcPr>
            <w:tcW w:w="57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4"/>
                <w:szCs w:val="14"/>
                <w:color w:val="auto"/>
              </w:rPr>
              <w:t>director equity grant that was forfeited upon Mr. Taiclet becoming President and CEO</w:t>
            </w:r>
          </w:p>
        </w:tc>
        <w:tc>
          <w:tcPr>
            <w:tcW w:w="0" w:type="dxa"/>
            <w:vAlign w:val="bottom"/>
          </w:tcPr>
          <w:p>
            <w:pPr>
              <w:spacing w:after="0"/>
              <w:rPr>
                <w:sz w:val="1"/>
                <w:szCs w:val="1"/>
                <w:color w:val="auto"/>
              </w:rPr>
            </w:pPr>
          </w:p>
        </w:tc>
      </w:tr>
      <w:tr>
        <w:trPr>
          <w:trHeight w:val="198"/>
        </w:trPr>
        <w:tc>
          <w:tcPr>
            <w:tcW w:w="3460" w:type="dxa"/>
            <w:vAlign w:val="bottom"/>
            <w:tcBorders>
              <w:top w:val="single" w:sz="8" w:color="808080"/>
            </w:tcBorders>
          </w:tcPr>
          <w:p>
            <w:pPr>
              <w:ind w:left="20"/>
              <w:spacing w:after="0"/>
              <w:rPr>
                <w:sz w:val="20"/>
                <w:szCs w:val="20"/>
                <w:color w:val="auto"/>
              </w:rPr>
            </w:pPr>
            <w:r>
              <w:rPr>
                <w:rFonts w:ascii="Arial" w:cs="Arial" w:eastAsia="Arial" w:hAnsi="Arial"/>
                <w:sz w:val="14"/>
                <w:szCs w:val="14"/>
                <w:color w:val="auto"/>
              </w:rPr>
              <w:t>Non-Equity Incentive Plan Compensation</w:t>
            </w:r>
          </w:p>
        </w:tc>
        <w:tc>
          <w:tcPr>
            <w:tcW w:w="2060" w:type="dxa"/>
            <w:vAlign w:val="bottom"/>
            <w:tcBorders>
              <w:top w:val="single" w:sz="8" w:color="808080"/>
            </w:tcBorders>
          </w:tcPr>
          <w:p>
            <w:pPr>
              <w:jc w:val="center"/>
              <w:ind w:right="148"/>
              <w:spacing w:after="0"/>
              <w:rPr>
                <w:sz w:val="20"/>
                <w:szCs w:val="20"/>
                <w:color w:val="auto"/>
              </w:rPr>
            </w:pPr>
            <w:r>
              <w:rPr>
                <w:rFonts w:ascii="Arial" w:cs="Arial" w:eastAsia="Arial" w:hAnsi="Arial"/>
                <w:sz w:val="14"/>
                <w:szCs w:val="14"/>
                <w:color w:val="auto"/>
              </w:rPr>
              <w:t>$2,896,200</w:t>
            </w:r>
          </w:p>
        </w:tc>
        <w:tc>
          <w:tcPr>
            <w:tcW w:w="5720" w:type="dxa"/>
            <w:vAlign w:val="bottom"/>
            <w:tcBorders>
              <w:top w:val="single" w:sz="8" w:color="929292"/>
            </w:tcBorders>
          </w:tcPr>
          <w:p>
            <w:pPr>
              <w:ind w:left="20"/>
              <w:spacing w:after="0"/>
              <w:rPr>
                <w:sz w:val="20"/>
                <w:szCs w:val="20"/>
                <w:color w:val="auto"/>
              </w:rPr>
            </w:pPr>
            <w:r>
              <w:rPr>
                <w:rFonts w:ascii="Arial" w:cs="Arial" w:eastAsia="Arial" w:hAnsi="Arial"/>
                <w:sz w:val="14"/>
                <w:szCs w:val="14"/>
                <w:color w:val="auto"/>
              </w:rPr>
              <w:t>Reflects pro-rated MICP annual incentive. Not annualized because part of the value of</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720" w:type="dxa"/>
            <w:vAlign w:val="bottom"/>
          </w:tcPr>
          <w:p>
            <w:pPr>
              <w:ind w:left="20"/>
              <w:spacing w:after="0"/>
              <w:rPr>
                <w:sz w:val="20"/>
                <w:szCs w:val="20"/>
                <w:color w:val="auto"/>
              </w:rPr>
            </w:pPr>
            <w:r>
              <w:rPr>
                <w:rFonts w:ascii="Arial" w:cs="Arial" w:eastAsia="Arial" w:hAnsi="Arial"/>
                <w:sz w:val="14"/>
                <w:szCs w:val="14"/>
                <w:color w:val="auto"/>
              </w:rPr>
              <w:t>the equity replacement award was intended to offset the annual incentive forfeited from</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720" w:type="dxa"/>
            <w:vAlign w:val="bottom"/>
          </w:tcPr>
          <w:p>
            <w:pPr>
              <w:ind w:left="20"/>
              <w:spacing w:after="0"/>
              <w:rPr>
                <w:sz w:val="20"/>
                <w:szCs w:val="20"/>
                <w:color w:val="auto"/>
              </w:rPr>
            </w:pPr>
            <w:r>
              <w:rPr>
                <w:rFonts w:ascii="Arial" w:cs="Arial" w:eastAsia="Arial" w:hAnsi="Arial"/>
                <w:sz w:val="14"/>
                <w:szCs w:val="14"/>
                <w:color w:val="auto"/>
              </w:rPr>
              <w:t>Mr. Taiclet's prior employer</w:t>
            </w:r>
          </w:p>
        </w:tc>
        <w:tc>
          <w:tcPr>
            <w:tcW w:w="0" w:type="dxa"/>
            <w:vAlign w:val="bottom"/>
          </w:tcPr>
          <w:p>
            <w:pPr>
              <w:spacing w:after="0"/>
              <w:rPr>
                <w:sz w:val="1"/>
                <w:szCs w:val="1"/>
                <w:color w:val="auto"/>
              </w:rPr>
            </w:pPr>
          </w:p>
        </w:tc>
      </w:tr>
      <w:tr>
        <w:trPr>
          <w:trHeight w:val="25"/>
        </w:trPr>
        <w:tc>
          <w:tcPr>
            <w:tcW w:w="346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tcPr>
          <w:p>
            <w:pPr>
              <w:spacing w:after="0"/>
              <w:rPr>
                <w:sz w:val="2"/>
                <w:szCs w:val="2"/>
                <w:color w:val="auto"/>
              </w:rPr>
            </w:pPr>
          </w:p>
        </w:tc>
        <w:tc>
          <w:tcPr>
            <w:tcW w:w="57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460" w:type="dxa"/>
            <w:vAlign w:val="bottom"/>
            <w:shd w:val="clear" w:color="auto" w:fill="E5E7EF"/>
          </w:tcPr>
          <w:p>
            <w:pPr>
              <w:ind w:left="20"/>
              <w:spacing w:after="0"/>
              <w:rPr>
                <w:sz w:val="20"/>
                <w:szCs w:val="20"/>
                <w:color w:val="auto"/>
              </w:rPr>
            </w:pPr>
            <w:r>
              <w:rPr>
                <w:rFonts w:ascii="Arial" w:cs="Arial" w:eastAsia="Arial" w:hAnsi="Arial"/>
                <w:sz w:val="14"/>
                <w:szCs w:val="14"/>
                <w:color w:val="auto"/>
              </w:rPr>
              <w:t>Change in Pension and Non-qualified Deferred</w:t>
            </w:r>
          </w:p>
        </w:tc>
        <w:tc>
          <w:tcPr>
            <w:tcW w:w="2060" w:type="dxa"/>
            <w:vAlign w:val="bottom"/>
            <w:shd w:val="clear" w:color="auto" w:fill="E5E7EF"/>
          </w:tcPr>
          <w:p>
            <w:pPr>
              <w:jc w:val="center"/>
              <w:ind w:right="148"/>
              <w:spacing w:after="0"/>
              <w:rPr>
                <w:sz w:val="20"/>
                <w:szCs w:val="20"/>
                <w:color w:val="auto"/>
              </w:rPr>
            </w:pPr>
            <w:r>
              <w:rPr>
                <w:rFonts w:ascii="Arial" w:cs="Arial" w:eastAsia="Arial" w:hAnsi="Arial"/>
                <w:sz w:val="14"/>
                <w:szCs w:val="14"/>
                <w:color w:val="auto"/>
              </w:rPr>
              <w:t>$0</w:t>
            </w:r>
          </w:p>
        </w:tc>
        <w:tc>
          <w:tcPr>
            <w:tcW w:w="5720" w:type="dxa"/>
            <w:vAlign w:val="bottom"/>
            <w:shd w:val="clear" w:color="auto" w:fill="E5E7EF"/>
          </w:tcPr>
          <w:p>
            <w:pPr>
              <w:ind w:left="20"/>
              <w:spacing w:after="0"/>
              <w:rPr>
                <w:sz w:val="20"/>
                <w:szCs w:val="20"/>
                <w:color w:val="auto"/>
              </w:rPr>
            </w:pPr>
            <w:r>
              <w:rPr>
                <w:rFonts w:ascii="Arial" w:cs="Arial" w:eastAsia="Arial" w:hAnsi="Arial"/>
                <w:sz w:val="14"/>
                <w:szCs w:val="14"/>
                <w:color w:val="auto"/>
              </w:rPr>
              <w:t>Mr. Taiclet had no 2020 compensation attributable to Change in Pension and Non-</w:t>
            </w:r>
          </w:p>
        </w:tc>
        <w:tc>
          <w:tcPr>
            <w:tcW w:w="0" w:type="dxa"/>
            <w:vAlign w:val="bottom"/>
          </w:tcPr>
          <w:p>
            <w:pPr>
              <w:spacing w:after="0"/>
              <w:rPr>
                <w:sz w:val="1"/>
                <w:szCs w:val="1"/>
                <w:color w:val="auto"/>
              </w:rPr>
            </w:pPr>
          </w:p>
        </w:tc>
      </w:tr>
      <w:tr>
        <w:trPr>
          <w:trHeight w:val="206"/>
        </w:trPr>
        <w:tc>
          <w:tcPr>
            <w:tcW w:w="346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4"/>
                <w:szCs w:val="14"/>
                <w:color w:val="auto"/>
              </w:rPr>
              <w:t>Compensation Earnings</w:t>
            </w:r>
          </w:p>
        </w:tc>
        <w:tc>
          <w:tcPr>
            <w:tcW w:w="2060" w:type="dxa"/>
            <w:vAlign w:val="bottom"/>
            <w:tcBorders>
              <w:bottom w:val="single" w:sz="8" w:color="E5E7EF"/>
            </w:tcBorders>
            <w:shd w:val="clear" w:color="auto" w:fill="E5E7EF"/>
          </w:tcPr>
          <w:p>
            <w:pPr>
              <w:spacing w:after="0"/>
              <w:rPr>
                <w:sz w:val="17"/>
                <w:szCs w:val="17"/>
                <w:color w:val="auto"/>
              </w:rPr>
            </w:pPr>
          </w:p>
        </w:tc>
        <w:tc>
          <w:tcPr>
            <w:tcW w:w="57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4"/>
                <w:szCs w:val="14"/>
                <w:color w:val="auto"/>
              </w:rPr>
              <w:t>qualified Deferred Compensation Earnings</w:t>
            </w:r>
          </w:p>
        </w:tc>
        <w:tc>
          <w:tcPr>
            <w:tcW w:w="0" w:type="dxa"/>
            <w:vAlign w:val="bottom"/>
          </w:tcPr>
          <w:p>
            <w:pPr>
              <w:spacing w:after="0"/>
              <w:rPr>
                <w:sz w:val="1"/>
                <w:szCs w:val="1"/>
                <w:color w:val="auto"/>
              </w:rPr>
            </w:pPr>
          </w:p>
        </w:tc>
      </w:tr>
      <w:tr>
        <w:trPr>
          <w:trHeight w:val="198"/>
        </w:trPr>
        <w:tc>
          <w:tcPr>
            <w:tcW w:w="3460" w:type="dxa"/>
            <w:vAlign w:val="bottom"/>
            <w:tcBorders>
              <w:top w:val="single" w:sz="8" w:color="808080"/>
            </w:tcBorders>
          </w:tcPr>
          <w:p>
            <w:pPr>
              <w:ind w:left="20"/>
              <w:spacing w:after="0"/>
              <w:rPr>
                <w:sz w:val="20"/>
                <w:szCs w:val="20"/>
                <w:color w:val="auto"/>
              </w:rPr>
            </w:pPr>
            <w:r>
              <w:rPr>
                <w:rFonts w:ascii="Arial" w:cs="Arial" w:eastAsia="Arial" w:hAnsi="Arial"/>
                <w:sz w:val="14"/>
                <w:szCs w:val="14"/>
                <w:color w:val="auto"/>
              </w:rPr>
              <w:t>All Other Compensation</w:t>
            </w:r>
          </w:p>
        </w:tc>
        <w:tc>
          <w:tcPr>
            <w:tcW w:w="2060" w:type="dxa"/>
            <w:vAlign w:val="bottom"/>
            <w:tcBorders>
              <w:top w:val="single" w:sz="8" w:color="808080"/>
            </w:tcBorders>
          </w:tcPr>
          <w:p>
            <w:pPr>
              <w:jc w:val="center"/>
              <w:ind w:right="148"/>
              <w:spacing w:after="0"/>
              <w:rPr>
                <w:sz w:val="20"/>
                <w:szCs w:val="20"/>
                <w:color w:val="auto"/>
              </w:rPr>
            </w:pPr>
            <w:r>
              <w:rPr>
                <w:rFonts w:ascii="Arial" w:cs="Arial" w:eastAsia="Arial" w:hAnsi="Arial"/>
                <w:sz w:val="14"/>
                <w:szCs w:val="14"/>
                <w:color w:val="auto"/>
              </w:rPr>
              <w:t>$1,310,589</w:t>
            </w:r>
          </w:p>
        </w:tc>
        <w:tc>
          <w:tcPr>
            <w:tcW w:w="5720" w:type="dxa"/>
            <w:vAlign w:val="bottom"/>
            <w:tcBorders>
              <w:top w:val="single" w:sz="8" w:color="929292"/>
            </w:tcBorders>
          </w:tcPr>
          <w:p>
            <w:pPr>
              <w:ind w:left="20"/>
              <w:spacing w:after="0"/>
              <w:rPr>
                <w:sz w:val="20"/>
                <w:szCs w:val="20"/>
                <w:color w:val="auto"/>
              </w:rPr>
            </w:pPr>
            <w:r>
              <w:rPr>
                <w:rFonts w:ascii="Arial" w:cs="Arial" w:eastAsia="Arial" w:hAnsi="Arial"/>
                <w:sz w:val="14"/>
                <w:szCs w:val="14"/>
                <w:color w:val="auto"/>
              </w:rPr>
              <w:t>Annualized certain compensation and perquisites for which amounts would have been</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720" w:type="dxa"/>
            <w:vAlign w:val="bottom"/>
          </w:tcPr>
          <w:p>
            <w:pPr>
              <w:ind w:left="20"/>
              <w:spacing w:after="0"/>
              <w:rPr>
                <w:sz w:val="20"/>
                <w:szCs w:val="20"/>
                <w:color w:val="auto"/>
              </w:rPr>
            </w:pPr>
            <w:r>
              <w:rPr>
                <w:rFonts w:ascii="Arial" w:cs="Arial" w:eastAsia="Arial" w:hAnsi="Arial"/>
                <w:sz w:val="14"/>
                <w:szCs w:val="14"/>
                <w:color w:val="auto"/>
              </w:rPr>
              <w:t>incurred if Mr. Taiclet had been serving as CEO the entire year; excluded non-employee</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720" w:type="dxa"/>
            <w:vAlign w:val="bottom"/>
          </w:tcPr>
          <w:p>
            <w:pPr>
              <w:ind w:left="20"/>
              <w:spacing w:after="0"/>
              <w:rPr>
                <w:sz w:val="20"/>
                <w:szCs w:val="20"/>
                <w:color w:val="auto"/>
              </w:rPr>
            </w:pPr>
            <w:r>
              <w:rPr>
                <w:rFonts w:ascii="Arial" w:cs="Arial" w:eastAsia="Arial" w:hAnsi="Arial"/>
                <w:sz w:val="14"/>
                <w:szCs w:val="14"/>
                <w:color w:val="auto"/>
              </w:rPr>
              <w:t>cash director fees Mr. Taiclet received in 2020 prior to becoming CEO because his base</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720" w:type="dxa"/>
            <w:vAlign w:val="bottom"/>
          </w:tcPr>
          <w:p>
            <w:pPr>
              <w:ind w:left="20"/>
              <w:spacing w:after="0"/>
              <w:rPr>
                <w:sz w:val="20"/>
                <w:szCs w:val="20"/>
                <w:color w:val="auto"/>
              </w:rPr>
            </w:pPr>
            <w:r>
              <w:rPr>
                <w:rFonts w:ascii="Arial" w:cs="Arial" w:eastAsia="Arial" w:hAnsi="Arial"/>
                <w:sz w:val="14"/>
                <w:szCs w:val="14"/>
                <w:color w:val="auto"/>
              </w:rPr>
              <w:t>CEO salary is annualized</w:t>
            </w:r>
          </w:p>
        </w:tc>
        <w:tc>
          <w:tcPr>
            <w:tcW w:w="0" w:type="dxa"/>
            <w:vAlign w:val="bottom"/>
          </w:tcPr>
          <w:p>
            <w:pPr>
              <w:spacing w:after="0"/>
              <w:rPr>
                <w:sz w:val="1"/>
                <w:szCs w:val="1"/>
                <w:color w:val="auto"/>
              </w:rPr>
            </w:pPr>
          </w:p>
        </w:tc>
      </w:tr>
      <w:tr>
        <w:trPr>
          <w:trHeight w:val="25"/>
        </w:trPr>
        <w:tc>
          <w:tcPr>
            <w:tcW w:w="346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tcPr>
          <w:p>
            <w:pPr>
              <w:spacing w:after="0"/>
              <w:rPr>
                <w:sz w:val="2"/>
                <w:szCs w:val="2"/>
                <w:color w:val="auto"/>
              </w:rPr>
            </w:pPr>
          </w:p>
        </w:tc>
        <w:tc>
          <w:tcPr>
            <w:tcW w:w="5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460" w:type="dxa"/>
            <w:vAlign w:val="bottom"/>
            <w:shd w:val="clear" w:color="auto" w:fill="E5E7EF"/>
          </w:tcPr>
          <w:p>
            <w:pPr>
              <w:ind w:left="20"/>
              <w:spacing w:after="0"/>
              <w:rPr>
                <w:sz w:val="20"/>
                <w:szCs w:val="20"/>
                <w:color w:val="auto"/>
              </w:rPr>
            </w:pPr>
            <w:r>
              <w:rPr>
                <w:rFonts w:ascii="Arial" w:cs="Arial" w:eastAsia="Arial" w:hAnsi="Arial"/>
                <w:sz w:val="14"/>
                <w:szCs w:val="14"/>
                <w:b w:val="1"/>
                <w:bCs w:val="1"/>
                <w:color w:val="auto"/>
              </w:rPr>
              <w:t>Total</w:t>
            </w:r>
          </w:p>
        </w:tc>
        <w:tc>
          <w:tcPr>
            <w:tcW w:w="2060" w:type="dxa"/>
            <w:vAlign w:val="bottom"/>
            <w:shd w:val="clear" w:color="auto" w:fill="E5E7EF"/>
          </w:tcPr>
          <w:p>
            <w:pPr>
              <w:jc w:val="center"/>
              <w:ind w:right="148"/>
              <w:spacing w:after="0"/>
              <w:rPr>
                <w:sz w:val="20"/>
                <w:szCs w:val="20"/>
                <w:color w:val="auto"/>
              </w:rPr>
            </w:pPr>
            <w:r>
              <w:rPr>
                <w:rFonts w:ascii="Arial" w:cs="Arial" w:eastAsia="Arial" w:hAnsi="Arial"/>
                <w:sz w:val="14"/>
                <w:szCs w:val="14"/>
                <w:b w:val="1"/>
                <w:bCs w:val="1"/>
                <w:color w:val="auto"/>
              </w:rPr>
              <w:t>$24,518,639</w:t>
            </w:r>
          </w:p>
        </w:tc>
        <w:tc>
          <w:tcPr>
            <w:tcW w:w="5720" w:type="dxa"/>
            <w:vAlign w:val="bottom"/>
            <w:shd w:val="clear" w:color="auto" w:fill="E5E7E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460" w:type="dxa"/>
            <w:vAlign w:val="bottom"/>
            <w:shd w:val="clear" w:color="auto" w:fill="E5E7EF"/>
          </w:tcPr>
          <w:p>
            <w:pPr>
              <w:spacing w:after="0"/>
              <w:rPr>
                <w:sz w:val="2"/>
                <w:szCs w:val="2"/>
                <w:color w:val="auto"/>
              </w:rPr>
            </w:pPr>
          </w:p>
        </w:tc>
        <w:tc>
          <w:tcPr>
            <w:tcW w:w="2060" w:type="dxa"/>
            <w:vAlign w:val="bottom"/>
            <w:shd w:val="clear" w:color="auto" w:fill="E5E7EF"/>
          </w:tcPr>
          <w:p>
            <w:pPr>
              <w:spacing w:after="0"/>
              <w:rPr>
                <w:sz w:val="2"/>
                <w:szCs w:val="2"/>
                <w:color w:val="auto"/>
              </w:rPr>
            </w:pPr>
          </w:p>
        </w:tc>
        <w:tc>
          <w:tcPr>
            <w:tcW w:w="5720" w:type="dxa"/>
            <w:vAlign w:val="bottom"/>
            <w:shd w:val="clear" w:color="auto" w:fill="E5E7E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total annual compensation for the median employee for fiscal year 2020 was $132,824, encompassing base salary, overtime, incentives/recognition awards, change in pension value and Corporation contributions to defined contribution plans. The annual total compensation of the median employee was determined in the same manner as the total compensation reported for our CEO in the summary compensation table (without the annualization adjustments disclosed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75</w:t>
      </w:r>
    </w:p>
    <w:p>
      <w:pPr>
        <w:sectPr>
          <w:pgSz w:w="11900" w:h="16838" w:orient="portrait"/>
          <w:cols w:equalWidth="0" w:num="1">
            <w:col w:w="11240"/>
          </w:cols>
          <w:pgMar w:left="320" w:top="609" w:right="339" w:bottom="1440" w:gutter="0" w:footer="0" w:header="0"/>
        </w:sectPr>
      </w:pPr>
    </w:p>
    <w:bookmarkStart w:id="79" w:name="page80"/>
    <w:bookmarkEnd w:id="79"/>
    <w:p>
      <w:pPr>
        <w:spacing w:after="0"/>
        <w:rPr>
          <w:sz w:val="20"/>
          <w:szCs w:val="20"/>
          <w:color w:val="auto"/>
        </w:rPr>
      </w:pPr>
      <w:r>
        <w:rPr>
          <w:rFonts w:ascii="Arial" w:cs="Arial" w:eastAsia="Arial" w:hAnsi="Arial"/>
          <w:sz w:val="43"/>
          <w:szCs w:val="43"/>
          <w:color w:val="002E6D"/>
        </w:rPr>
        <w:t>Director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002E6D"/>
        </w:rPr>
        <w:t>Annual Benchmarking</w:t>
      </w:r>
    </w:p>
    <w:p>
      <w:pPr>
        <w:spacing w:after="0" w:line="12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Director compensation is an important tool used to attract and retain qualified directors and to address the time, effort, expertise and accountability required of active Board membership. The Governance Committee annually reviews publicly available data for the companies in the comparator group we use for benchmarking executive compensation (listed on page 45) and makes recommendations to the Board regarding compensation for non-employee directors. Mr. Taiclet received compensation for his service on the Board until his commencement of service as President and CEO on June 15, 2020, and his annual director equity retainer was forfeited upon commencement of his employment with the Corporation. Although the Governance Committee reviews director compensation annually, it has been the practice of the Governance Committee to recommend changes no more frequently than every two years.</w:t>
      </w:r>
    </w:p>
    <w:p>
      <w:pPr>
        <w:spacing w:after="0" w:line="98"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As director compensation for other comparator companies continues to increase during the two-year cycle, the Corporation’s position relative to the median for director compensation changes. For this reason, the Committee sets director compensation above the median with the expectation that compensation will decline relative to the median over the two-year cycle and may be below the median by the end of the two-year period. In 2020, Meridian, acting as independent compensation consultant to the Governance Committee, assisted in its review of director compensation and best practices in director compensation design. Based upon that review, the Board did not make any changes to directors' compensation for 2021.</w:t>
      </w:r>
    </w:p>
    <w:p>
      <w:pPr>
        <w:spacing w:after="0" w:line="85" w:lineRule="exact"/>
        <w:rPr>
          <w:sz w:val="20"/>
          <w:szCs w:val="20"/>
          <w:color w:val="auto"/>
        </w:rPr>
      </w:pPr>
    </w:p>
    <w:p>
      <w:pPr>
        <w:spacing w:after="0"/>
        <w:rPr>
          <w:sz w:val="20"/>
          <w:szCs w:val="20"/>
          <w:color w:val="auto"/>
        </w:rPr>
      </w:pPr>
      <w:r>
        <w:rPr>
          <w:rFonts w:ascii="Arial" w:cs="Arial" w:eastAsia="Arial" w:hAnsi="Arial"/>
          <w:sz w:val="29"/>
          <w:szCs w:val="29"/>
          <w:color w:val="002E6D"/>
        </w:rPr>
        <w:t>Elements of Compensation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800" w:type="dxa"/>
            <w:vAlign w:val="bottom"/>
            <w:tcBorders>
              <w:top w:val="single" w:sz="8" w:color="808080"/>
              <w:bottom w:val="single" w:sz="8" w:color="E5E7EF"/>
            </w:tcBorders>
            <w:shd w:val="clear" w:color="auto" w:fill="E5E7EF"/>
          </w:tcPr>
          <w:p>
            <w:pPr>
              <w:ind w:left="20"/>
              <w:spacing w:after="0"/>
              <w:rPr>
                <w:sz w:val="20"/>
                <w:szCs w:val="20"/>
                <w:color w:val="auto"/>
              </w:rPr>
            </w:pPr>
            <w:r>
              <w:rPr>
                <w:rFonts w:ascii="Arial" w:cs="Arial" w:eastAsia="Arial" w:hAnsi="Arial"/>
                <w:sz w:val="14"/>
                <w:szCs w:val="14"/>
                <w:b w:val="1"/>
                <w:bCs w:val="1"/>
                <w:color w:val="auto"/>
              </w:rPr>
              <w:t>Annual Cash Retainer</w:t>
            </w:r>
          </w:p>
        </w:tc>
        <w:tc>
          <w:tcPr>
            <w:tcW w:w="6440" w:type="dxa"/>
            <w:vAlign w:val="bottom"/>
            <w:tcBorders>
              <w:top w:val="single" w:sz="8" w:color="808080"/>
              <w:bottom w:val="single" w:sz="8" w:color="E5E7EF"/>
            </w:tcBorders>
            <w:shd w:val="clear" w:color="auto" w:fill="E5E7EF"/>
          </w:tcPr>
          <w:p>
            <w:pPr>
              <w:ind w:left="840"/>
              <w:spacing w:after="0"/>
              <w:rPr>
                <w:sz w:val="20"/>
                <w:szCs w:val="20"/>
                <w:color w:val="auto"/>
              </w:rPr>
            </w:pPr>
            <w:r>
              <w:rPr>
                <w:rFonts w:ascii="Arial" w:cs="Arial" w:eastAsia="Arial" w:hAnsi="Arial"/>
                <w:sz w:val="14"/>
                <w:szCs w:val="14"/>
                <w:color w:val="auto"/>
              </w:rPr>
              <w:t>$162,500 per year</w:t>
            </w:r>
          </w:p>
        </w:tc>
      </w:tr>
      <w:tr>
        <w:trPr>
          <w:trHeight w:val="198"/>
        </w:trPr>
        <w:tc>
          <w:tcPr>
            <w:tcW w:w="4800" w:type="dxa"/>
            <w:vAlign w:val="bottom"/>
            <w:tcBorders>
              <w:top w:val="single" w:sz="8" w:color="808080"/>
            </w:tcBorders>
          </w:tcPr>
          <w:p>
            <w:pPr>
              <w:ind w:left="20"/>
              <w:spacing w:after="0"/>
              <w:rPr>
                <w:sz w:val="20"/>
                <w:szCs w:val="20"/>
                <w:color w:val="auto"/>
              </w:rPr>
            </w:pPr>
            <w:r>
              <w:rPr>
                <w:rFonts w:ascii="Arial" w:cs="Arial" w:eastAsia="Arial" w:hAnsi="Arial"/>
                <w:sz w:val="14"/>
                <w:szCs w:val="14"/>
                <w:b w:val="1"/>
                <w:bCs w:val="1"/>
                <w:color w:val="auto"/>
              </w:rPr>
              <w:t>Annual Equity Retainer</w:t>
            </w:r>
          </w:p>
        </w:tc>
        <w:tc>
          <w:tcPr>
            <w:tcW w:w="6440" w:type="dxa"/>
            <w:vAlign w:val="bottom"/>
            <w:tcBorders>
              <w:top w:val="single" w:sz="8" w:color="808080"/>
            </w:tcBorders>
          </w:tcPr>
          <w:p>
            <w:pPr>
              <w:ind w:left="840"/>
              <w:spacing w:after="0"/>
              <w:rPr>
                <w:sz w:val="20"/>
                <w:szCs w:val="20"/>
                <w:color w:val="auto"/>
              </w:rPr>
            </w:pPr>
            <w:r>
              <w:rPr>
                <w:rFonts w:ascii="Arial" w:cs="Arial" w:eastAsia="Arial" w:hAnsi="Arial"/>
                <w:sz w:val="14"/>
                <w:szCs w:val="14"/>
                <w:color w:val="auto"/>
              </w:rPr>
              <w:t>$162,500 per year, payable under the Directors Equity Plan</w:t>
            </w:r>
          </w:p>
        </w:tc>
      </w:tr>
      <w:tr>
        <w:trPr>
          <w:trHeight w:val="26"/>
        </w:trPr>
        <w:tc>
          <w:tcPr>
            <w:tcW w:w="4800" w:type="dxa"/>
            <w:vAlign w:val="bottom"/>
            <w:tcBorders>
              <w:bottom w:val="single" w:sz="8" w:color="808080"/>
            </w:tcBorders>
          </w:tcPr>
          <w:p>
            <w:pPr>
              <w:spacing w:after="0"/>
              <w:rPr>
                <w:sz w:val="2"/>
                <w:szCs w:val="2"/>
                <w:color w:val="auto"/>
              </w:rPr>
            </w:pPr>
          </w:p>
        </w:tc>
        <w:tc>
          <w:tcPr>
            <w:tcW w:w="6440" w:type="dxa"/>
            <w:vAlign w:val="bottom"/>
            <w:tcBorders>
              <w:bottom w:val="single" w:sz="8" w:color="808080"/>
            </w:tcBorders>
          </w:tcPr>
          <w:p>
            <w:pPr>
              <w:spacing w:after="0"/>
              <w:rPr>
                <w:sz w:val="2"/>
                <w:szCs w:val="2"/>
                <w:color w:val="auto"/>
              </w:rPr>
            </w:pPr>
          </w:p>
        </w:tc>
      </w:tr>
      <w:tr>
        <w:trPr>
          <w:trHeight w:val="183"/>
        </w:trPr>
        <w:tc>
          <w:tcPr>
            <w:tcW w:w="480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b w:val="1"/>
                <w:bCs w:val="1"/>
                <w:color w:val="auto"/>
              </w:rPr>
              <w:t>Audit Committee Chairman Cash Retainer</w:t>
            </w:r>
          </w:p>
        </w:tc>
        <w:tc>
          <w:tcPr>
            <w:tcW w:w="6440" w:type="dxa"/>
            <w:vAlign w:val="bottom"/>
            <w:tcBorders>
              <w:bottom w:val="single" w:sz="8" w:color="808080"/>
            </w:tcBorders>
            <w:shd w:val="clear" w:color="auto" w:fill="E5E7EF"/>
          </w:tcPr>
          <w:p>
            <w:pPr>
              <w:ind w:left="840"/>
              <w:spacing w:after="0"/>
              <w:rPr>
                <w:sz w:val="20"/>
                <w:szCs w:val="20"/>
                <w:color w:val="auto"/>
              </w:rPr>
            </w:pPr>
            <w:r>
              <w:rPr>
                <w:rFonts w:ascii="Arial" w:cs="Arial" w:eastAsia="Arial" w:hAnsi="Arial"/>
                <w:sz w:val="14"/>
                <w:szCs w:val="14"/>
                <w:color w:val="auto"/>
              </w:rPr>
              <w:t>$30,000 per year</w:t>
            </w:r>
          </w:p>
        </w:tc>
      </w:tr>
      <w:tr>
        <w:trPr>
          <w:trHeight w:val="183"/>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Management Development and Compensation Committee</w:t>
            </w:r>
          </w:p>
        </w:tc>
        <w:tc>
          <w:tcPr>
            <w:tcW w:w="6440" w:type="dxa"/>
            <w:vAlign w:val="bottom"/>
          </w:tcPr>
          <w:p>
            <w:pPr>
              <w:ind w:left="840"/>
              <w:spacing w:after="0"/>
              <w:rPr>
                <w:sz w:val="20"/>
                <w:szCs w:val="20"/>
                <w:color w:val="auto"/>
              </w:rPr>
            </w:pPr>
            <w:r>
              <w:rPr>
                <w:rFonts w:ascii="Arial" w:cs="Arial" w:eastAsia="Arial" w:hAnsi="Arial"/>
                <w:sz w:val="14"/>
                <w:szCs w:val="14"/>
                <w:color w:val="auto"/>
              </w:rPr>
              <w:t>$30,000 per year</w:t>
            </w:r>
          </w:p>
        </w:tc>
      </w:tr>
      <w:tr>
        <w:trPr>
          <w:trHeight w:val="190"/>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Chairman Cash Retainer</w:t>
            </w:r>
          </w:p>
        </w:tc>
        <w:tc>
          <w:tcPr>
            <w:tcW w:w="6440" w:type="dxa"/>
            <w:vAlign w:val="bottom"/>
          </w:tcPr>
          <w:p>
            <w:pPr>
              <w:spacing w:after="0"/>
              <w:rPr>
                <w:sz w:val="16"/>
                <w:szCs w:val="16"/>
                <w:color w:val="auto"/>
              </w:rPr>
            </w:pPr>
          </w:p>
        </w:tc>
      </w:tr>
      <w:tr>
        <w:trPr>
          <w:trHeight w:val="25"/>
        </w:trPr>
        <w:tc>
          <w:tcPr>
            <w:tcW w:w="4800" w:type="dxa"/>
            <w:vAlign w:val="bottom"/>
            <w:tcBorders>
              <w:bottom w:val="single" w:sz="8" w:color="808080"/>
            </w:tcBorders>
          </w:tcPr>
          <w:p>
            <w:pPr>
              <w:spacing w:after="0"/>
              <w:rPr>
                <w:sz w:val="2"/>
                <w:szCs w:val="2"/>
                <w:color w:val="auto"/>
              </w:rPr>
            </w:pPr>
          </w:p>
        </w:tc>
        <w:tc>
          <w:tcPr>
            <w:tcW w:w="6440" w:type="dxa"/>
            <w:vAlign w:val="bottom"/>
            <w:tcBorders>
              <w:bottom w:val="single" w:sz="8" w:color="808080"/>
            </w:tcBorders>
          </w:tcPr>
          <w:p>
            <w:pPr>
              <w:spacing w:after="0"/>
              <w:rPr>
                <w:sz w:val="2"/>
                <w:szCs w:val="2"/>
                <w:color w:val="auto"/>
              </w:rPr>
            </w:pPr>
          </w:p>
        </w:tc>
      </w:tr>
      <w:tr>
        <w:trPr>
          <w:trHeight w:val="183"/>
        </w:trPr>
        <w:tc>
          <w:tcPr>
            <w:tcW w:w="480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b w:val="1"/>
                <w:bCs w:val="1"/>
                <w:color w:val="auto"/>
              </w:rPr>
              <w:t>Other Committee Chairman Cash Retainers</w:t>
            </w:r>
          </w:p>
        </w:tc>
        <w:tc>
          <w:tcPr>
            <w:tcW w:w="6440" w:type="dxa"/>
            <w:vAlign w:val="bottom"/>
            <w:tcBorders>
              <w:bottom w:val="single" w:sz="8" w:color="808080"/>
            </w:tcBorders>
            <w:shd w:val="clear" w:color="auto" w:fill="E5E7EF"/>
          </w:tcPr>
          <w:p>
            <w:pPr>
              <w:ind w:left="840"/>
              <w:spacing w:after="0"/>
              <w:rPr>
                <w:sz w:val="20"/>
                <w:szCs w:val="20"/>
                <w:color w:val="auto"/>
              </w:rPr>
            </w:pPr>
            <w:r>
              <w:rPr>
                <w:rFonts w:ascii="Arial" w:cs="Arial" w:eastAsia="Arial" w:hAnsi="Arial"/>
                <w:sz w:val="14"/>
                <w:szCs w:val="14"/>
                <w:color w:val="auto"/>
              </w:rPr>
              <w:t>$20,000 per year</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Independent Lead Director Cash Retainer</w:t>
            </w:r>
          </w:p>
        </w:tc>
        <w:tc>
          <w:tcPr>
            <w:tcW w:w="6440" w:type="dxa"/>
            <w:vAlign w:val="bottom"/>
          </w:tcPr>
          <w:p>
            <w:pPr>
              <w:ind w:left="840"/>
              <w:spacing w:after="0"/>
              <w:rPr>
                <w:sz w:val="20"/>
                <w:szCs w:val="20"/>
                <w:color w:val="auto"/>
              </w:rPr>
            </w:pPr>
            <w:r>
              <w:rPr>
                <w:rFonts w:ascii="Arial" w:cs="Arial" w:eastAsia="Arial" w:hAnsi="Arial"/>
                <w:sz w:val="14"/>
                <w:szCs w:val="14"/>
                <w:color w:val="auto"/>
              </w:rPr>
              <w:t>$50,000 per year</w:t>
            </w:r>
          </w:p>
        </w:tc>
      </w:tr>
      <w:tr>
        <w:trPr>
          <w:trHeight w:val="25"/>
        </w:trPr>
        <w:tc>
          <w:tcPr>
            <w:tcW w:w="4800" w:type="dxa"/>
            <w:vAlign w:val="bottom"/>
            <w:tcBorders>
              <w:bottom w:val="single" w:sz="8" w:color="808080"/>
            </w:tcBorders>
          </w:tcPr>
          <w:p>
            <w:pPr>
              <w:spacing w:after="0"/>
              <w:rPr>
                <w:sz w:val="2"/>
                <w:szCs w:val="2"/>
                <w:color w:val="auto"/>
              </w:rPr>
            </w:pPr>
          </w:p>
        </w:tc>
        <w:tc>
          <w:tcPr>
            <w:tcW w:w="6440" w:type="dxa"/>
            <w:vAlign w:val="bottom"/>
            <w:tcBorders>
              <w:bottom w:val="single" w:sz="8" w:color="808080"/>
            </w:tcBorders>
          </w:tcPr>
          <w:p>
            <w:pPr>
              <w:spacing w:after="0"/>
              <w:rPr>
                <w:sz w:val="2"/>
                <w:szCs w:val="2"/>
                <w:color w:val="auto"/>
              </w:rPr>
            </w:pPr>
          </w:p>
        </w:tc>
      </w:tr>
      <w:tr>
        <w:trPr>
          <w:trHeight w:val="183"/>
        </w:trPr>
        <w:tc>
          <w:tcPr>
            <w:tcW w:w="480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b w:val="1"/>
                <w:bCs w:val="1"/>
                <w:color w:val="auto"/>
              </w:rPr>
              <w:t>Director Education</w:t>
            </w:r>
          </w:p>
        </w:tc>
        <w:tc>
          <w:tcPr>
            <w:tcW w:w="6440" w:type="dxa"/>
            <w:vAlign w:val="bottom"/>
            <w:tcBorders>
              <w:bottom w:val="single" w:sz="8" w:color="808080"/>
            </w:tcBorders>
            <w:shd w:val="clear" w:color="auto" w:fill="E5E7EF"/>
          </w:tcPr>
          <w:p>
            <w:pPr>
              <w:ind w:left="840"/>
              <w:spacing w:after="0"/>
              <w:rPr>
                <w:sz w:val="20"/>
                <w:szCs w:val="20"/>
                <w:color w:val="auto"/>
              </w:rPr>
            </w:pPr>
            <w:r>
              <w:rPr>
                <w:rFonts w:ascii="Arial" w:cs="Arial" w:eastAsia="Arial" w:hAnsi="Arial"/>
                <w:sz w:val="14"/>
                <w:szCs w:val="14"/>
                <w:color w:val="auto"/>
              </w:rPr>
              <w:t>Reimbursed for costs and expenses</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475C90"/>
        </w:rPr>
        <w:t>Equity Compensation</w:t>
      </w:r>
    </w:p>
    <w:p>
      <w:pPr>
        <w:spacing w:after="0" w:line="1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annual equity retainer is paid in stock units under the Lockheed Martin Corporation Amended and Restated Directors Equity Plan (Directors Equity Plan). Except in certain circumstances, stock units vest 50 percent on June 30 and 50 percent on December 31 following the grant date. Upon a change in control or a director’s retirement, death, or disability, the director’s stock units become fully vested. Upon a director’s termination of service from our Board, we distribute the vested stock units, at the director’s election, in whole shares of stock or in cash, in a lump sum or in annual installments over a period of up to 20 years. Prior to distribution, a director has no voting, dividend or other rights with respect to the stock units held under the Directors Equity Plan, but is credited with additional stock units representing dividend equivalents (converted to stock units based on the closing price of our stock on the dividend payment dates). The Directors Equity Plan provides that a director eligible for retirement at the next annual meeting receives a prorated grant (one-third) for the four months of service prior to the annual meeting.</w:t>
      </w:r>
    </w:p>
    <w:p>
      <w:pPr>
        <w:spacing w:after="0" w:line="10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Consistent with the terms of the Directors Equity Plan, a director who has satisfied the Board’s stock ownership guidelines may elect to have vested stock units awarded on or after January 1, 2018 (together with any dividend equivalents thereon) paid in a lump sum on the first business day of April following vesting of the award rather than following termination of Board service. Any director who has not elected early payments or has not satisfied the stock ownership guidelines will continue to be paid along with any accumulated dividend equivalents upon termination or retirement from the Board.</w:t>
      </w:r>
    </w:p>
    <w:p>
      <w:pPr>
        <w:spacing w:after="0" w:line="9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Although the Directors Equity Plan authorizes the grant of stock units or stock options, in June 2014, the Board approved a resolution to the effect that each non-employee director would elect to receive the equity portion of the retainer in the form of stock units for each year beginning with 2015 and would not elect options to purchase shares unless the Board resolution is further amended or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262255</wp:posOffset>
            </wp:positionV>
            <wp:extent cx="969010" cy="2228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76</w:t>
      </w:r>
    </w:p>
    <w:p>
      <w:pPr>
        <w:sectPr>
          <w:pgSz w:w="11900" w:h="16838" w:orient="portrait"/>
          <w:cols w:equalWidth="0" w:num="1">
            <w:col w:w="11240"/>
          </w:cols>
          <w:pgMar w:left="320" w:top="1340" w:right="339" w:bottom="1440" w:gutter="0" w:footer="0" w:header="0"/>
        </w:sectPr>
      </w:pPr>
    </w:p>
    <w:bookmarkStart w:id="80" w:name="page81"/>
    <w:bookmarkEnd w:id="80"/>
    <w:p>
      <w:pPr>
        <w:ind w:left="9680"/>
        <w:spacing w:after="0"/>
        <w:rPr>
          <w:sz w:val="20"/>
          <w:szCs w:val="20"/>
          <w:color w:val="auto"/>
        </w:rPr>
      </w:pPr>
      <w:r>
        <w:rPr>
          <w:rFonts w:ascii="Arial" w:cs="Arial" w:eastAsia="Arial" w:hAnsi="Arial"/>
          <w:sz w:val="15"/>
          <w:szCs w:val="15"/>
          <w:color w:val="003478"/>
        </w:rPr>
        <w:t>Director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Deferred Compensation</w:t>
      </w:r>
    </w:p>
    <w:p>
      <w:pPr>
        <w:spacing w:after="0" w:line="1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Lockheed Martin Corporation Directors Deferred Compensation Plan (Directors Deferred Compensation Plan) provides non-employee directors the opportunity to defer up to 100 percent of the cash portion of their fees. At the director's election, deferred amounts track the performance of: (i) the investment options available under the employee deferred compensation plans; or (ii) our common stock (with dividends reinvested). Deferred amounts are distributed in a lump sum or in up to 15 annual installments commencing at a time designated by the director following termination.</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color w:val="475C90"/>
        </w:rPr>
        <w:t>Director Stock Ownership Guidelines</w:t>
      </w:r>
    </w:p>
    <w:p>
      <w:pPr>
        <w:spacing w:after="0" w:line="12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To align their interests with the long-term interests of our stockholders, we expect our directors to maintain an ownership interest in the Corporation. Under our stock ownership guidelines for directors, non-employee directors have five years from the time they join the Board to achieve stock ownership levels (common stock or stock units) equivalent to five times the annual cash retainer. Each non-employee director has exceeded the stock ownership guidelines, except for Mr. Dunford, Mr. Johnson, Ms. Hollub and Ms. Reed-Klages (who joined the Board within the past three years). Mr. Taiclet is subject to the Stock Ownership Requirements for Key Employees as described on page 56.</w:t>
      </w:r>
    </w:p>
    <w:p>
      <w:pPr>
        <w:spacing w:after="0" w:line="85" w:lineRule="exact"/>
        <w:rPr>
          <w:sz w:val="20"/>
          <w:szCs w:val="20"/>
          <w:color w:val="auto"/>
        </w:rPr>
      </w:pPr>
    </w:p>
    <w:p>
      <w:pPr>
        <w:spacing w:after="0"/>
        <w:rPr>
          <w:sz w:val="20"/>
          <w:szCs w:val="20"/>
          <w:color w:val="auto"/>
        </w:rPr>
      </w:pPr>
      <w:r>
        <w:rPr>
          <w:rFonts w:ascii="Arial" w:cs="Arial" w:eastAsia="Arial" w:hAnsi="Arial"/>
          <w:sz w:val="29"/>
          <w:szCs w:val="29"/>
          <w:color w:val="002E6D"/>
        </w:rPr>
        <w:t>2020 Director Compensation Table</w:t>
      </w:r>
    </w:p>
    <w:p>
      <w:pPr>
        <w:spacing w:after="0" w:line="123"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The following table provides information on the compensation of our directors for the fiscal year ended December 31, 2020. Ms. Hewson did not receive separate compensation for service as a director of the Corporation during 2020. Mr. Taiclet received compensation for service as a director of the Corporation until he became President and Chief Executive Officer on June 15, 2020. Mr. Taiclet's 2020 director compensation is reported in the Summary Compensation Table, Stock Awards column (e) and All Other Compensation column (i), on page 58.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shd w:val="clear" w:color="auto" w:fill="E5E7EF"/>
          </w:tcPr>
          <w:p>
            <w:pPr>
              <w:spacing w:after="0"/>
              <w:rPr>
                <w:sz w:val="14"/>
                <w:szCs w:val="14"/>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Fees Earned or</w:t>
            </w:r>
          </w:p>
        </w:tc>
        <w:tc>
          <w:tcPr>
            <w:tcW w:w="1160" w:type="dxa"/>
            <w:vAlign w:val="bottom"/>
            <w:shd w:val="clear" w:color="auto" w:fill="E5E7EF"/>
          </w:tcPr>
          <w:p>
            <w:pPr>
              <w:spacing w:after="0"/>
              <w:rPr>
                <w:sz w:val="14"/>
                <w:szCs w:val="14"/>
                <w:color w:val="auto"/>
              </w:rPr>
            </w:pPr>
          </w:p>
        </w:tc>
        <w:tc>
          <w:tcPr>
            <w:tcW w:w="1500" w:type="dxa"/>
            <w:vAlign w:val="bottom"/>
            <w:shd w:val="clear" w:color="auto" w:fill="E5E7EF"/>
          </w:tcPr>
          <w:p>
            <w:pPr>
              <w:jc w:val="right"/>
              <w:ind w:right="211"/>
              <w:spacing w:after="0"/>
              <w:rPr>
                <w:sz w:val="20"/>
                <w:szCs w:val="20"/>
                <w:color w:val="auto"/>
              </w:rPr>
            </w:pPr>
            <w:r>
              <w:rPr>
                <w:rFonts w:ascii="Arial" w:cs="Arial" w:eastAsia="Arial" w:hAnsi="Arial"/>
                <w:sz w:val="13"/>
                <w:szCs w:val="13"/>
                <w:color w:val="auto"/>
              </w:rPr>
              <w:t>All Other</w:t>
            </w:r>
          </w:p>
        </w:tc>
        <w:tc>
          <w:tcPr>
            <w:tcW w:w="820" w:type="dxa"/>
            <w:vAlign w:val="bottom"/>
            <w:shd w:val="clear" w:color="auto" w:fill="E5E7EF"/>
          </w:tcPr>
          <w:p>
            <w:pPr>
              <w:spacing w:after="0"/>
              <w:rPr>
                <w:sz w:val="14"/>
                <w:szCs w:val="14"/>
                <w:color w:val="auto"/>
              </w:rPr>
            </w:pPr>
          </w:p>
        </w:tc>
      </w:tr>
      <w:tr>
        <w:trPr>
          <w:trHeight w:val="152"/>
        </w:trPr>
        <w:tc>
          <w:tcPr>
            <w:tcW w:w="6400" w:type="dxa"/>
            <w:vAlign w:val="bottom"/>
            <w:shd w:val="clear" w:color="auto" w:fill="E5E7EF"/>
          </w:tcPr>
          <w:p>
            <w:pPr>
              <w:spacing w:after="0"/>
              <w:rPr>
                <w:sz w:val="13"/>
                <w:szCs w:val="13"/>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Paid in Cash</w:t>
            </w:r>
          </w:p>
        </w:tc>
        <w:tc>
          <w:tcPr>
            <w:tcW w:w="11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Stock Awards</w:t>
            </w:r>
          </w:p>
        </w:tc>
        <w:tc>
          <w:tcPr>
            <w:tcW w:w="1500" w:type="dxa"/>
            <w:vAlign w:val="bottom"/>
            <w:shd w:val="clear" w:color="auto" w:fill="E5E7EF"/>
          </w:tcPr>
          <w:p>
            <w:pPr>
              <w:jc w:val="right"/>
              <w:ind w:right="211"/>
              <w:spacing w:after="0"/>
              <w:rPr>
                <w:sz w:val="20"/>
                <w:szCs w:val="20"/>
                <w:color w:val="auto"/>
              </w:rPr>
            </w:pPr>
            <w:r>
              <w:rPr>
                <w:rFonts w:ascii="Arial" w:cs="Arial" w:eastAsia="Arial" w:hAnsi="Arial"/>
                <w:sz w:val="13"/>
                <w:szCs w:val="13"/>
                <w:color w:val="auto"/>
              </w:rPr>
              <w:t>Compensation</w:t>
            </w:r>
          </w:p>
        </w:tc>
        <w:tc>
          <w:tcPr>
            <w:tcW w:w="8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Total</w:t>
            </w:r>
          </w:p>
        </w:tc>
      </w:tr>
      <w:tr>
        <w:trPr>
          <w:trHeight w:val="237"/>
        </w:trPr>
        <w:tc>
          <w:tcPr>
            <w:tcW w:w="640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3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E5E7EF"/>
            </w:tcBorders>
            <w:shd w:val="clear" w:color="auto" w:fill="E5E7EF"/>
          </w:tcPr>
          <w:p>
            <w:pPr>
              <w:jc w:val="right"/>
              <w:ind w:right="211"/>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6400" w:type="dxa"/>
            <w:vAlign w:val="bottom"/>
            <w:tcBorders>
              <w:top w:val="single" w:sz="8" w:color="868686"/>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1360" w:type="dxa"/>
            <w:vAlign w:val="bottom"/>
            <w:tcBorders>
              <w:top w:val="single" w:sz="8" w:color="868686"/>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1160" w:type="dxa"/>
            <w:vAlign w:val="bottom"/>
            <w:tcBorders>
              <w:top w:val="single" w:sz="8" w:color="868686"/>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(c)</w:t>
            </w:r>
          </w:p>
        </w:tc>
        <w:tc>
          <w:tcPr>
            <w:tcW w:w="1500" w:type="dxa"/>
            <w:vAlign w:val="bottom"/>
            <w:tcBorders>
              <w:top w:val="single" w:sz="8" w:color="868686"/>
              <w:bottom w:val="single" w:sz="8" w:color="E5E7EF"/>
            </w:tcBorders>
            <w:shd w:val="clear" w:color="auto" w:fill="E5E7EF"/>
          </w:tcPr>
          <w:p>
            <w:pPr>
              <w:jc w:val="right"/>
              <w:ind w:right="211"/>
              <w:spacing w:after="0"/>
              <w:rPr>
                <w:sz w:val="20"/>
                <w:szCs w:val="20"/>
                <w:color w:val="auto"/>
              </w:rPr>
            </w:pPr>
            <w:r>
              <w:rPr>
                <w:rFonts w:ascii="Arial" w:cs="Arial" w:eastAsia="Arial" w:hAnsi="Arial"/>
                <w:sz w:val="13"/>
                <w:szCs w:val="13"/>
                <w:color w:val="auto"/>
              </w:rPr>
              <w:t>(g)</w:t>
            </w:r>
          </w:p>
        </w:tc>
        <w:tc>
          <w:tcPr>
            <w:tcW w:w="820" w:type="dxa"/>
            <w:vAlign w:val="bottom"/>
            <w:tcBorders>
              <w:top w:val="single" w:sz="8" w:color="868686"/>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(h)</w:t>
            </w:r>
          </w:p>
        </w:tc>
      </w:tr>
      <w:tr>
        <w:trPr>
          <w:trHeight w:val="183"/>
        </w:trPr>
        <w:tc>
          <w:tcPr>
            <w:tcW w:w="6400" w:type="dxa"/>
            <w:vAlign w:val="bottom"/>
            <w:tcBorders>
              <w:top w:val="single" w:sz="8" w:color="868686"/>
              <w:bottom w:val="single" w:sz="8" w:color="929292"/>
            </w:tcBorders>
          </w:tcPr>
          <w:p>
            <w:pPr>
              <w:ind w:left="20"/>
              <w:spacing w:after="0"/>
              <w:rPr>
                <w:sz w:val="20"/>
                <w:szCs w:val="20"/>
                <w:color w:val="auto"/>
              </w:rPr>
            </w:pPr>
            <w:r>
              <w:rPr>
                <w:rFonts w:ascii="Arial" w:cs="Arial" w:eastAsia="Arial" w:hAnsi="Arial"/>
                <w:sz w:val="14"/>
                <w:szCs w:val="14"/>
                <w:b w:val="1"/>
                <w:bCs w:val="1"/>
                <w:color w:val="002E6D"/>
              </w:rPr>
              <w:t>Daniel F. Akerson</w:t>
            </w:r>
          </w:p>
        </w:tc>
        <w:tc>
          <w:tcPr>
            <w:tcW w:w="1360" w:type="dxa"/>
            <w:vAlign w:val="bottom"/>
            <w:tcBorders>
              <w:top w:val="single" w:sz="8" w:color="868686"/>
              <w:bottom w:val="single" w:sz="8" w:color="929292"/>
            </w:tcBorders>
            <w:shd w:val="clear" w:color="auto" w:fill="E5E7EF"/>
          </w:tcPr>
          <w:p>
            <w:pPr>
              <w:jc w:val="right"/>
              <w:spacing w:after="0"/>
              <w:rPr>
                <w:sz w:val="20"/>
                <w:szCs w:val="20"/>
                <w:color w:val="auto"/>
              </w:rPr>
            </w:pPr>
            <w:r>
              <w:rPr>
                <w:rFonts w:ascii="Arial" w:cs="Arial" w:eastAsia="Arial" w:hAnsi="Arial"/>
                <w:sz w:val="14"/>
                <w:szCs w:val="14"/>
                <w:color w:val="auto"/>
              </w:rPr>
              <w:t>232,500</w:t>
            </w:r>
          </w:p>
        </w:tc>
        <w:tc>
          <w:tcPr>
            <w:tcW w:w="1160" w:type="dxa"/>
            <w:vAlign w:val="bottom"/>
            <w:tcBorders>
              <w:top w:val="single" w:sz="8" w:color="868686"/>
              <w:bottom w:val="single" w:sz="8" w:color="929292"/>
            </w:tcBorders>
            <w:shd w:val="clear" w:color="auto" w:fill="E5E7EF"/>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top w:val="single" w:sz="8" w:color="868686"/>
              <w:bottom w:val="single" w:sz="8" w:color="929292"/>
            </w:tcBorders>
            <w:shd w:val="clear" w:color="auto" w:fill="E5E7EF"/>
          </w:tcPr>
          <w:p>
            <w:pPr>
              <w:jc w:val="right"/>
              <w:ind w:right="211"/>
              <w:spacing w:after="0"/>
              <w:rPr>
                <w:sz w:val="20"/>
                <w:szCs w:val="20"/>
                <w:color w:val="auto"/>
              </w:rPr>
            </w:pPr>
            <w:r>
              <w:rPr>
                <w:rFonts w:ascii="Arial" w:cs="Arial" w:eastAsia="Arial" w:hAnsi="Arial"/>
                <w:sz w:val="14"/>
                <w:szCs w:val="14"/>
                <w:color w:val="auto"/>
              </w:rPr>
              <w:t>46</w:t>
            </w:r>
          </w:p>
        </w:tc>
        <w:tc>
          <w:tcPr>
            <w:tcW w:w="820" w:type="dxa"/>
            <w:vAlign w:val="bottom"/>
            <w:tcBorders>
              <w:top w:val="single" w:sz="8" w:color="868686"/>
              <w:bottom w:val="single" w:sz="8" w:color="929292"/>
            </w:tcBorders>
            <w:shd w:val="clear" w:color="auto" w:fill="E5E7EF"/>
          </w:tcPr>
          <w:p>
            <w:pPr>
              <w:jc w:val="right"/>
              <w:spacing w:after="0"/>
              <w:rPr>
                <w:sz w:val="20"/>
                <w:szCs w:val="20"/>
                <w:color w:val="auto"/>
              </w:rPr>
            </w:pPr>
            <w:r>
              <w:rPr>
                <w:rFonts w:ascii="Arial" w:cs="Arial" w:eastAsia="Arial" w:hAnsi="Arial"/>
                <w:sz w:val="14"/>
                <w:szCs w:val="14"/>
                <w:color w:val="auto"/>
              </w:rPr>
              <w:t>395,046</w:t>
            </w:r>
          </w:p>
        </w:tc>
      </w:tr>
      <w:tr>
        <w:trPr>
          <w:trHeight w:val="183"/>
        </w:trPr>
        <w:tc>
          <w:tcPr>
            <w:tcW w:w="640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2E6D"/>
              </w:rPr>
              <w:t>David B. Burritt</w:t>
            </w:r>
          </w:p>
        </w:tc>
        <w:tc>
          <w:tcPr>
            <w:tcW w:w="13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162,500</w:t>
            </w:r>
          </w:p>
        </w:tc>
        <w:tc>
          <w:tcPr>
            <w:tcW w:w="11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tcPr>
          <w:p>
            <w:pPr>
              <w:jc w:val="right"/>
              <w:ind w:right="211"/>
              <w:spacing w:after="0"/>
              <w:rPr>
                <w:sz w:val="20"/>
                <w:szCs w:val="20"/>
                <w:color w:val="auto"/>
              </w:rPr>
            </w:pPr>
            <w:r>
              <w:rPr>
                <w:rFonts w:ascii="Arial" w:cs="Arial" w:eastAsia="Arial" w:hAnsi="Arial"/>
                <w:sz w:val="14"/>
                <w:szCs w:val="14"/>
                <w:color w:val="auto"/>
              </w:rPr>
              <w:t>335</w:t>
            </w:r>
          </w:p>
        </w:tc>
        <w:tc>
          <w:tcPr>
            <w:tcW w:w="82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325,335</w:t>
            </w:r>
          </w:p>
        </w:tc>
      </w:tr>
      <w:tr>
        <w:trPr>
          <w:trHeight w:val="183"/>
        </w:trPr>
        <w:tc>
          <w:tcPr>
            <w:tcW w:w="640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2E6D"/>
              </w:rPr>
              <w:t>Bruce A. Carlson</w:t>
            </w:r>
          </w:p>
        </w:tc>
        <w:tc>
          <w:tcPr>
            <w:tcW w:w="136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162,500</w:t>
            </w:r>
          </w:p>
        </w:tc>
        <w:tc>
          <w:tcPr>
            <w:tcW w:w="116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shd w:val="clear" w:color="auto" w:fill="E5E7EF"/>
          </w:tcPr>
          <w:p>
            <w:pPr>
              <w:jc w:val="right"/>
              <w:ind w:right="211"/>
              <w:spacing w:after="0"/>
              <w:rPr>
                <w:sz w:val="20"/>
                <w:szCs w:val="20"/>
                <w:color w:val="auto"/>
              </w:rPr>
            </w:pPr>
            <w:r>
              <w:rPr>
                <w:rFonts w:ascii="Arial" w:cs="Arial" w:eastAsia="Arial" w:hAnsi="Arial"/>
                <w:sz w:val="14"/>
                <w:szCs w:val="14"/>
                <w:color w:val="auto"/>
              </w:rPr>
              <w:t>1,815</w:t>
            </w:r>
          </w:p>
        </w:tc>
        <w:tc>
          <w:tcPr>
            <w:tcW w:w="82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326,815</w:t>
            </w:r>
          </w:p>
        </w:tc>
      </w:tr>
      <w:tr>
        <w:trPr>
          <w:trHeight w:val="183"/>
        </w:trPr>
        <w:tc>
          <w:tcPr>
            <w:tcW w:w="640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2E6D"/>
              </w:rPr>
              <w:t>Joseph F. Dunford, Jr.*</w:t>
            </w:r>
          </w:p>
        </w:tc>
        <w:tc>
          <w:tcPr>
            <w:tcW w:w="13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143,750</w:t>
            </w:r>
          </w:p>
        </w:tc>
        <w:tc>
          <w:tcPr>
            <w:tcW w:w="11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135,417</w:t>
            </w:r>
          </w:p>
        </w:tc>
        <w:tc>
          <w:tcPr>
            <w:tcW w:w="1500" w:type="dxa"/>
            <w:vAlign w:val="bottom"/>
            <w:tcBorders>
              <w:bottom w:val="single" w:sz="8" w:color="868686"/>
            </w:tcBorders>
          </w:tcPr>
          <w:p>
            <w:pPr>
              <w:jc w:val="right"/>
              <w:ind w:right="211"/>
              <w:spacing w:after="0"/>
              <w:rPr>
                <w:sz w:val="20"/>
                <w:szCs w:val="20"/>
                <w:color w:val="auto"/>
              </w:rPr>
            </w:pPr>
            <w:r>
              <w:rPr>
                <w:rFonts w:ascii="Arial" w:cs="Arial" w:eastAsia="Arial" w:hAnsi="Arial"/>
                <w:sz w:val="14"/>
                <w:szCs w:val="14"/>
                <w:color w:val="auto"/>
              </w:rPr>
              <w:t>0</w:t>
            </w:r>
          </w:p>
        </w:tc>
        <w:tc>
          <w:tcPr>
            <w:tcW w:w="82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279,167</w:t>
            </w:r>
          </w:p>
        </w:tc>
      </w:tr>
      <w:tr>
        <w:trPr>
          <w:trHeight w:val="183"/>
        </w:trPr>
        <w:tc>
          <w:tcPr>
            <w:tcW w:w="640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2E6D"/>
              </w:rPr>
              <w:t>James O. Ellis, Jr.</w:t>
            </w:r>
          </w:p>
        </w:tc>
        <w:tc>
          <w:tcPr>
            <w:tcW w:w="136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182,500</w:t>
            </w:r>
          </w:p>
        </w:tc>
        <w:tc>
          <w:tcPr>
            <w:tcW w:w="116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shd w:val="clear" w:color="auto" w:fill="E5E7EF"/>
          </w:tcPr>
          <w:p>
            <w:pPr>
              <w:jc w:val="right"/>
              <w:ind w:right="211"/>
              <w:spacing w:after="0"/>
              <w:rPr>
                <w:sz w:val="20"/>
                <w:szCs w:val="20"/>
                <w:color w:val="auto"/>
              </w:rPr>
            </w:pPr>
            <w:r>
              <w:rPr>
                <w:rFonts w:ascii="Arial" w:cs="Arial" w:eastAsia="Arial" w:hAnsi="Arial"/>
                <w:sz w:val="14"/>
                <w:szCs w:val="14"/>
                <w:color w:val="auto"/>
              </w:rPr>
              <w:t>5,683</w:t>
            </w:r>
          </w:p>
        </w:tc>
        <w:tc>
          <w:tcPr>
            <w:tcW w:w="82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350,683</w:t>
            </w:r>
          </w:p>
        </w:tc>
      </w:tr>
      <w:tr>
        <w:trPr>
          <w:trHeight w:val="182"/>
        </w:trPr>
        <w:tc>
          <w:tcPr>
            <w:tcW w:w="640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2E6D"/>
              </w:rPr>
              <w:t>Thomas J. Falk</w:t>
            </w:r>
          </w:p>
        </w:tc>
        <w:tc>
          <w:tcPr>
            <w:tcW w:w="13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192,500</w:t>
            </w:r>
          </w:p>
        </w:tc>
        <w:tc>
          <w:tcPr>
            <w:tcW w:w="11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tcPr>
          <w:p>
            <w:pPr>
              <w:jc w:val="right"/>
              <w:ind w:right="211"/>
              <w:spacing w:after="0"/>
              <w:rPr>
                <w:sz w:val="20"/>
                <w:szCs w:val="20"/>
                <w:color w:val="auto"/>
              </w:rPr>
            </w:pPr>
            <w:r>
              <w:rPr>
                <w:rFonts w:ascii="Arial" w:cs="Arial" w:eastAsia="Arial" w:hAnsi="Arial"/>
                <w:sz w:val="14"/>
                <w:szCs w:val="14"/>
                <w:color w:val="auto"/>
              </w:rPr>
              <w:t>10,295</w:t>
            </w:r>
          </w:p>
        </w:tc>
        <w:tc>
          <w:tcPr>
            <w:tcW w:w="82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365,295</w:t>
            </w:r>
          </w:p>
        </w:tc>
      </w:tr>
      <w:tr>
        <w:trPr>
          <w:trHeight w:val="183"/>
        </w:trPr>
        <w:tc>
          <w:tcPr>
            <w:tcW w:w="640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2E6D"/>
              </w:rPr>
              <w:t>Ilene S. Gordon</w:t>
            </w:r>
          </w:p>
        </w:tc>
        <w:tc>
          <w:tcPr>
            <w:tcW w:w="136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192,500</w:t>
            </w:r>
          </w:p>
        </w:tc>
        <w:tc>
          <w:tcPr>
            <w:tcW w:w="116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shd w:val="clear" w:color="auto" w:fill="E5E7EF"/>
          </w:tcPr>
          <w:p>
            <w:pPr>
              <w:jc w:val="right"/>
              <w:ind w:right="211"/>
              <w:spacing w:after="0"/>
              <w:rPr>
                <w:sz w:val="20"/>
                <w:szCs w:val="20"/>
                <w:color w:val="auto"/>
              </w:rPr>
            </w:pPr>
            <w:r>
              <w:rPr>
                <w:rFonts w:ascii="Arial" w:cs="Arial" w:eastAsia="Arial" w:hAnsi="Arial"/>
                <w:sz w:val="14"/>
                <w:szCs w:val="14"/>
                <w:color w:val="auto"/>
              </w:rPr>
              <w:t>12,312</w:t>
            </w:r>
          </w:p>
        </w:tc>
        <w:tc>
          <w:tcPr>
            <w:tcW w:w="82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367,312</w:t>
            </w:r>
          </w:p>
        </w:tc>
      </w:tr>
      <w:tr>
        <w:trPr>
          <w:trHeight w:val="183"/>
        </w:trPr>
        <w:tc>
          <w:tcPr>
            <w:tcW w:w="640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2E6D"/>
              </w:rPr>
              <w:t>Vicki A. Hollub</w:t>
            </w:r>
          </w:p>
        </w:tc>
        <w:tc>
          <w:tcPr>
            <w:tcW w:w="13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162,500</w:t>
            </w:r>
          </w:p>
        </w:tc>
        <w:tc>
          <w:tcPr>
            <w:tcW w:w="11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tcPr>
          <w:p>
            <w:pPr>
              <w:jc w:val="right"/>
              <w:ind w:right="211"/>
              <w:spacing w:after="0"/>
              <w:rPr>
                <w:sz w:val="20"/>
                <w:szCs w:val="20"/>
                <w:color w:val="auto"/>
              </w:rPr>
            </w:pPr>
            <w:r>
              <w:rPr>
                <w:rFonts w:ascii="Arial" w:cs="Arial" w:eastAsia="Arial" w:hAnsi="Arial"/>
                <w:sz w:val="14"/>
                <w:szCs w:val="14"/>
                <w:color w:val="auto"/>
              </w:rPr>
              <w:t>2,887</w:t>
            </w:r>
          </w:p>
        </w:tc>
        <w:tc>
          <w:tcPr>
            <w:tcW w:w="82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327,887</w:t>
            </w:r>
          </w:p>
        </w:tc>
      </w:tr>
      <w:tr>
        <w:trPr>
          <w:trHeight w:val="183"/>
        </w:trPr>
        <w:tc>
          <w:tcPr>
            <w:tcW w:w="640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2E6D"/>
              </w:rPr>
              <w:t>Jeh C. Johnson</w:t>
            </w:r>
          </w:p>
        </w:tc>
        <w:tc>
          <w:tcPr>
            <w:tcW w:w="136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162,500</w:t>
            </w:r>
          </w:p>
        </w:tc>
        <w:tc>
          <w:tcPr>
            <w:tcW w:w="116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shd w:val="clear" w:color="auto" w:fill="E5E7EF"/>
          </w:tcPr>
          <w:p>
            <w:pPr>
              <w:jc w:val="right"/>
              <w:ind w:right="211"/>
              <w:spacing w:after="0"/>
              <w:rPr>
                <w:sz w:val="20"/>
                <w:szCs w:val="20"/>
                <w:color w:val="auto"/>
              </w:rPr>
            </w:pPr>
            <w:r>
              <w:rPr>
                <w:rFonts w:ascii="Arial" w:cs="Arial" w:eastAsia="Arial" w:hAnsi="Arial"/>
                <w:sz w:val="14"/>
                <w:szCs w:val="14"/>
                <w:color w:val="auto"/>
              </w:rPr>
              <w:t>281</w:t>
            </w:r>
          </w:p>
        </w:tc>
        <w:tc>
          <w:tcPr>
            <w:tcW w:w="820" w:type="dxa"/>
            <w:vAlign w:val="bottom"/>
            <w:tcBorders>
              <w:bottom w:val="single" w:sz="8" w:color="868686"/>
            </w:tcBorders>
            <w:shd w:val="clear" w:color="auto" w:fill="E5E7EF"/>
          </w:tcPr>
          <w:p>
            <w:pPr>
              <w:jc w:val="right"/>
              <w:spacing w:after="0"/>
              <w:rPr>
                <w:sz w:val="20"/>
                <w:szCs w:val="20"/>
                <w:color w:val="auto"/>
              </w:rPr>
            </w:pPr>
            <w:r>
              <w:rPr>
                <w:rFonts w:ascii="Arial" w:cs="Arial" w:eastAsia="Arial" w:hAnsi="Arial"/>
                <w:sz w:val="14"/>
                <w:szCs w:val="14"/>
                <w:color w:val="auto"/>
              </w:rPr>
              <w:t>325,281</w:t>
            </w:r>
          </w:p>
        </w:tc>
      </w:tr>
      <w:tr>
        <w:trPr>
          <w:trHeight w:val="183"/>
        </w:trPr>
        <w:tc>
          <w:tcPr>
            <w:tcW w:w="6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Debra Reed-Klages</w:t>
            </w:r>
          </w:p>
        </w:tc>
        <w:tc>
          <w:tcPr>
            <w:tcW w:w="13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162,500</w:t>
            </w:r>
          </w:p>
        </w:tc>
        <w:tc>
          <w:tcPr>
            <w:tcW w:w="11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939598"/>
            </w:tcBorders>
          </w:tcPr>
          <w:p>
            <w:pPr>
              <w:jc w:val="right"/>
              <w:ind w:right="211"/>
              <w:spacing w:after="0"/>
              <w:rPr>
                <w:sz w:val="20"/>
                <w:szCs w:val="20"/>
                <w:color w:val="auto"/>
              </w:rPr>
            </w:pPr>
            <w:r>
              <w:rPr>
                <w:rFonts w:ascii="Arial" w:cs="Arial" w:eastAsia="Arial" w:hAnsi="Arial"/>
                <w:sz w:val="14"/>
                <w:szCs w:val="14"/>
                <w:color w:val="auto"/>
              </w:rPr>
              <w:t>0</w:t>
            </w: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325,000</w:t>
            </w:r>
          </w:p>
        </w:tc>
      </w:tr>
    </w:tbl>
    <w:p>
      <w:pPr>
        <w:spacing w:after="0" w:line="45" w:lineRule="exact"/>
        <w:rPr>
          <w:sz w:val="20"/>
          <w:szCs w:val="20"/>
          <w:color w:val="auto"/>
        </w:rPr>
      </w:pPr>
    </w:p>
    <w:p>
      <w:pPr>
        <w:ind w:left="220" w:hanging="212"/>
        <w:spacing w:after="0"/>
        <w:tabs>
          <w:tab w:leader="none" w:pos="2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Mr. Dunford joined the Board effective February 10, 2020.</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475C90"/>
        </w:rPr>
        <w:t>Fees Earned or Paid in Cash (Column (b))</w:t>
      </w:r>
    </w:p>
    <w:p>
      <w:pPr>
        <w:spacing w:after="0" w:line="123" w:lineRule="exact"/>
        <w:rPr>
          <w:sz w:val="20"/>
          <w:szCs w:val="20"/>
          <w:color w:val="auto"/>
        </w:rPr>
      </w:pPr>
    </w:p>
    <w:p>
      <w:pPr>
        <w:ind w:right="720"/>
        <w:spacing w:after="0" w:line="276" w:lineRule="auto"/>
        <w:rPr>
          <w:sz w:val="20"/>
          <w:szCs w:val="20"/>
          <w:color w:val="auto"/>
        </w:rPr>
      </w:pPr>
      <w:r>
        <w:rPr>
          <w:rFonts w:ascii="Arial" w:cs="Arial" w:eastAsia="Arial" w:hAnsi="Arial"/>
          <w:sz w:val="17"/>
          <w:szCs w:val="17"/>
          <w:color w:val="auto"/>
        </w:rPr>
        <w:t>Represents the aggregate dollar amount of 2020 fees earned or paid in cash for services as a director, including annual retainer, committee chairman retainer and independent Lead Director retainer.</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77</w:t>
      </w:r>
    </w:p>
    <w:p>
      <w:pPr>
        <w:sectPr>
          <w:pgSz w:w="11900" w:h="16838" w:orient="portrait"/>
          <w:cols w:equalWidth="0" w:num="1">
            <w:col w:w="11240"/>
          </w:cols>
          <w:pgMar w:left="320" w:top="609" w:right="339" w:bottom="1440" w:gutter="0" w:footer="0" w:header="0"/>
        </w:sectPr>
      </w:pPr>
    </w:p>
    <w:bookmarkStart w:id="81" w:name="page82"/>
    <w:bookmarkEnd w:id="81"/>
    <w:p>
      <w:pPr>
        <w:spacing w:after="0"/>
        <w:rPr>
          <w:sz w:val="20"/>
          <w:szCs w:val="20"/>
          <w:color w:val="auto"/>
        </w:rPr>
      </w:pPr>
      <w:r>
        <w:rPr>
          <w:rFonts w:ascii="Arial" w:cs="Arial" w:eastAsia="Arial" w:hAnsi="Arial"/>
          <w:sz w:val="15"/>
          <w:szCs w:val="15"/>
          <w:color w:val="003478"/>
        </w:rPr>
        <w:t>Director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Stock Awards (Column (c))</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Represents the aggregate grant date fair value computed in accordance with ASC 718 for awards of stock units in 2020 under the Directors Equity Plan. For 2020, each of Messrs. Akerson, Burritt, Carlson, Ellis, Falk, Johnson, and Ms. Gordon, Ms. Hollub and Ms. Reed-Klages was credited with 372.7919 stock units with an aggregate grant date fair value of $162,500. The grant date fair value of these awards was the closing price of our stock ($435.90) on the date of the grant (January 30, 2020). Mr. Dunford was credited with 355.0981 stock units with an aggregate grant date fair value of $135,417. The grant date fair value for his award was $381.35 per share on the date of grant (March 2, 2020)</w:t>
      </w:r>
      <w:r>
        <w:rPr>
          <w:rFonts w:ascii="Arial" w:cs="Arial" w:eastAsia="Arial" w:hAnsi="Arial"/>
          <w:sz w:val="16"/>
          <w:szCs w:val="16"/>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475C90"/>
        </w:rPr>
        <w:t>All Other Compensation (Column (g))</w:t>
      </w:r>
    </w:p>
    <w:p>
      <w:pPr>
        <w:spacing w:after="0" w:line="1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Perquisites and other personal benefits provided to directors did not exceed $10,000. All other compensation includes matching contributions made to eligible universities, colleges, and other non-profit organizations under the Corporation’s matching gift programs that are generally available to all employees. The Corporation’s matching contribution includes the following charitable contributions made in 2020 or to be made by the Corporation in 2021 to match a contribution in the prior year: Mr. Ellis $1,000; Mr. Falk $10,000; Ms. Gordon $12,000; and Ms. Hollub $1,000. Other amounts include tax assistance related to travel expenses for an invited guest accompanying a director while on business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227965</wp:posOffset>
            </wp:positionV>
            <wp:extent cx="969010" cy="2228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78</w:t>
      </w:r>
    </w:p>
    <w:p>
      <w:pPr>
        <w:sectPr>
          <w:pgSz w:w="11900" w:h="16838" w:orient="portrait"/>
          <w:cols w:equalWidth="0" w:num="1">
            <w:col w:w="11180"/>
          </w:cols>
          <w:pgMar w:left="320" w:top="609" w:right="399" w:bottom="1440" w:gutter="0" w:footer="0" w:header="0"/>
        </w:sectPr>
      </w:pPr>
    </w:p>
    <w:bookmarkStart w:id="82" w:name="page83"/>
    <w:bookmarkEnd w:id="82"/>
    <w:p>
      <w:pPr>
        <w:ind w:right="20"/>
        <w:spacing w:after="0" w:line="262" w:lineRule="auto"/>
        <w:rPr>
          <w:sz w:val="20"/>
          <w:szCs w:val="20"/>
          <w:color w:val="auto"/>
        </w:rPr>
      </w:pPr>
      <w:r>
        <w:rPr>
          <w:rFonts w:ascii="Arial" w:cs="Arial" w:eastAsia="Arial" w:hAnsi="Arial"/>
          <w:sz w:val="43"/>
          <w:szCs w:val="43"/>
          <w:color w:val="002E6D"/>
        </w:rPr>
        <w:t>Security Ownership of Management and Certain Beneficial Owners</w:t>
      </w:r>
    </w:p>
    <w:p>
      <w:pPr>
        <w:spacing w:after="0" w:line="146" w:lineRule="exact"/>
        <w:rPr>
          <w:sz w:val="20"/>
          <w:szCs w:val="20"/>
          <w:color w:val="auto"/>
        </w:rPr>
      </w:pPr>
    </w:p>
    <w:p>
      <w:pPr>
        <w:spacing w:after="0"/>
        <w:rPr>
          <w:sz w:val="20"/>
          <w:szCs w:val="20"/>
          <w:color w:val="auto"/>
        </w:rPr>
      </w:pPr>
      <w:r>
        <w:rPr>
          <w:rFonts w:ascii="Arial" w:cs="Arial" w:eastAsia="Arial" w:hAnsi="Arial"/>
          <w:sz w:val="29"/>
          <w:szCs w:val="29"/>
          <w:color w:val="002E6D"/>
        </w:rPr>
        <w:t>Directors and Executive Officers</w:t>
      </w:r>
    </w:p>
    <w:p>
      <w:pPr>
        <w:spacing w:after="0" w:line="1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following table shows Lockheed Martin common stock beneficially owned by and stock units credited to each NEO, director, nominee and all NEOs, directors, nominees and other executive officers as a group as of February 26, 2021. Except as otherwise noted, the named individuals have sole voting and investment power with respect to such securities. No director, nominee or NEO, individually or as a group, beneficially owned more than one percent of our outstanding common stock. All amounts are rounded to the nearest whole share. No shares have been pledged. The address of each director, nominee and executive officer is c/o Lockheed Martin Corporation, 6801 Rockledge Drive, Bethesda, MD 20817.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4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600" w:type="dxa"/>
            <w:vAlign w:val="bottom"/>
            <w:tcBorders>
              <w:bottom w:val="single" w:sz="8" w:color="E5E7EF"/>
            </w:tcBorders>
            <w:gridSpan w:val="2"/>
            <w:shd w:val="clear" w:color="auto" w:fill="E5E7EF"/>
          </w:tcPr>
          <w:p>
            <w:pPr>
              <w:jc w:val="right"/>
              <w:ind w:right="86"/>
              <w:spacing w:after="0"/>
              <w:rPr>
                <w:sz w:val="20"/>
                <w:szCs w:val="20"/>
                <w:color w:val="auto"/>
              </w:rPr>
            </w:pPr>
            <w:r>
              <w:rPr>
                <w:rFonts w:ascii="Arial" w:cs="Arial" w:eastAsia="Arial" w:hAnsi="Arial"/>
                <w:sz w:val="13"/>
                <w:szCs w:val="13"/>
                <w:color w:val="auto"/>
              </w:rPr>
              <w:t xml:space="preserve">Common Stock </w:t>
            </w:r>
            <w:r>
              <w:rPr>
                <w:rFonts w:ascii="Arial" w:cs="Arial" w:eastAsia="Arial" w:hAnsi="Arial"/>
                <w:sz w:val="8"/>
                <w:szCs w:val="8"/>
                <w:color w:val="auto"/>
              </w:rPr>
              <w:t>(1) (2)</w:t>
            </w:r>
          </w:p>
        </w:tc>
        <w:tc>
          <w:tcPr>
            <w:tcW w:w="8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Stock Units*</w:t>
            </w:r>
          </w:p>
        </w:tc>
        <w:tc>
          <w:tcPr>
            <w:tcW w:w="460" w:type="dxa"/>
            <w:vAlign w:val="bottom"/>
            <w:tcBorders>
              <w:bottom w:val="single" w:sz="8" w:color="E5E7EF"/>
            </w:tcBorders>
            <w:shd w:val="clear" w:color="auto" w:fill="E5E7EF"/>
          </w:tcPr>
          <w:p>
            <w:pPr>
              <w:spacing w:after="0"/>
              <w:rPr>
                <w:sz w:val="17"/>
                <w:szCs w:val="17"/>
                <w:color w:val="auto"/>
              </w:rPr>
            </w:pPr>
          </w:p>
        </w:tc>
        <w:tc>
          <w:tcPr>
            <w:tcW w:w="7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83"/>
        </w:trPr>
        <w:tc>
          <w:tcPr>
            <w:tcW w:w="7540" w:type="dxa"/>
            <w:vAlign w:val="bottom"/>
            <w:tcBorders>
              <w:top w:val="single" w:sz="8" w:color="808080"/>
              <w:bottom w:val="single" w:sz="8" w:color="808080"/>
            </w:tcBorders>
            <w:shd w:val="clear" w:color="auto" w:fill="E5E7EF"/>
          </w:tcPr>
          <w:p>
            <w:pPr>
              <w:ind w:left="20"/>
              <w:spacing w:after="0"/>
              <w:rPr>
                <w:sz w:val="20"/>
                <w:szCs w:val="20"/>
                <w:color w:val="auto"/>
              </w:rPr>
            </w:pPr>
            <w:r>
              <w:rPr>
                <w:rFonts w:ascii="Arial" w:cs="Arial" w:eastAsia="Arial" w:hAnsi="Arial"/>
                <w:sz w:val="14"/>
                <w:szCs w:val="14"/>
                <w:b w:val="1"/>
                <w:bCs w:val="1"/>
                <w:color w:val="002E6D"/>
              </w:rPr>
              <w:t>Daniel F. Akerson</w:t>
            </w:r>
          </w:p>
        </w:tc>
        <w:tc>
          <w:tcPr>
            <w:tcW w:w="1200" w:type="dxa"/>
            <w:vAlign w:val="bottom"/>
            <w:tcBorders>
              <w:top w:val="single" w:sz="8" w:color="808080"/>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7,503</w:t>
            </w:r>
          </w:p>
        </w:tc>
        <w:tc>
          <w:tcPr>
            <w:tcW w:w="400" w:type="dxa"/>
            <w:vAlign w:val="bottom"/>
            <w:tcBorders>
              <w:top w:val="single" w:sz="8" w:color="808080"/>
              <w:bottom w:val="single" w:sz="8" w:color="808080"/>
            </w:tcBorders>
            <w:shd w:val="clear" w:color="auto" w:fill="E5E7EF"/>
          </w:tcPr>
          <w:p>
            <w:pPr>
              <w:jc w:val="right"/>
              <w:ind w:right="246"/>
              <w:spacing w:after="0"/>
              <w:rPr>
                <w:sz w:val="20"/>
                <w:szCs w:val="20"/>
                <w:color w:val="auto"/>
              </w:rPr>
            </w:pPr>
            <w:r>
              <w:rPr>
                <w:rFonts w:ascii="Arial" w:cs="Arial" w:eastAsia="Arial" w:hAnsi="Arial"/>
                <w:sz w:val="11"/>
                <w:szCs w:val="11"/>
                <w:color w:val="auto"/>
              </w:rPr>
              <w:t>3</w:t>
            </w:r>
          </w:p>
        </w:tc>
        <w:tc>
          <w:tcPr>
            <w:tcW w:w="860" w:type="dxa"/>
            <w:vAlign w:val="bottom"/>
            <w:tcBorders>
              <w:top w:val="single" w:sz="8" w:color="808080"/>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4,952</w:t>
            </w:r>
          </w:p>
        </w:tc>
        <w:tc>
          <w:tcPr>
            <w:tcW w:w="460" w:type="dxa"/>
            <w:vAlign w:val="bottom"/>
            <w:tcBorders>
              <w:top w:val="single" w:sz="8" w:color="808080"/>
              <w:bottom w:val="single" w:sz="8" w:color="808080"/>
            </w:tcBorders>
            <w:shd w:val="clear" w:color="auto" w:fill="E5E7EF"/>
          </w:tcPr>
          <w:p>
            <w:pPr>
              <w:ind w:left="20"/>
              <w:spacing w:after="0"/>
              <w:rPr>
                <w:sz w:val="20"/>
                <w:szCs w:val="20"/>
                <w:color w:val="auto"/>
              </w:rPr>
            </w:pPr>
            <w:r>
              <w:rPr>
                <w:rFonts w:ascii="Arial" w:cs="Arial" w:eastAsia="Arial" w:hAnsi="Arial"/>
                <w:sz w:val="11"/>
                <w:szCs w:val="11"/>
                <w:color w:val="auto"/>
              </w:rPr>
              <w:t>5</w:t>
            </w:r>
          </w:p>
        </w:tc>
        <w:tc>
          <w:tcPr>
            <w:tcW w:w="780" w:type="dxa"/>
            <w:vAlign w:val="bottom"/>
            <w:tcBorders>
              <w:top w:val="single" w:sz="8" w:color="808080"/>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12,455</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tcPr>
          <w:p>
            <w:pPr>
              <w:ind w:left="20"/>
              <w:spacing w:after="0"/>
              <w:rPr>
                <w:sz w:val="20"/>
                <w:szCs w:val="20"/>
                <w:color w:val="auto"/>
              </w:rPr>
            </w:pPr>
            <w:r>
              <w:rPr>
                <w:rFonts w:ascii="Arial" w:cs="Arial" w:eastAsia="Arial" w:hAnsi="Arial"/>
                <w:sz w:val="14"/>
                <w:szCs w:val="14"/>
                <w:b w:val="1"/>
                <w:bCs w:val="1"/>
                <w:color w:val="002E6D"/>
              </w:rPr>
              <w:t>Richard F. Ambrose</w:t>
            </w: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7,311</w:t>
            </w:r>
          </w:p>
        </w:tc>
        <w:tc>
          <w:tcPr>
            <w:tcW w:w="4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25,506</w:t>
            </w:r>
          </w:p>
        </w:tc>
        <w:tc>
          <w:tcPr>
            <w:tcW w:w="46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auto"/>
              </w:rPr>
              <w:t>7,8,9</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32,817</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b w:val="1"/>
                <w:bCs w:val="1"/>
                <w:color w:val="002E6D"/>
              </w:rPr>
              <w:t>David B. Burritt</w:t>
            </w:r>
          </w:p>
        </w:tc>
        <w:tc>
          <w:tcPr>
            <w:tcW w:w="120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6,512</w:t>
            </w:r>
          </w:p>
        </w:tc>
        <w:tc>
          <w:tcPr>
            <w:tcW w:w="400" w:type="dxa"/>
            <w:vAlign w:val="bottom"/>
            <w:tcBorders>
              <w:bottom w:val="single" w:sz="8" w:color="808080"/>
            </w:tcBorders>
            <w:shd w:val="clear" w:color="auto" w:fill="E5E7EF"/>
          </w:tcPr>
          <w:p>
            <w:pPr>
              <w:spacing w:after="0"/>
              <w:rPr>
                <w:sz w:val="15"/>
                <w:szCs w:val="15"/>
                <w:color w:val="auto"/>
              </w:rPr>
            </w:pPr>
          </w:p>
        </w:tc>
        <w:tc>
          <w:tcPr>
            <w:tcW w:w="86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17,993</w:t>
            </w:r>
          </w:p>
        </w:tc>
        <w:tc>
          <w:tcPr>
            <w:tcW w:w="46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1"/>
                <w:szCs w:val="11"/>
                <w:color w:val="auto"/>
              </w:rPr>
              <w:t>5,6</w:t>
            </w:r>
          </w:p>
        </w:tc>
        <w:tc>
          <w:tcPr>
            <w:tcW w:w="78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24,505</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tcPr>
          <w:p>
            <w:pPr>
              <w:ind w:left="20"/>
              <w:spacing w:after="0"/>
              <w:rPr>
                <w:sz w:val="20"/>
                <w:szCs w:val="20"/>
                <w:color w:val="auto"/>
              </w:rPr>
            </w:pPr>
            <w:r>
              <w:rPr>
                <w:rFonts w:ascii="Arial" w:cs="Arial" w:eastAsia="Arial" w:hAnsi="Arial"/>
                <w:sz w:val="14"/>
                <w:szCs w:val="14"/>
                <w:b w:val="1"/>
                <w:bCs w:val="1"/>
                <w:color w:val="002E6D"/>
              </w:rPr>
              <w:t>Bruce A. Carlson</w:t>
            </w: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1,172</w:t>
            </w:r>
          </w:p>
        </w:tc>
        <w:tc>
          <w:tcPr>
            <w:tcW w:w="4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2,929</w:t>
            </w:r>
          </w:p>
        </w:tc>
        <w:tc>
          <w:tcPr>
            <w:tcW w:w="46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auto"/>
              </w:rPr>
              <w:t>5,6</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4,101</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b w:val="1"/>
                <w:bCs w:val="1"/>
                <w:color w:val="002E6D"/>
              </w:rPr>
              <w:t>James F. Dunford, Jr.</w:t>
            </w:r>
          </w:p>
        </w:tc>
        <w:tc>
          <w:tcPr>
            <w:tcW w:w="120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362</w:t>
            </w:r>
          </w:p>
        </w:tc>
        <w:tc>
          <w:tcPr>
            <w:tcW w:w="400" w:type="dxa"/>
            <w:vAlign w:val="bottom"/>
            <w:tcBorders>
              <w:bottom w:val="single" w:sz="8" w:color="808080"/>
            </w:tcBorders>
            <w:shd w:val="clear" w:color="auto" w:fill="E5E7EF"/>
          </w:tcPr>
          <w:p>
            <w:pPr>
              <w:spacing w:after="0"/>
              <w:rPr>
                <w:sz w:val="15"/>
                <w:szCs w:val="15"/>
                <w:color w:val="auto"/>
              </w:rPr>
            </w:pPr>
          </w:p>
        </w:tc>
        <w:tc>
          <w:tcPr>
            <w:tcW w:w="86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501</w:t>
            </w:r>
          </w:p>
        </w:tc>
        <w:tc>
          <w:tcPr>
            <w:tcW w:w="46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1"/>
                <w:szCs w:val="11"/>
                <w:color w:val="auto"/>
              </w:rPr>
              <w:t>5</w:t>
            </w:r>
          </w:p>
        </w:tc>
        <w:tc>
          <w:tcPr>
            <w:tcW w:w="78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tcPr>
          <w:p>
            <w:pPr>
              <w:ind w:left="20"/>
              <w:spacing w:after="0"/>
              <w:rPr>
                <w:sz w:val="20"/>
                <w:szCs w:val="20"/>
                <w:color w:val="auto"/>
              </w:rPr>
            </w:pPr>
            <w:r>
              <w:rPr>
                <w:rFonts w:ascii="Arial" w:cs="Arial" w:eastAsia="Arial" w:hAnsi="Arial"/>
                <w:sz w:val="14"/>
                <w:szCs w:val="14"/>
                <w:b w:val="1"/>
                <w:bCs w:val="1"/>
                <w:color w:val="002E6D"/>
              </w:rPr>
              <w:t>James O. Ellis, Jr.</w:t>
            </w: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20,015</w:t>
            </w:r>
          </w:p>
        </w:tc>
        <w:tc>
          <w:tcPr>
            <w:tcW w:w="4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1,597</w:t>
            </w:r>
          </w:p>
        </w:tc>
        <w:tc>
          <w:tcPr>
            <w:tcW w:w="46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auto"/>
              </w:rPr>
              <w:t>5</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21,612</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b w:val="1"/>
                <w:bCs w:val="1"/>
                <w:color w:val="002E6D"/>
              </w:rPr>
              <w:t>Thomas J. Falk</w:t>
            </w:r>
          </w:p>
        </w:tc>
        <w:tc>
          <w:tcPr>
            <w:tcW w:w="120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5,250</w:t>
            </w:r>
          </w:p>
        </w:tc>
        <w:tc>
          <w:tcPr>
            <w:tcW w:w="400" w:type="dxa"/>
            <w:vAlign w:val="bottom"/>
            <w:tcBorders>
              <w:bottom w:val="single" w:sz="8" w:color="808080"/>
            </w:tcBorders>
            <w:shd w:val="clear" w:color="auto" w:fill="E5E7EF"/>
          </w:tcPr>
          <w:p>
            <w:pPr>
              <w:jc w:val="right"/>
              <w:ind w:right="246"/>
              <w:spacing w:after="0"/>
              <w:rPr>
                <w:sz w:val="20"/>
                <w:szCs w:val="20"/>
                <w:color w:val="auto"/>
              </w:rPr>
            </w:pPr>
            <w:r>
              <w:rPr>
                <w:rFonts w:ascii="Arial" w:cs="Arial" w:eastAsia="Arial" w:hAnsi="Arial"/>
                <w:sz w:val="11"/>
                <w:szCs w:val="11"/>
                <w:color w:val="auto"/>
              </w:rPr>
              <w:t>4</w:t>
            </w:r>
          </w:p>
        </w:tc>
        <w:tc>
          <w:tcPr>
            <w:tcW w:w="86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11,788</w:t>
            </w:r>
          </w:p>
        </w:tc>
        <w:tc>
          <w:tcPr>
            <w:tcW w:w="46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1"/>
                <w:szCs w:val="11"/>
                <w:color w:val="auto"/>
              </w:rPr>
              <w:t>5</w:t>
            </w:r>
          </w:p>
        </w:tc>
        <w:tc>
          <w:tcPr>
            <w:tcW w:w="78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17,038</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tcPr>
          <w:p>
            <w:pPr>
              <w:ind w:left="20"/>
              <w:spacing w:after="0"/>
              <w:rPr>
                <w:sz w:val="20"/>
                <w:szCs w:val="20"/>
                <w:color w:val="auto"/>
              </w:rPr>
            </w:pPr>
            <w:r>
              <w:rPr>
                <w:rFonts w:ascii="Arial" w:cs="Arial" w:eastAsia="Arial" w:hAnsi="Arial"/>
                <w:sz w:val="14"/>
                <w:szCs w:val="14"/>
                <w:b w:val="1"/>
                <w:bCs w:val="1"/>
                <w:color w:val="002E6D"/>
              </w:rPr>
              <w:t>Ilene S. Gordon</w:t>
            </w: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980</w:t>
            </w:r>
          </w:p>
        </w:tc>
        <w:tc>
          <w:tcPr>
            <w:tcW w:w="4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2,655</w:t>
            </w:r>
          </w:p>
        </w:tc>
        <w:tc>
          <w:tcPr>
            <w:tcW w:w="46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auto"/>
              </w:rPr>
              <w:t>5</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3,635</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b w:val="1"/>
                <w:bCs w:val="1"/>
                <w:color w:val="002E6D"/>
              </w:rPr>
              <w:t>Marillyn A. Hewson</w:t>
            </w:r>
          </w:p>
        </w:tc>
        <w:tc>
          <w:tcPr>
            <w:tcW w:w="120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148,909</w:t>
            </w:r>
          </w:p>
        </w:tc>
        <w:tc>
          <w:tcPr>
            <w:tcW w:w="400" w:type="dxa"/>
            <w:vAlign w:val="bottom"/>
            <w:tcBorders>
              <w:bottom w:val="single" w:sz="8" w:color="808080"/>
            </w:tcBorders>
            <w:shd w:val="clear" w:color="auto" w:fill="E5E7EF"/>
          </w:tcPr>
          <w:p>
            <w:pPr>
              <w:spacing w:after="0"/>
              <w:rPr>
                <w:sz w:val="15"/>
                <w:szCs w:val="15"/>
                <w:color w:val="auto"/>
              </w:rPr>
            </w:pPr>
          </w:p>
        </w:tc>
        <w:tc>
          <w:tcPr>
            <w:tcW w:w="86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38,050</w:t>
            </w:r>
          </w:p>
        </w:tc>
        <w:tc>
          <w:tcPr>
            <w:tcW w:w="46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1"/>
                <w:szCs w:val="11"/>
                <w:color w:val="auto"/>
              </w:rPr>
              <w:t>7,8,9</w:t>
            </w:r>
          </w:p>
        </w:tc>
        <w:tc>
          <w:tcPr>
            <w:tcW w:w="78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186,959</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tcPr>
          <w:p>
            <w:pPr>
              <w:ind w:left="20"/>
              <w:spacing w:after="0"/>
              <w:rPr>
                <w:sz w:val="20"/>
                <w:szCs w:val="20"/>
                <w:color w:val="auto"/>
              </w:rPr>
            </w:pPr>
            <w:r>
              <w:rPr>
                <w:rFonts w:ascii="Arial" w:cs="Arial" w:eastAsia="Arial" w:hAnsi="Arial"/>
                <w:sz w:val="14"/>
                <w:szCs w:val="14"/>
                <w:b w:val="1"/>
                <w:bCs w:val="1"/>
                <w:color w:val="002E6D"/>
              </w:rPr>
              <w:t>Vicki A. Hollub</w:t>
            </w: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1,202</w:t>
            </w:r>
          </w:p>
        </w:tc>
        <w:tc>
          <w:tcPr>
            <w:tcW w:w="4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1,227</w:t>
            </w:r>
          </w:p>
        </w:tc>
        <w:tc>
          <w:tcPr>
            <w:tcW w:w="46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auto"/>
              </w:rPr>
              <w:t>5,6</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182"/>
        </w:trPr>
        <w:tc>
          <w:tcPr>
            <w:tcW w:w="754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b w:val="1"/>
                <w:bCs w:val="1"/>
                <w:color w:val="002E6D"/>
              </w:rPr>
              <w:t>Jeh C. Johnson</w:t>
            </w:r>
          </w:p>
        </w:tc>
        <w:tc>
          <w:tcPr>
            <w:tcW w:w="120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1,419</w:t>
            </w:r>
          </w:p>
        </w:tc>
        <w:tc>
          <w:tcPr>
            <w:tcW w:w="400" w:type="dxa"/>
            <w:vAlign w:val="bottom"/>
            <w:tcBorders>
              <w:bottom w:val="single" w:sz="8" w:color="808080"/>
            </w:tcBorders>
            <w:shd w:val="clear" w:color="auto" w:fill="E5E7EF"/>
          </w:tcPr>
          <w:p>
            <w:pPr>
              <w:spacing w:after="0"/>
              <w:rPr>
                <w:sz w:val="15"/>
                <w:szCs w:val="15"/>
                <w:color w:val="auto"/>
              </w:rPr>
            </w:pPr>
          </w:p>
        </w:tc>
        <w:tc>
          <w:tcPr>
            <w:tcW w:w="86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501</w:t>
            </w:r>
          </w:p>
        </w:tc>
        <w:tc>
          <w:tcPr>
            <w:tcW w:w="46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1"/>
                <w:szCs w:val="11"/>
                <w:color w:val="auto"/>
              </w:rPr>
              <w:t>5</w:t>
            </w:r>
          </w:p>
        </w:tc>
        <w:tc>
          <w:tcPr>
            <w:tcW w:w="78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tcPr>
          <w:p>
            <w:pPr>
              <w:ind w:left="20"/>
              <w:spacing w:after="0"/>
              <w:rPr>
                <w:sz w:val="20"/>
                <w:szCs w:val="20"/>
                <w:color w:val="auto"/>
              </w:rPr>
            </w:pPr>
            <w:r>
              <w:rPr>
                <w:rFonts w:ascii="Arial" w:cs="Arial" w:eastAsia="Arial" w:hAnsi="Arial"/>
                <w:sz w:val="14"/>
                <w:szCs w:val="14"/>
                <w:b w:val="1"/>
                <w:bCs w:val="1"/>
                <w:color w:val="002E6D"/>
              </w:rPr>
              <w:t>Kenneth R. Possenriede</w:t>
            </w: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3,591</w:t>
            </w:r>
          </w:p>
        </w:tc>
        <w:tc>
          <w:tcPr>
            <w:tcW w:w="4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16,544</w:t>
            </w:r>
          </w:p>
        </w:tc>
        <w:tc>
          <w:tcPr>
            <w:tcW w:w="46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auto"/>
              </w:rPr>
              <w:t>7,8,9</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20,135</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b w:val="1"/>
                <w:bCs w:val="1"/>
                <w:color w:val="002E6D"/>
              </w:rPr>
              <w:t>Debra L. Reed-Klages</w:t>
            </w:r>
          </w:p>
        </w:tc>
        <w:tc>
          <w:tcPr>
            <w:tcW w:w="120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607</w:t>
            </w:r>
          </w:p>
        </w:tc>
        <w:tc>
          <w:tcPr>
            <w:tcW w:w="400" w:type="dxa"/>
            <w:vAlign w:val="bottom"/>
            <w:tcBorders>
              <w:bottom w:val="single" w:sz="8" w:color="808080"/>
            </w:tcBorders>
            <w:shd w:val="clear" w:color="auto" w:fill="E5E7EF"/>
          </w:tcPr>
          <w:p>
            <w:pPr>
              <w:spacing w:after="0"/>
              <w:rPr>
                <w:sz w:val="15"/>
                <w:szCs w:val="15"/>
                <w:color w:val="auto"/>
              </w:rPr>
            </w:pPr>
          </w:p>
        </w:tc>
        <w:tc>
          <w:tcPr>
            <w:tcW w:w="86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501</w:t>
            </w:r>
          </w:p>
        </w:tc>
        <w:tc>
          <w:tcPr>
            <w:tcW w:w="46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1"/>
                <w:szCs w:val="11"/>
                <w:color w:val="auto"/>
              </w:rPr>
              <w:t>5</w:t>
            </w:r>
          </w:p>
        </w:tc>
        <w:tc>
          <w:tcPr>
            <w:tcW w:w="78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tcPr>
          <w:p>
            <w:pPr>
              <w:ind w:left="20"/>
              <w:spacing w:after="0"/>
              <w:rPr>
                <w:sz w:val="20"/>
                <w:szCs w:val="20"/>
                <w:color w:val="auto"/>
              </w:rPr>
            </w:pPr>
            <w:r>
              <w:rPr>
                <w:rFonts w:ascii="Arial" w:cs="Arial" w:eastAsia="Arial" w:hAnsi="Arial"/>
                <w:sz w:val="14"/>
                <w:szCs w:val="14"/>
                <w:b w:val="1"/>
                <w:bCs w:val="1"/>
                <w:color w:val="002E6D"/>
              </w:rPr>
              <w:t>Frank A. St. John</w:t>
            </w: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6,817</w:t>
            </w:r>
          </w:p>
        </w:tc>
        <w:tc>
          <w:tcPr>
            <w:tcW w:w="4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12,560</w:t>
            </w:r>
          </w:p>
        </w:tc>
        <w:tc>
          <w:tcPr>
            <w:tcW w:w="46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auto"/>
              </w:rPr>
              <w:t>7,8,9</w:t>
            </w: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19,377</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b w:val="1"/>
                <w:bCs w:val="1"/>
                <w:color w:val="002E6D"/>
              </w:rPr>
              <w:t>James D. Taiclet</w:t>
            </w:r>
          </w:p>
        </w:tc>
        <w:tc>
          <w:tcPr>
            <w:tcW w:w="120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2,413</w:t>
            </w:r>
          </w:p>
        </w:tc>
        <w:tc>
          <w:tcPr>
            <w:tcW w:w="400" w:type="dxa"/>
            <w:vAlign w:val="bottom"/>
            <w:tcBorders>
              <w:bottom w:val="single" w:sz="8" w:color="808080"/>
            </w:tcBorders>
            <w:shd w:val="clear" w:color="auto" w:fill="E5E7EF"/>
          </w:tcPr>
          <w:p>
            <w:pPr>
              <w:spacing w:after="0"/>
              <w:rPr>
                <w:sz w:val="15"/>
                <w:szCs w:val="15"/>
                <w:color w:val="auto"/>
              </w:rPr>
            </w:pPr>
          </w:p>
        </w:tc>
        <w:tc>
          <w:tcPr>
            <w:tcW w:w="86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38,174</w:t>
            </w:r>
          </w:p>
        </w:tc>
        <w:tc>
          <w:tcPr>
            <w:tcW w:w="46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1"/>
                <w:szCs w:val="11"/>
                <w:color w:val="auto"/>
              </w:rPr>
              <w:t>8,9</w:t>
            </w:r>
          </w:p>
        </w:tc>
        <w:tc>
          <w:tcPr>
            <w:tcW w:w="780" w:type="dxa"/>
            <w:vAlign w:val="bottom"/>
            <w:tcBorders>
              <w:bottom w:val="single" w:sz="8" w:color="808080"/>
            </w:tcBorders>
            <w:shd w:val="clear" w:color="auto" w:fill="E5E7EF"/>
          </w:tcPr>
          <w:p>
            <w:pPr>
              <w:jc w:val="right"/>
              <w:spacing w:after="0"/>
              <w:rPr>
                <w:sz w:val="20"/>
                <w:szCs w:val="20"/>
                <w:color w:val="auto"/>
              </w:rPr>
            </w:pPr>
            <w:r>
              <w:rPr>
                <w:rFonts w:ascii="Arial" w:cs="Arial" w:eastAsia="Arial" w:hAnsi="Arial"/>
                <w:sz w:val="14"/>
                <w:szCs w:val="14"/>
                <w:color w:val="auto"/>
              </w:rPr>
              <w:t>40,587</w:t>
            </w:r>
          </w:p>
        </w:tc>
        <w:tc>
          <w:tcPr>
            <w:tcW w:w="0" w:type="dxa"/>
            <w:vAlign w:val="bottom"/>
          </w:tcPr>
          <w:p>
            <w:pPr>
              <w:spacing w:after="0"/>
              <w:rPr>
                <w:sz w:val="1"/>
                <w:szCs w:val="1"/>
                <w:color w:val="auto"/>
              </w:rPr>
            </w:pPr>
          </w:p>
        </w:tc>
      </w:tr>
      <w:tr>
        <w:trPr>
          <w:trHeight w:val="142"/>
        </w:trPr>
        <w:tc>
          <w:tcPr>
            <w:tcW w:w="7540" w:type="dxa"/>
            <w:vAlign w:val="bottom"/>
          </w:tcPr>
          <w:p>
            <w:pPr>
              <w:ind w:left="20"/>
              <w:spacing w:after="0" w:line="142" w:lineRule="exact"/>
              <w:rPr>
                <w:sz w:val="20"/>
                <w:szCs w:val="20"/>
                <w:color w:val="auto"/>
              </w:rPr>
            </w:pPr>
            <w:r>
              <w:rPr>
                <w:rFonts w:ascii="Arial" w:cs="Arial" w:eastAsia="Arial" w:hAnsi="Arial"/>
                <w:sz w:val="14"/>
                <w:szCs w:val="14"/>
                <w:b w:val="1"/>
                <w:bCs w:val="1"/>
                <w:color w:val="002E6D"/>
              </w:rPr>
              <w:t>All directors, nominees and executive officers as a group</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257,871</w:t>
            </w:r>
          </w:p>
        </w:tc>
        <w:tc>
          <w:tcPr>
            <w:tcW w:w="4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233,807</w:t>
            </w:r>
          </w:p>
        </w:tc>
        <w:tc>
          <w:tcPr>
            <w:tcW w:w="4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491,678</w:t>
            </w:r>
          </w:p>
        </w:tc>
        <w:tc>
          <w:tcPr>
            <w:tcW w:w="0" w:type="dxa"/>
            <w:vAlign w:val="bottom"/>
          </w:tcPr>
          <w:p>
            <w:pPr>
              <w:spacing w:after="0"/>
              <w:rPr>
                <w:sz w:val="1"/>
                <w:szCs w:val="1"/>
                <w:color w:val="auto"/>
              </w:rPr>
            </w:pPr>
          </w:p>
        </w:tc>
      </w:tr>
      <w:tr>
        <w:trPr>
          <w:trHeight w:val="175"/>
        </w:trPr>
        <w:tc>
          <w:tcPr>
            <w:tcW w:w="7540" w:type="dxa"/>
            <w:vAlign w:val="bottom"/>
            <w:tcBorders>
              <w:bottom w:val="single" w:sz="8" w:color="808080"/>
            </w:tcBorders>
          </w:tcPr>
          <w:p>
            <w:pPr>
              <w:ind w:left="20"/>
              <w:spacing w:after="0"/>
              <w:rPr>
                <w:sz w:val="20"/>
                <w:szCs w:val="20"/>
                <w:color w:val="auto"/>
              </w:rPr>
            </w:pPr>
            <w:r>
              <w:rPr>
                <w:rFonts w:ascii="Arial" w:cs="Arial" w:eastAsia="Arial" w:hAnsi="Arial"/>
                <w:sz w:val="14"/>
                <w:szCs w:val="14"/>
                <w:b w:val="1"/>
                <w:bCs w:val="1"/>
                <w:color w:val="002E6D"/>
              </w:rPr>
              <w:t>(21 individuals)</w:t>
            </w:r>
          </w:p>
        </w:tc>
        <w:tc>
          <w:tcPr>
            <w:tcW w:w="1200" w:type="dxa"/>
            <w:vAlign w:val="bottom"/>
            <w:tcBorders>
              <w:bottom w:val="single" w:sz="8" w:color="808080"/>
            </w:tcBorders>
            <w:vMerge w:val="continue"/>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vMerge w:val="continue"/>
          </w:tcPr>
          <w:p>
            <w:pPr>
              <w:spacing w:after="0"/>
              <w:rPr>
                <w:sz w:val="15"/>
                <w:szCs w:val="15"/>
                <w:color w:val="auto"/>
              </w:rPr>
            </w:pPr>
          </w:p>
        </w:tc>
        <w:tc>
          <w:tcPr>
            <w:tcW w:w="4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Does not include PSUs.</w:t>
      </w:r>
    </w:p>
    <w:p>
      <w:pPr>
        <w:spacing w:after="0" w:line="123" w:lineRule="exact"/>
        <w:rPr>
          <w:sz w:val="20"/>
          <w:szCs w:val="20"/>
          <w:color w:val="auto"/>
        </w:rPr>
      </w:pPr>
    </w:p>
    <w:p>
      <w:pPr>
        <w:ind w:left="260" w:right="260" w:hanging="252"/>
        <w:spacing w:after="0" w:line="239" w:lineRule="auto"/>
        <w:tabs>
          <w:tab w:leader="none" w:pos="266"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Includes common stock not currently owned but which could be acquired within 60 days through the exercise of stock options for Ms. Hewson 82,935. Includes shares payable at termination with respect to vested stock units credited under the Directors Equity Plan for which a director has elected payment in stock for Mr. Burritt 509; Mr. Carlson 1,172; Mr. Dunford 362; Mr. Ellis 19,815; Ms. Gordon 230; Ms. Hollub 1,202; Mr. Johnson 1,419; Ms. Reed-Klages 452; and Mr. Taiclet 1,036. Units for which a director has elected payment in cash are reported in the “Stock Units” column. There are no voting rights associated with stock units.</w:t>
      </w:r>
    </w:p>
    <w:p>
      <w:pPr>
        <w:spacing w:after="0" w:line="111" w:lineRule="exact"/>
        <w:rPr>
          <w:rFonts w:ascii="Arial" w:cs="Arial" w:eastAsia="Arial" w:hAnsi="Arial"/>
          <w:sz w:val="19"/>
          <w:szCs w:val="19"/>
          <w:color w:val="auto"/>
          <w:vertAlign w:val="superscript"/>
        </w:rPr>
      </w:pPr>
    </w:p>
    <w:p>
      <w:pPr>
        <w:ind w:left="260" w:right="140" w:hanging="252"/>
        <w:spacing w:after="0" w:line="219" w:lineRule="auto"/>
        <w:tabs>
          <w:tab w:leader="none" w:pos="266"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Includes shares attributable to the participant’s account in the Lockheed Martin Salaried Savings Plan for Mr. Ambrose 365; Ms. Hewson 527; Mr. Possenriede 804; Mr. St. John 10; and Mr. Taiclet 23. Participants have voting power and investment power over the shares.</w:t>
      </w:r>
    </w:p>
    <w:p>
      <w:pPr>
        <w:spacing w:after="0" w:line="66"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For Mr. Akerson, includes 3 shares held by his spouse.</w:t>
      </w:r>
    </w:p>
    <w:p>
      <w:pPr>
        <w:spacing w:after="0" w:line="65"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Represents shares beneficially owned by Mr. Falk and his spouse through a family limited partnership.</w:t>
      </w:r>
    </w:p>
    <w:p>
      <w:pPr>
        <w:spacing w:after="0" w:line="111" w:lineRule="exact"/>
        <w:rPr>
          <w:rFonts w:ascii="Arial" w:cs="Arial" w:eastAsia="Arial" w:hAnsi="Arial"/>
          <w:sz w:val="19"/>
          <w:szCs w:val="19"/>
          <w:color w:val="auto"/>
          <w:vertAlign w:val="superscript"/>
        </w:rPr>
      </w:pPr>
    </w:p>
    <w:p>
      <w:pPr>
        <w:ind w:left="260" w:right="60" w:hanging="252"/>
        <w:spacing w:after="0" w:line="232" w:lineRule="auto"/>
        <w:tabs>
          <w:tab w:leader="none" w:pos="266"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Represents stock units under the Directors Equity Plan for which directors have elected to receive distributions of units in the form of cash and unvested stock units credited on February 1, 2021 (annual equity award 501) for Mr. Akerson 4,952; Mr. Burritt 10,019; Mr. Carlson 2,537; Mr. Dunford 501; Mr. Ellis 1,597; Mr. Falk 11,788; Ms. Gordon 2,655; Ms. Hollub 501; Mr. Johnson 501; and Ms. Reed-Klages 501. There are no voting rights associated with stock units.</w:t>
      </w:r>
    </w:p>
    <w:p>
      <w:pPr>
        <w:spacing w:after="0" w:line="112" w:lineRule="exact"/>
        <w:rPr>
          <w:rFonts w:ascii="Arial" w:cs="Arial" w:eastAsia="Arial" w:hAnsi="Arial"/>
          <w:sz w:val="19"/>
          <w:szCs w:val="19"/>
          <w:color w:val="auto"/>
          <w:vertAlign w:val="superscript"/>
        </w:rPr>
      </w:pPr>
    </w:p>
    <w:p>
      <w:pPr>
        <w:ind w:left="260" w:right="300" w:hanging="252"/>
        <w:spacing w:after="0" w:line="219" w:lineRule="auto"/>
        <w:tabs>
          <w:tab w:leader="none" w:pos="266"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Represents stock units under the Directors Deferred Compensation Plan representing deferred cash compensation for Mr. Burritt 7,974; Mr. Carlson 392 and Ms. Hollub 726. The stock units (including dividend equivalents credited as stock units) are distributed in the form of cash. There are no voting rights associated with stock units.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79</w:t>
      </w:r>
    </w:p>
    <w:p>
      <w:pPr>
        <w:sectPr>
          <w:pgSz w:w="11900" w:h="16838" w:orient="portrait"/>
          <w:cols w:equalWidth="0" w:num="1">
            <w:col w:w="11240"/>
          </w:cols>
          <w:pgMar w:left="320" w:top="1340" w:right="339" w:bottom="1440" w:gutter="0" w:footer="0" w:header="0"/>
        </w:sectPr>
      </w:pPr>
    </w:p>
    <w:bookmarkStart w:id="83" w:name="page84"/>
    <w:bookmarkEnd w:id="83"/>
    <w:p>
      <w:pPr>
        <w:spacing w:after="0"/>
        <w:rPr>
          <w:sz w:val="20"/>
          <w:szCs w:val="20"/>
          <w:color w:val="auto"/>
        </w:rPr>
      </w:pPr>
      <w:r>
        <w:rPr>
          <w:rFonts w:ascii="Arial" w:cs="Arial" w:eastAsia="Arial" w:hAnsi="Arial"/>
          <w:sz w:val="15"/>
          <w:szCs w:val="15"/>
          <w:color w:val="003478"/>
        </w:rPr>
        <w:t>Security Ownership of Management and Certain Beneficial Owners</w:t>
      </w:r>
    </w:p>
    <w:p>
      <w:pPr>
        <w:spacing w:after="0" w:line="200" w:lineRule="exact"/>
        <w:rPr>
          <w:sz w:val="20"/>
          <w:szCs w:val="20"/>
          <w:color w:val="auto"/>
        </w:rPr>
      </w:pPr>
    </w:p>
    <w:p>
      <w:pPr>
        <w:spacing w:after="0" w:line="351" w:lineRule="exact"/>
        <w:rPr>
          <w:sz w:val="20"/>
          <w:szCs w:val="20"/>
          <w:color w:val="auto"/>
        </w:rPr>
      </w:pPr>
    </w:p>
    <w:p>
      <w:pPr>
        <w:jc w:val="both"/>
        <w:ind w:left="260" w:right="280" w:hanging="252"/>
        <w:spacing w:after="0" w:line="232" w:lineRule="auto"/>
        <w:tabs>
          <w:tab w:leader="none" w:pos="266"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Includes stock units attributable to the participant’s account under the DMICP for Mr. Ambrose 12,075; Ms. Hewson 9,238; Mr. Possenriede 1,908; and Mr. St. John 140. Although most of the units will be distributed following termination or retirement in shares of stock, none of the units are convertible into shares of stock within 60 days of February 26, 2021. There are no voting rights associated with stock units.</w:t>
      </w:r>
    </w:p>
    <w:p>
      <w:pPr>
        <w:spacing w:after="0" w:line="112" w:lineRule="exact"/>
        <w:rPr>
          <w:rFonts w:ascii="Arial" w:cs="Arial" w:eastAsia="Arial" w:hAnsi="Arial"/>
          <w:sz w:val="19"/>
          <w:szCs w:val="19"/>
          <w:color w:val="auto"/>
          <w:vertAlign w:val="superscript"/>
        </w:rPr>
      </w:pPr>
    </w:p>
    <w:p>
      <w:pPr>
        <w:ind w:left="260" w:right="80" w:hanging="252"/>
        <w:spacing w:after="0" w:line="232" w:lineRule="auto"/>
        <w:tabs>
          <w:tab w:leader="none" w:pos="266"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Includes stock units attributable to the participant’s account under the NQSSP for Mr. Ambrose 3,216; Ms. Hewson 4,040; Mr. Possenriede 2,097; Mr. St. John 99 and Mr. Taiclet 22. Amounts credited to a participant’s account in the NQSSP are distributed in cash following termination of employment. There are no voting rights associated with stock units.</w:t>
      </w:r>
    </w:p>
    <w:p>
      <w:pPr>
        <w:spacing w:after="0" w:line="112" w:lineRule="exact"/>
        <w:rPr>
          <w:rFonts w:ascii="Arial" w:cs="Arial" w:eastAsia="Arial" w:hAnsi="Arial"/>
          <w:sz w:val="19"/>
          <w:szCs w:val="19"/>
          <w:color w:val="auto"/>
          <w:vertAlign w:val="superscript"/>
        </w:rPr>
      </w:pPr>
    </w:p>
    <w:p>
      <w:pPr>
        <w:ind w:left="260" w:right="480" w:hanging="252"/>
        <w:spacing w:after="0" w:line="219" w:lineRule="auto"/>
        <w:tabs>
          <w:tab w:leader="none" w:pos="266"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Includes unvested RSUs for Mr. Ambrose 10,215; Ms. Hewson 24,772; Mr. Possenriede 12,539; Mr. St. John 12,321; and Mr. Taiclet 38,152. Each RSU represents a contingent right to receive one share of common stock. There are no voting rights associated with RSUs.</w:t>
      </w:r>
    </w:p>
    <w:p>
      <w:pPr>
        <w:spacing w:after="0" w:line="158" w:lineRule="exact"/>
        <w:rPr>
          <w:sz w:val="20"/>
          <w:szCs w:val="20"/>
          <w:color w:val="auto"/>
        </w:rPr>
      </w:pPr>
    </w:p>
    <w:p>
      <w:pPr>
        <w:spacing w:after="0"/>
        <w:rPr>
          <w:sz w:val="20"/>
          <w:szCs w:val="20"/>
          <w:color w:val="auto"/>
        </w:rPr>
      </w:pPr>
      <w:r>
        <w:rPr>
          <w:rFonts w:ascii="Arial" w:cs="Arial" w:eastAsia="Arial" w:hAnsi="Arial"/>
          <w:sz w:val="29"/>
          <w:szCs w:val="29"/>
          <w:color w:val="002E6D"/>
        </w:rPr>
        <w:t>Security Ownership of Certain Beneficial Owners</w:t>
      </w:r>
    </w:p>
    <w:p>
      <w:pPr>
        <w:spacing w:after="0" w:line="123"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The following table shows information regarding each person known to be a “beneficial owner” of more than 5% of our common stock. For purposes of this table, beneficial ownership of securities generally means the power to vote or dispose of securities, or the right to acquire securities within 60 days that may be voted or disposed of, regardless of any economic interest in the securities. All information shown is based on information reported by the filer on a Schedule 13G filed with the SEC on the dates indicated in the footnotes to this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80" w:type="dxa"/>
            <w:vAlign w:val="bottom"/>
            <w:tcBorders>
              <w:top w:val="single" w:sz="8" w:color="808080"/>
            </w:tcBorders>
            <w:shd w:val="clear" w:color="auto" w:fill="E5E7EF"/>
          </w:tcPr>
          <w:p>
            <w:pPr>
              <w:spacing w:after="0"/>
              <w:rPr>
                <w:sz w:val="15"/>
                <w:szCs w:val="15"/>
                <w:color w:val="auto"/>
              </w:rPr>
            </w:pPr>
          </w:p>
        </w:tc>
        <w:tc>
          <w:tcPr>
            <w:tcW w:w="4480" w:type="dxa"/>
            <w:vAlign w:val="bottom"/>
            <w:tcBorders>
              <w:top w:val="single" w:sz="8" w:color="808080"/>
            </w:tcBorders>
            <w:shd w:val="clear" w:color="auto" w:fill="E5E7EF"/>
          </w:tcPr>
          <w:p>
            <w:pPr>
              <w:jc w:val="right"/>
              <w:ind w:right="171"/>
              <w:spacing w:after="0"/>
              <w:rPr>
                <w:sz w:val="20"/>
                <w:szCs w:val="20"/>
                <w:color w:val="auto"/>
              </w:rPr>
            </w:pPr>
            <w:r>
              <w:rPr>
                <w:rFonts w:ascii="Arial" w:cs="Arial" w:eastAsia="Arial" w:hAnsi="Arial"/>
                <w:sz w:val="13"/>
                <w:szCs w:val="13"/>
                <w:color w:val="auto"/>
              </w:rPr>
              <w:t>Amount of</w:t>
            </w:r>
          </w:p>
        </w:tc>
        <w:tc>
          <w:tcPr>
            <w:tcW w:w="1340" w:type="dxa"/>
            <w:vAlign w:val="bottom"/>
            <w:tcBorders>
              <w:top w:val="single" w:sz="8" w:color="808080"/>
            </w:tcBorders>
            <w:shd w:val="clear" w:color="auto" w:fill="E5E7EF"/>
          </w:tcPr>
          <w:p>
            <w:pPr>
              <w:jc w:val="right"/>
              <w:spacing w:after="0"/>
              <w:rPr>
                <w:sz w:val="20"/>
                <w:szCs w:val="20"/>
                <w:color w:val="auto"/>
              </w:rPr>
            </w:pPr>
            <w:r>
              <w:rPr>
                <w:rFonts w:ascii="Arial" w:cs="Arial" w:eastAsia="Arial" w:hAnsi="Arial"/>
                <w:sz w:val="13"/>
                <w:szCs w:val="13"/>
                <w:color w:val="auto"/>
              </w:rPr>
              <w:t>Percent of</w:t>
            </w:r>
          </w:p>
        </w:tc>
      </w:tr>
      <w:tr>
        <w:trPr>
          <w:trHeight w:val="186"/>
        </w:trPr>
        <w:tc>
          <w:tcPr>
            <w:tcW w:w="52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 and Address</w:t>
            </w:r>
          </w:p>
        </w:tc>
        <w:tc>
          <w:tcPr>
            <w:tcW w:w="4480" w:type="dxa"/>
            <w:vAlign w:val="bottom"/>
            <w:tcBorders>
              <w:bottom w:val="single" w:sz="8" w:color="E5E7EF"/>
            </w:tcBorders>
            <w:shd w:val="clear" w:color="auto" w:fill="E5E7EF"/>
          </w:tcPr>
          <w:p>
            <w:pPr>
              <w:jc w:val="right"/>
              <w:ind w:right="131"/>
              <w:spacing w:after="0"/>
              <w:rPr>
                <w:sz w:val="20"/>
                <w:szCs w:val="20"/>
                <w:color w:val="auto"/>
              </w:rPr>
            </w:pPr>
            <w:r>
              <w:rPr>
                <w:rFonts w:ascii="Arial" w:cs="Arial" w:eastAsia="Arial" w:hAnsi="Arial"/>
                <w:sz w:val="13"/>
                <w:szCs w:val="13"/>
                <w:color w:val="auto"/>
              </w:rPr>
              <w:t>Common Stock</w:t>
            </w:r>
          </w:p>
        </w:tc>
        <w:tc>
          <w:tcPr>
            <w:tcW w:w="13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Outstanding Shares</w:t>
            </w:r>
          </w:p>
        </w:tc>
      </w:tr>
      <w:tr>
        <w:trPr>
          <w:trHeight w:val="147"/>
        </w:trPr>
        <w:tc>
          <w:tcPr>
            <w:tcW w:w="5280" w:type="dxa"/>
            <w:vAlign w:val="bottom"/>
            <w:tcBorders>
              <w:top w:val="single" w:sz="8" w:color="808080"/>
            </w:tcBorders>
          </w:tcPr>
          <w:p>
            <w:pPr>
              <w:ind w:left="20"/>
              <w:spacing w:after="0" w:line="147" w:lineRule="exact"/>
              <w:rPr>
                <w:sz w:val="20"/>
                <w:szCs w:val="20"/>
                <w:color w:val="auto"/>
              </w:rPr>
            </w:pPr>
            <w:r>
              <w:rPr>
                <w:rFonts w:ascii="Arial" w:cs="Arial" w:eastAsia="Arial" w:hAnsi="Arial"/>
                <w:sz w:val="14"/>
                <w:szCs w:val="14"/>
                <w:color w:val="auto"/>
              </w:rPr>
              <w:t>State Street Corporation</w:t>
            </w:r>
            <w:r>
              <w:rPr>
                <w:rFonts w:ascii="Arial" w:cs="Arial" w:eastAsia="Arial" w:hAnsi="Arial"/>
                <w:sz w:val="17"/>
                <w:szCs w:val="17"/>
                <w:color w:val="auto"/>
                <w:vertAlign w:val="superscript"/>
              </w:rPr>
              <w:t>(1)</w:t>
            </w:r>
          </w:p>
        </w:tc>
        <w:tc>
          <w:tcPr>
            <w:tcW w:w="4480" w:type="dxa"/>
            <w:vAlign w:val="bottom"/>
            <w:tcBorders>
              <w:top w:val="single" w:sz="8" w:color="808080"/>
            </w:tcBorders>
          </w:tcPr>
          <w:p>
            <w:pPr>
              <w:jc w:val="right"/>
              <w:ind w:right="131"/>
              <w:spacing w:after="0" w:line="147" w:lineRule="exact"/>
              <w:rPr>
                <w:sz w:val="20"/>
                <w:szCs w:val="20"/>
                <w:color w:val="auto"/>
              </w:rPr>
            </w:pPr>
            <w:r>
              <w:rPr>
                <w:rFonts w:ascii="Arial" w:cs="Arial" w:eastAsia="Arial" w:hAnsi="Arial"/>
                <w:sz w:val="14"/>
                <w:szCs w:val="14"/>
                <w:color w:val="auto"/>
              </w:rPr>
              <w:t>41,481,043</w:t>
            </w:r>
          </w:p>
        </w:tc>
        <w:tc>
          <w:tcPr>
            <w:tcW w:w="1340" w:type="dxa"/>
            <w:vAlign w:val="bottom"/>
            <w:tcBorders>
              <w:top w:val="single" w:sz="8" w:color="808080"/>
            </w:tcBorders>
          </w:tcPr>
          <w:p>
            <w:pPr>
              <w:jc w:val="right"/>
              <w:spacing w:after="0" w:line="147" w:lineRule="exact"/>
              <w:rPr>
                <w:sz w:val="20"/>
                <w:szCs w:val="20"/>
                <w:color w:val="auto"/>
              </w:rPr>
            </w:pPr>
            <w:r>
              <w:rPr>
                <w:rFonts w:ascii="Arial" w:cs="Arial" w:eastAsia="Arial" w:hAnsi="Arial"/>
                <w:sz w:val="14"/>
                <w:szCs w:val="14"/>
                <w:color w:val="auto"/>
              </w:rPr>
              <w:t>14.8</w:t>
            </w:r>
          </w:p>
        </w:tc>
      </w:tr>
      <w:tr>
        <w:trPr>
          <w:trHeight w:val="135"/>
        </w:trPr>
        <w:tc>
          <w:tcPr>
            <w:tcW w:w="5280" w:type="dxa"/>
            <w:vAlign w:val="bottom"/>
          </w:tcPr>
          <w:p>
            <w:pPr>
              <w:ind w:left="20"/>
              <w:spacing w:after="0" w:line="135" w:lineRule="exact"/>
              <w:rPr>
                <w:sz w:val="20"/>
                <w:szCs w:val="20"/>
                <w:color w:val="auto"/>
              </w:rPr>
            </w:pPr>
            <w:r>
              <w:rPr>
                <w:rFonts w:ascii="Arial" w:cs="Arial" w:eastAsia="Arial" w:hAnsi="Arial"/>
                <w:sz w:val="14"/>
                <w:szCs w:val="14"/>
                <w:color w:val="auto"/>
              </w:rPr>
              <w:t>State Street Financial Center</w:t>
            </w:r>
          </w:p>
        </w:tc>
        <w:tc>
          <w:tcPr>
            <w:tcW w:w="44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5280" w:type="dxa"/>
            <w:vAlign w:val="bottom"/>
          </w:tcPr>
          <w:p>
            <w:pPr>
              <w:ind w:left="20"/>
              <w:spacing w:after="0" w:line="135" w:lineRule="exact"/>
              <w:rPr>
                <w:sz w:val="20"/>
                <w:szCs w:val="20"/>
                <w:color w:val="auto"/>
              </w:rPr>
            </w:pPr>
            <w:r>
              <w:rPr>
                <w:rFonts w:ascii="Arial" w:cs="Arial" w:eastAsia="Arial" w:hAnsi="Arial"/>
                <w:sz w:val="14"/>
                <w:szCs w:val="14"/>
                <w:color w:val="auto"/>
              </w:rPr>
              <w:t>One Lincoln Street</w:t>
            </w:r>
          </w:p>
        </w:tc>
        <w:tc>
          <w:tcPr>
            <w:tcW w:w="44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1"/>
        </w:trPr>
        <w:tc>
          <w:tcPr>
            <w:tcW w:w="528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auto"/>
              </w:rPr>
              <w:t>Boston, MA 02111</w:t>
            </w:r>
          </w:p>
        </w:tc>
        <w:tc>
          <w:tcPr>
            <w:tcW w:w="448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r>
      <w:tr>
        <w:trPr>
          <w:trHeight w:val="147"/>
        </w:trPr>
        <w:tc>
          <w:tcPr>
            <w:tcW w:w="5280" w:type="dxa"/>
            <w:vAlign w:val="bottom"/>
            <w:shd w:val="clear" w:color="auto" w:fill="E5E7EF"/>
          </w:tcPr>
          <w:p>
            <w:pPr>
              <w:ind w:left="20"/>
              <w:spacing w:after="0" w:line="147" w:lineRule="exact"/>
              <w:rPr>
                <w:sz w:val="20"/>
                <w:szCs w:val="20"/>
                <w:color w:val="auto"/>
              </w:rPr>
            </w:pPr>
            <w:r>
              <w:rPr>
                <w:rFonts w:ascii="Arial" w:cs="Arial" w:eastAsia="Arial" w:hAnsi="Arial"/>
                <w:sz w:val="14"/>
                <w:szCs w:val="14"/>
                <w:color w:val="auto"/>
              </w:rPr>
              <w:t>The Vanguard Group</w:t>
            </w:r>
            <w:r>
              <w:rPr>
                <w:rFonts w:ascii="Arial" w:cs="Arial" w:eastAsia="Arial" w:hAnsi="Arial"/>
                <w:sz w:val="17"/>
                <w:szCs w:val="17"/>
                <w:color w:val="auto"/>
                <w:vertAlign w:val="superscript"/>
              </w:rPr>
              <w:t>(2)</w:t>
            </w:r>
          </w:p>
        </w:tc>
        <w:tc>
          <w:tcPr>
            <w:tcW w:w="4480" w:type="dxa"/>
            <w:vAlign w:val="bottom"/>
            <w:shd w:val="clear" w:color="auto" w:fill="E5E7EF"/>
          </w:tcPr>
          <w:p>
            <w:pPr>
              <w:jc w:val="right"/>
              <w:ind w:right="131"/>
              <w:spacing w:after="0" w:line="147" w:lineRule="exact"/>
              <w:rPr>
                <w:sz w:val="20"/>
                <w:szCs w:val="20"/>
                <w:color w:val="auto"/>
              </w:rPr>
            </w:pPr>
            <w:r>
              <w:rPr>
                <w:rFonts w:ascii="Arial" w:cs="Arial" w:eastAsia="Arial" w:hAnsi="Arial"/>
                <w:sz w:val="14"/>
                <w:szCs w:val="14"/>
                <w:color w:val="auto"/>
              </w:rPr>
              <w:t>21,657,574</w:t>
            </w:r>
          </w:p>
        </w:tc>
        <w:tc>
          <w:tcPr>
            <w:tcW w:w="1340" w:type="dxa"/>
            <w:vAlign w:val="bottom"/>
            <w:shd w:val="clear" w:color="auto" w:fill="E5E7EF"/>
          </w:tcPr>
          <w:p>
            <w:pPr>
              <w:jc w:val="right"/>
              <w:spacing w:after="0" w:line="147" w:lineRule="exact"/>
              <w:rPr>
                <w:sz w:val="20"/>
                <w:szCs w:val="20"/>
                <w:color w:val="auto"/>
              </w:rPr>
            </w:pPr>
            <w:r>
              <w:rPr>
                <w:rFonts w:ascii="Arial" w:cs="Arial" w:eastAsia="Arial" w:hAnsi="Arial"/>
                <w:sz w:val="14"/>
                <w:szCs w:val="14"/>
                <w:color w:val="auto"/>
              </w:rPr>
              <w:t>7.7</w:t>
            </w:r>
          </w:p>
        </w:tc>
      </w:tr>
      <w:tr>
        <w:trPr>
          <w:trHeight w:val="135"/>
        </w:trPr>
        <w:tc>
          <w:tcPr>
            <w:tcW w:w="5280" w:type="dxa"/>
            <w:vAlign w:val="bottom"/>
            <w:shd w:val="clear" w:color="auto" w:fill="E5E7EF"/>
          </w:tcPr>
          <w:p>
            <w:pPr>
              <w:ind w:left="20"/>
              <w:spacing w:after="0" w:line="135" w:lineRule="exact"/>
              <w:rPr>
                <w:sz w:val="20"/>
                <w:szCs w:val="20"/>
                <w:color w:val="auto"/>
              </w:rPr>
            </w:pPr>
            <w:r>
              <w:rPr>
                <w:rFonts w:ascii="Arial" w:cs="Arial" w:eastAsia="Arial" w:hAnsi="Arial"/>
                <w:sz w:val="14"/>
                <w:szCs w:val="14"/>
                <w:color w:val="auto"/>
              </w:rPr>
              <w:t>100 Vanguard Boulevard</w:t>
            </w:r>
          </w:p>
        </w:tc>
        <w:tc>
          <w:tcPr>
            <w:tcW w:w="4480" w:type="dxa"/>
            <w:vAlign w:val="bottom"/>
            <w:shd w:val="clear" w:color="auto" w:fill="E5E7EF"/>
          </w:tcPr>
          <w:p>
            <w:pPr>
              <w:spacing w:after="0"/>
              <w:rPr>
                <w:sz w:val="11"/>
                <w:szCs w:val="11"/>
                <w:color w:val="auto"/>
              </w:rPr>
            </w:pPr>
          </w:p>
        </w:tc>
        <w:tc>
          <w:tcPr>
            <w:tcW w:w="1340" w:type="dxa"/>
            <w:vAlign w:val="bottom"/>
            <w:shd w:val="clear" w:color="auto" w:fill="E5E7EF"/>
          </w:tcPr>
          <w:p>
            <w:pPr>
              <w:spacing w:after="0"/>
              <w:rPr>
                <w:sz w:val="11"/>
                <w:szCs w:val="11"/>
                <w:color w:val="auto"/>
              </w:rPr>
            </w:pPr>
          </w:p>
        </w:tc>
      </w:tr>
      <w:tr>
        <w:trPr>
          <w:trHeight w:val="171"/>
        </w:trPr>
        <w:tc>
          <w:tcPr>
            <w:tcW w:w="528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color w:val="auto"/>
              </w:rPr>
              <w:t>Malvern, PA 19355</w:t>
            </w:r>
          </w:p>
        </w:tc>
        <w:tc>
          <w:tcPr>
            <w:tcW w:w="4480" w:type="dxa"/>
            <w:vAlign w:val="bottom"/>
            <w:tcBorders>
              <w:bottom w:val="single" w:sz="8" w:color="808080"/>
            </w:tcBorders>
            <w:shd w:val="clear" w:color="auto" w:fill="E5E7EF"/>
          </w:tcPr>
          <w:p>
            <w:pPr>
              <w:spacing w:after="0"/>
              <w:rPr>
                <w:sz w:val="14"/>
                <w:szCs w:val="14"/>
                <w:color w:val="auto"/>
              </w:rPr>
            </w:pPr>
          </w:p>
        </w:tc>
        <w:tc>
          <w:tcPr>
            <w:tcW w:w="1340" w:type="dxa"/>
            <w:vAlign w:val="bottom"/>
            <w:tcBorders>
              <w:bottom w:val="single" w:sz="8" w:color="808080"/>
            </w:tcBorders>
            <w:shd w:val="clear" w:color="auto" w:fill="E5E7EF"/>
          </w:tcPr>
          <w:p>
            <w:pPr>
              <w:spacing w:after="0"/>
              <w:rPr>
                <w:sz w:val="14"/>
                <w:szCs w:val="14"/>
                <w:color w:val="auto"/>
              </w:rPr>
            </w:pPr>
          </w:p>
        </w:tc>
      </w:tr>
      <w:tr>
        <w:trPr>
          <w:trHeight w:val="147"/>
        </w:trPr>
        <w:tc>
          <w:tcPr>
            <w:tcW w:w="5280" w:type="dxa"/>
            <w:vAlign w:val="bottom"/>
          </w:tcPr>
          <w:p>
            <w:pPr>
              <w:ind w:left="20"/>
              <w:spacing w:after="0" w:line="147" w:lineRule="exact"/>
              <w:rPr>
                <w:sz w:val="20"/>
                <w:szCs w:val="20"/>
                <w:color w:val="auto"/>
              </w:rPr>
            </w:pPr>
            <w:r>
              <w:rPr>
                <w:rFonts w:ascii="Arial" w:cs="Arial" w:eastAsia="Arial" w:hAnsi="Arial"/>
                <w:sz w:val="14"/>
                <w:szCs w:val="14"/>
                <w:color w:val="auto"/>
              </w:rPr>
              <w:t>BlackRock, Inc.</w:t>
            </w:r>
            <w:r>
              <w:rPr>
                <w:rFonts w:ascii="Arial" w:cs="Arial" w:eastAsia="Arial" w:hAnsi="Arial"/>
                <w:sz w:val="17"/>
                <w:szCs w:val="17"/>
                <w:color w:val="auto"/>
                <w:vertAlign w:val="superscript"/>
              </w:rPr>
              <w:t>(3)</w:t>
            </w:r>
          </w:p>
        </w:tc>
        <w:tc>
          <w:tcPr>
            <w:tcW w:w="4480" w:type="dxa"/>
            <w:vAlign w:val="bottom"/>
          </w:tcPr>
          <w:p>
            <w:pPr>
              <w:jc w:val="right"/>
              <w:ind w:right="131"/>
              <w:spacing w:after="0" w:line="147" w:lineRule="exact"/>
              <w:rPr>
                <w:sz w:val="20"/>
                <w:szCs w:val="20"/>
                <w:color w:val="auto"/>
              </w:rPr>
            </w:pPr>
            <w:r>
              <w:rPr>
                <w:rFonts w:ascii="Arial" w:cs="Arial" w:eastAsia="Arial" w:hAnsi="Arial"/>
                <w:sz w:val="14"/>
                <w:szCs w:val="14"/>
                <w:color w:val="auto"/>
              </w:rPr>
              <w:t>16,564,701</w:t>
            </w:r>
          </w:p>
        </w:tc>
        <w:tc>
          <w:tcPr>
            <w:tcW w:w="1340" w:type="dxa"/>
            <w:vAlign w:val="bottom"/>
          </w:tcPr>
          <w:p>
            <w:pPr>
              <w:jc w:val="right"/>
              <w:spacing w:after="0" w:line="147" w:lineRule="exact"/>
              <w:rPr>
                <w:sz w:val="20"/>
                <w:szCs w:val="20"/>
                <w:color w:val="auto"/>
              </w:rPr>
            </w:pPr>
            <w:r>
              <w:rPr>
                <w:rFonts w:ascii="Arial" w:cs="Arial" w:eastAsia="Arial" w:hAnsi="Arial"/>
                <w:sz w:val="14"/>
                <w:szCs w:val="14"/>
                <w:color w:val="auto"/>
              </w:rPr>
              <w:t>5.9</w:t>
            </w:r>
          </w:p>
        </w:tc>
      </w:tr>
      <w:tr>
        <w:trPr>
          <w:trHeight w:val="135"/>
        </w:trPr>
        <w:tc>
          <w:tcPr>
            <w:tcW w:w="5280" w:type="dxa"/>
            <w:vAlign w:val="bottom"/>
          </w:tcPr>
          <w:p>
            <w:pPr>
              <w:ind w:left="20"/>
              <w:spacing w:after="0" w:line="135" w:lineRule="exact"/>
              <w:rPr>
                <w:sz w:val="20"/>
                <w:szCs w:val="20"/>
                <w:color w:val="auto"/>
              </w:rPr>
            </w:pPr>
            <w:r>
              <w:rPr>
                <w:rFonts w:ascii="Arial" w:cs="Arial" w:eastAsia="Arial" w:hAnsi="Arial"/>
                <w:sz w:val="14"/>
                <w:szCs w:val="14"/>
                <w:color w:val="auto"/>
              </w:rPr>
              <w:t>55 East 52nd Street</w:t>
            </w:r>
          </w:p>
        </w:tc>
        <w:tc>
          <w:tcPr>
            <w:tcW w:w="44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1"/>
        </w:trPr>
        <w:tc>
          <w:tcPr>
            <w:tcW w:w="528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auto"/>
              </w:rPr>
              <w:t>New York, NY 10055</w:t>
            </w:r>
          </w:p>
        </w:tc>
        <w:tc>
          <w:tcPr>
            <w:tcW w:w="448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r>
      <w:tr>
        <w:trPr>
          <w:trHeight w:val="147"/>
        </w:trPr>
        <w:tc>
          <w:tcPr>
            <w:tcW w:w="5280" w:type="dxa"/>
            <w:vAlign w:val="bottom"/>
            <w:shd w:val="clear" w:color="auto" w:fill="E5E7EF"/>
          </w:tcPr>
          <w:p>
            <w:pPr>
              <w:ind w:left="20"/>
              <w:spacing w:after="0" w:line="147" w:lineRule="exact"/>
              <w:rPr>
                <w:sz w:val="20"/>
                <w:szCs w:val="20"/>
                <w:color w:val="auto"/>
              </w:rPr>
            </w:pPr>
            <w:r>
              <w:rPr>
                <w:rFonts w:ascii="Arial" w:cs="Arial" w:eastAsia="Arial" w:hAnsi="Arial"/>
                <w:sz w:val="14"/>
                <w:szCs w:val="14"/>
                <w:color w:val="auto"/>
              </w:rPr>
              <w:t>Capital World Investors</w:t>
            </w:r>
            <w:r>
              <w:rPr>
                <w:rFonts w:ascii="Arial" w:cs="Arial" w:eastAsia="Arial" w:hAnsi="Arial"/>
                <w:sz w:val="17"/>
                <w:szCs w:val="17"/>
                <w:color w:val="auto"/>
                <w:vertAlign w:val="superscript"/>
              </w:rPr>
              <w:t>(4)</w:t>
            </w:r>
          </w:p>
        </w:tc>
        <w:tc>
          <w:tcPr>
            <w:tcW w:w="4480" w:type="dxa"/>
            <w:vAlign w:val="bottom"/>
            <w:shd w:val="clear" w:color="auto" w:fill="E5E7EF"/>
          </w:tcPr>
          <w:p>
            <w:pPr>
              <w:jc w:val="right"/>
              <w:ind w:right="131"/>
              <w:spacing w:after="0" w:line="147" w:lineRule="exact"/>
              <w:rPr>
                <w:sz w:val="20"/>
                <w:szCs w:val="20"/>
                <w:color w:val="auto"/>
              </w:rPr>
            </w:pPr>
            <w:r>
              <w:rPr>
                <w:rFonts w:ascii="Arial" w:cs="Arial" w:eastAsia="Arial" w:hAnsi="Arial"/>
                <w:sz w:val="14"/>
                <w:szCs w:val="14"/>
                <w:color w:val="auto"/>
              </w:rPr>
              <w:t>16,187,677</w:t>
            </w:r>
          </w:p>
        </w:tc>
        <w:tc>
          <w:tcPr>
            <w:tcW w:w="1340" w:type="dxa"/>
            <w:vAlign w:val="bottom"/>
            <w:shd w:val="clear" w:color="auto" w:fill="E5E7EF"/>
          </w:tcPr>
          <w:p>
            <w:pPr>
              <w:jc w:val="right"/>
              <w:spacing w:after="0" w:line="147" w:lineRule="exact"/>
              <w:rPr>
                <w:sz w:val="20"/>
                <w:szCs w:val="20"/>
                <w:color w:val="auto"/>
              </w:rPr>
            </w:pPr>
            <w:r>
              <w:rPr>
                <w:rFonts w:ascii="Arial" w:cs="Arial" w:eastAsia="Arial" w:hAnsi="Arial"/>
                <w:sz w:val="14"/>
                <w:szCs w:val="14"/>
                <w:color w:val="auto"/>
              </w:rPr>
              <w:t>5.8</w:t>
            </w:r>
          </w:p>
        </w:tc>
      </w:tr>
      <w:tr>
        <w:trPr>
          <w:trHeight w:val="135"/>
        </w:trPr>
        <w:tc>
          <w:tcPr>
            <w:tcW w:w="5280" w:type="dxa"/>
            <w:vAlign w:val="bottom"/>
            <w:shd w:val="clear" w:color="auto" w:fill="E5E7EF"/>
          </w:tcPr>
          <w:p>
            <w:pPr>
              <w:ind w:left="20"/>
              <w:spacing w:after="0" w:line="135" w:lineRule="exact"/>
              <w:rPr>
                <w:sz w:val="20"/>
                <w:szCs w:val="20"/>
                <w:color w:val="auto"/>
              </w:rPr>
            </w:pPr>
            <w:r>
              <w:rPr>
                <w:rFonts w:ascii="Arial" w:cs="Arial" w:eastAsia="Arial" w:hAnsi="Arial"/>
                <w:sz w:val="14"/>
                <w:szCs w:val="14"/>
                <w:color w:val="auto"/>
              </w:rPr>
              <w:t>333 South Hope Street</w:t>
            </w:r>
          </w:p>
        </w:tc>
        <w:tc>
          <w:tcPr>
            <w:tcW w:w="4480" w:type="dxa"/>
            <w:vAlign w:val="bottom"/>
            <w:shd w:val="clear" w:color="auto" w:fill="E5E7EF"/>
          </w:tcPr>
          <w:p>
            <w:pPr>
              <w:spacing w:after="0"/>
              <w:rPr>
                <w:sz w:val="11"/>
                <w:szCs w:val="11"/>
                <w:color w:val="auto"/>
              </w:rPr>
            </w:pPr>
          </w:p>
        </w:tc>
        <w:tc>
          <w:tcPr>
            <w:tcW w:w="1340" w:type="dxa"/>
            <w:vAlign w:val="bottom"/>
            <w:shd w:val="clear" w:color="auto" w:fill="E5E7EF"/>
          </w:tcPr>
          <w:p>
            <w:pPr>
              <w:spacing w:after="0"/>
              <w:rPr>
                <w:sz w:val="11"/>
                <w:szCs w:val="11"/>
                <w:color w:val="auto"/>
              </w:rPr>
            </w:pPr>
          </w:p>
        </w:tc>
      </w:tr>
      <w:tr>
        <w:trPr>
          <w:trHeight w:val="171"/>
        </w:trPr>
        <w:tc>
          <w:tcPr>
            <w:tcW w:w="5280" w:type="dxa"/>
            <w:vAlign w:val="bottom"/>
            <w:tcBorders>
              <w:bottom w:val="single" w:sz="8" w:color="929292"/>
            </w:tcBorders>
            <w:shd w:val="clear" w:color="auto" w:fill="E5E7EF"/>
          </w:tcPr>
          <w:p>
            <w:pPr>
              <w:ind w:left="20"/>
              <w:spacing w:after="0"/>
              <w:rPr>
                <w:sz w:val="20"/>
                <w:szCs w:val="20"/>
                <w:color w:val="auto"/>
              </w:rPr>
            </w:pPr>
            <w:r>
              <w:rPr>
                <w:rFonts w:ascii="Arial" w:cs="Arial" w:eastAsia="Arial" w:hAnsi="Arial"/>
                <w:sz w:val="14"/>
                <w:szCs w:val="14"/>
                <w:color w:val="auto"/>
              </w:rPr>
              <w:t>Los Angeles, CA 90071</w:t>
            </w:r>
          </w:p>
        </w:tc>
        <w:tc>
          <w:tcPr>
            <w:tcW w:w="4480" w:type="dxa"/>
            <w:vAlign w:val="bottom"/>
            <w:tcBorders>
              <w:bottom w:val="single" w:sz="8" w:color="929292"/>
            </w:tcBorders>
            <w:shd w:val="clear" w:color="auto" w:fill="E5E7EF"/>
          </w:tcPr>
          <w:p>
            <w:pPr>
              <w:spacing w:after="0"/>
              <w:rPr>
                <w:sz w:val="14"/>
                <w:szCs w:val="14"/>
                <w:color w:val="auto"/>
              </w:rPr>
            </w:pPr>
          </w:p>
        </w:tc>
        <w:tc>
          <w:tcPr>
            <w:tcW w:w="1340" w:type="dxa"/>
            <w:vAlign w:val="bottom"/>
            <w:tcBorders>
              <w:bottom w:val="single" w:sz="8" w:color="929292"/>
            </w:tcBorders>
            <w:shd w:val="clear" w:color="auto" w:fill="E5E7EF"/>
          </w:tcPr>
          <w:p>
            <w:pPr>
              <w:spacing w:after="0"/>
              <w:rPr>
                <w:sz w:val="14"/>
                <w:szCs w:val="14"/>
                <w:color w:val="auto"/>
              </w:rPr>
            </w:pPr>
          </w:p>
        </w:tc>
      </w:tr>
    </w:tbl>
    <w:p>
      <w:pPr>
        <w:spacing w:after="0" w:line="113" w:lineRule="exact"/>
        <w:rPr>
          <w:sz w:val="20"/>
          <w:szCs w:val="20"/>
          <w:color w:val="auto"/>
        </w:rPr>
      </w:pPr>
    </w:p>
    <w:p>
      <w:pPr>
        <w:ind w:left="260" w:hanging="252"/>
        <w:spacing w:after="0" w:line="251" w:lineRule="auto"/>
        <w:tabs>
          <w:tab w:leader="none" w:pos="266"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As reported on a Schedule 13G/A filed on February 24, 2021 by State Street Corporation on behalf of itself and specified direct and indirect subsidiaries (State Street) in their various fiduciary and other capacities. State Street had shared voting power with respect to 40,620,469 shares and shared dispositive power with respect to 41,478,942 shares and did not have sole dispositive or sole voting power over any shares. State Street Bank and Trust Company (SSBTC) is the trustee and State Street Global Advisors Trust Company (SSGA) is the independent fiduciary and investment manager for Lockheed Martin common stock held in a master trust for Lockheed Martin benefit plans. SSBTC beneficially owns 31,697,118 of the shares held by State Street all of which are held in its capacity as trustee for various Lockheed Martin benefit plans and SSBTC had shared voting power over 31,697,118 shares and shared dispositive power over 1,306,864 shares. SSGA beneficially owns 36,204,035 of the shares held by State Street of which 30,390,254 were held by SSGA as independent fiduciary and investment manager for Lockheed Martin employee benefit plans and SSGA had shared voting power over 5,148,403 shares and shared dispositive power over 36,203,371 shares.</w:t>
      </w:r>
    </w:p>
    <w:p>
      <w:pPr>
        <w:spacing w:after="0" w:line="104" w:lineRule="exact"/>
        <w:rPr>
          <w:rFonts w:ascii="Arial" w:cs="Arial" w:eastAsia="Arial" w:hAnsi="Arial"/>
          <w:sz w:val="19"/>
          <w:szCs w:val="19"/>
          <w:color w:val="auto"/>
          <w:vertAlign w:val="superscript"/>
        </w:rPr>
      </w:pPr>
    </w:p>
    <w:p>
      <w:pPr>
        <w:ind w:left="260" w:right="300" w:hanging="252"/>
        <w:spacing w:after="0" w:line="219" w:lineRule="auto"/>
        <w:tabs>
          <w:tab w:leader="none" w:pos="266"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As reported on a Schedule 13G/A filed on February 10, 2021 by The Vanguard Group. The Vanguard Group had sole dispositive power over 20,577,480 shares, shared dispositive power over 1,080,094 shares, shared voting power over 411,585 shares and did not have sole voting power over any shares.</w:t>
      </w:r>
    </w:p>
    <w:p>
      <w:pPr>
        <w:spacing w:after="0" w:line="112" w:lineRule="exact"/>
        <w:rPr>
          <w:rFonts w:ascii="Arial" w:cs="Arial" w:eastAsia="Arial" w:hAnsi="Arial"/>
          <w:sz w:val="19"/>
          <w:szCs w:val="19"/>
          <w:color w:val="auto"/>
          <w:vertAlign w:val="superscript"/>
        </w:rPr>
      </w:pPr>
    </w:p>
    <w:p>
      <w:pPr>
        <w:ind w:left="260" w:right="180" w:hanging="252"/>
        <w:spacing w:after="0" w:line="219" w:lineRule="auto"/>
        <w:tabs>
          <w:tab w:leader="none" w:pos="266"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As reported on a Schedule 13G/A filed on January 29, 2021 by BlackRock, Inc. BlackRock, Inc. had sole dispositive power over 16,564,701 shares and sole voting power over 15,117,838 shares and did not have shared dispositive or shared voting power over any shares.</w:t>
      </w:r>
    </w:p>
    <w:p>
      <w:pPr>
        <w:spacing w:after="0" w:line="112" w:lineRule="exact"/>
        <w:rPr>
          <w:rFonts w:ascii="Arial" w:cs="Arial" w:eastAsia="Arial" w:hAnsi="Arial"/>
          <w:sz w:val="19"/>
          <w:szCs w:val="19"/>
          <w:color w:val="auto"/>
          <w:vertAlign w:val="superscript"/>
        </w:rPr>
      </w:pPr>
    </w:p>
    <w:p>
      <w:pPr>
        <w:ind w:left="260" w:right="60" w:hanging="252"/>
        <w:spacing w:after="0" w:line="232" w:lineRule="auto"/>
        <w:tabs>
          <w:tab w:leader="none" w:pos="266"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As reported on a Schedule 13G/A filed on February 16, 2021 by Capital World Investors (Capital World), a division of Capital Research and Management Company. Capital World had sole dispositive power over 16,187,677 shares and sole voting power over 16,174,893 shares and did not have shared dispositive or shared voting power over 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273685</wp:posOffset>
            </wp:positionV>
            <wp:extent cx="969010" cy="2228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80</w:t>
      </w:r>
    </w:p>
    <w:p>
      <w:pPr>
        <w:sectPr>
          <w:pgSz w:w="11900" w:h="16838" w:orient="portrait"/>
          <w:cols w:equalWidth="0" w:num="1">
            <w:col w:w="11220"/>
          </w:cols>
          <w:pgMar w:left="320" w:top="609" w:right="359" w:bottom="1440" w:gutter="0" w:footer="0" w:header="0"/>
        </w:sectPr>
      </w:pPr>
    </w:p>
    <w:bookmarkStart w:id="84" w:name="page85"/>
    <w:bookmarkEnd w:id="84"/>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487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48790"/>
                    </a:xfrm>
                    <a:prstGeom prst="rect">
                      <a:avLst/>
                    </a:prstGeom>
                    <a:noFill/>
                  </pic:spPr>
                </pic:pic>
              </a:graphicData>
            </a:graphic>
          </wp:anchor>
        </w:drawing>
      </w:r>
    </w:p>
    <w:p>
      <w:pPr>
        <w:ind w:left="480"/>
        <w:spacing w:after="0"/>
        <w:rPr>
          <w:sz w:val="20"/>
          <w:szCs w:val="20"/>
          <w:color w:val="auto"/>
        </w:rPr>
      </w:pPr>
      <w:r>
        <w:rPr>
          <w:rFonts w:ascii="Arial" w:cs="Arial" w:eastAsia="Arial" w:hAnsi="Arial"/>
          <w:sz w:val="39"/>
          <w:szCs w:val="39"/>
          <w:color w:val="012E6C"/>
          <w:vertAlign w:val="superscript"/>
        </w:rPr>
        <w:t>Proposal</w:t>
      </w:r>
      <w:r>
        <w:rPr>
          <w:rFonts w:ascii="Arial" w:cs="Arial" w:eastAsia="Arial" w:hAnsi="Arial"/>
          <w:sz w:val="29"/>
          <w:szCs w:val="29"/>
          <w:color w:val="002E6D"/>
        </w:rPr>
        <w:t xml:space="preserve">  Stockholder Proposal to Adopt Stockholder Action by</w:t>
      </w:r>
    </w:p>
    <w:p>
      <w:pPr>
        <w:ind w:left="1460" w:hanging="361"/>
        <w:spacing w:after="0" w:line="180" w:lineRule="auto"/>
        <w:tabs>
          <w:tab w:leader="none" w:pos="1460" w:val="left"/>
        </w:tabs>
        <w:numPr>
          <w:ilvl w:val="0"/>
          <w:numId w:val="118"/>
        </w:numPr>
        <w:rPr>
          <w:rFonts w:ascii="Arial" w:cs="Arial" w:eastAsia="Arial" w:hAnsi="Arial"/>
          <w:sz w:val="48"/>
          <w:szCs w:val="48"/>
          <w:color w:val="012E6C"/>
          <w:vertAlign w:val="superscript"/>
        </w:rPr>
      </w:pPr>
      <w:r>
        <w:rPr>
          <w:rFonts w:ascii="Arial" w:cs="Arial" w:eastAsia="Arial" w:hAnsi="Arial"/>
          <w:sz w:val="26"/>
          <w:szCs w:val="26"/>
          <w:color w:val="002E6D"/>
        </w:rPr>
        <w:t>Written Consent</w:t>
      </w:r>
    </w:p>
    <w:p>
      <w:pPr>
        <w:spacing w:after="0" w:line="218" w:lineRule="exact"/>
        <w:rPr>
          <w:rFonts w:ascii="Arial" w:cs="Arial" w:eastAsia="Arial" w:hAnsi="Arial"/>
          <w:sz w:val="48"/>
          <w:szCs w:val="48"/>
          <w:color w:val="012E6C"/>
          <w:vertAlign w:val="superscript"/>
        </w:rPr>
      </w:pPr>
    </w:p>
    <w:p>
      <w:pPr>
        <w:ind w:left="1620" w:right="60" w:hanging="163"/>
        <w:spacing w:after="0" w:line="276" w:lineRule="auto"/>
        <w:tabs>
          <w:tab w:leader="none" w:pos="1708" w:val="left"/>
        </w:tabs>
        <w:numPr>
          <w:ilvl w:val="1"/>
          <w:numId w:val="118"/>
        </w:numPr>
        <w:rPr>
          <w:rFonts w:ascii="Arial" w:cs="Arial" w:eastAsia="Arial" w:hAnsi="Arial"/>
          <w:sz w:val="17"/>
          <w:szCs w:val="17"/>
          <w:color w:val="012E6C"/>
        </w:rPr>
      </w:pPr>
      <w:r>
        <w:rPr>
          <w:rFonts w:ascii="Arial" w:cs="Arial" w:eastAsia="Arial" w:hAnsi="Arial"/>
          <w:sz w:val="17"/>
          <w:szCs w:val="17"/>
          <w:color w:val="012E6C"/>
        </w:rPr>
        <w:t>Stockholders have rejected substantially similar proposals from the same proponent six times previously, including last year.</w:t>
      </w:r>
    </w:p>
    <w:p>
      <w:pPr>
        <w:spacing w:after="0" w:line="36" w:lineRule="exact"/>
        <w:rPr>
          <w:rFonts w:ascii="Arial" w:cs="Arial" w:eastAsia="Arial" w:hAnsi="Arial"/>
          <w:sz w:val="17"/>
          <w:szCs w:val="17"/>
          <w:color w:val="012E6C"/>
        </w:rPr>
      </w:pPr>
    </w:p>
    <w:p>
      <w:pPr>
        <w:ind w:left="1700" w:hanging="243"/>
        <w:spacing w:after="0"/>
        <w:tabs>
          <w:tab w:leader="none" w:pos="1700" w:val="left"/>
        </w:tabs>
        <w:numPr>
          <w:ilvl w:val="1"/>
          <w:numId w:val="118"/>
        </w:numPr>
        <w:rPr>
          <w:rFonts w:ascii="Arial" w:cs="Arial" w:eastAsia="Arial" w:hAnsi="Arial"/>
          <w:sz w:val="17"/>
          <w:szCs w:val="17"/>
          <w:color w:val="012E6C"/>
        </w:rPr>
      </w:pPr>
      <w:r>
        <w:rPr>
          <w:rFonts w:ascii="Arial" w:cs="Arial" w:eastAsia="Arial" w:hAnsi="Arial"/>
          <w:sz w:val="17"/>
          <w:szCs w:val="17"/>
          <w:color w:val="012E6C"/>
        </w:rPr>
        <w:t>Stockholders already have the right to call a special meeting at any time.</w:t>
      </w:r>
    </w:p>
    <w:p>
      <w:pPr>
        <w:spacing w:after="0" w:line="74" w:lineRule="exact"/>
        <w:rPr>
          <w:rFonts w:ascii="Arial" w:cs="Arial" w:eastAsia="Arial" w:hAnsi="Arial"/>
          <w:sz w:val="17"/>
          <w:szCs w:val="17"/>
          <w:color w:val="012E6C"/>
        </w:rPr>
      </w:pPr>
    </w:p>
    <w:p>
      <w:pPr>
        <w:ind w:left="1620" w:hanging="163"/>
        <w:spacing w:after="0" w:line="276" w:lineRule="auto"/>
        <w:tabs>
          <w:tab w:leader="none" w:pos="1708" w:val="left"/>
        </w:tabs>
        <w:numPr>
          <w:ilvl w:val="1"/>
          <w:numId w:val="118"/>
        </w:numPr>
        <w:rPr>
          <w:rFonts w:ascii="Arial" w:cs="Arial" w:eastAsia="Arial" w:hAnsi="Arial"/>
          <w:sz w:val="17"/>
          <w:szCs w:val="17"/>
          <w:color w:val="012E6C"/>
        </w:rPr>
      </w:pPr>
      <w:r>
        <w:rPr>
          <w:rFonts w:ascii="Arial" w:cs="Arial" w:eastAsia="Arial" w:hAnsi="Arial"/>
          <w:sz w:val="17"/>
          <w:szCs w:val="17"/>
          <w:color w:val="012E6C"/>
        </w:rPr>
        <w:t>Strong existing corporate governance policies provide stockholders multiple means to express their views and ensure Board accountability.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012E6C"/>
        </w:rPr>
        <w:t>The Board unanimously recommends that you vote AGAINST Proposal 4.</w:t>
      </w:r>
    </w:p>
    <w:p>
      <w:pPr>
        <w:spacing w:after="0" w:line="691" w:lineRule="exact"/>
        <w:rPr>
          <w:sz w:val="20"/>
          <w:szCs w:val="20"/>
          <w:color w:val="auto"/>
        </w:rPr>
      </w:pPr>
    </w:p>
    <w:p>
      <w:pPr>
        <w:sectPr>
          <w:pgSz w:w="11900" w:h="16838" w:orient="portrait"/>
          <w:cols w:equalWidth="0" w:num="2">
            <w:col w:w="8820" w:space="300"/>
            <w:col w:w="2100"/>
          </w:cols>
          <w:pgMar w:left="320" w:top="1440" w:right="35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Mr. John Chevedden has informed us that he intends to introduce the proposal set forth below at the Annual Meeting.</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Beginning of Stockholder Proposal—Text and Graphic are Reprinted from the Stockholder Submission: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4 — Shareholder Right to Act by Written Consent</w:t>
      </w:r>
    </w:p>
    <w:p>
      <w:pPr>
        <w:spacing w:after="0" w:line="149" w:lineRule="exact"/>
        <w:rPr>
          <w:sz w:val="20"/>
          <w:szCs w:val="20"/>
          <w:color w:val="auto"/>
        </w:rPr>
      </w:pPr>
    </w:p>
    <w:p>
      <w:pPr>
        <w:jc w:val="both"/>
        <w:ind w:left="20" w:right="260"/>
        <w:spacing w:after="0" w:line="270" w:lineRule="auto"/>
        <w:rPr>
          <w:sz w:val="20"/>
          <w:szCs w:val="20"/>
          <w:color w:val="auto"/>
        </w:rPr>
      </w:pPr>
      <w:r>
        <w:rPr>
          <w:rFonts w:ascii="Arial" w:cs="Arial" w:eastAsia="Arial" w:hAnsi="Arial"/>
          <w:sz w:val="17"/>
          <w:szCs w:val="17"/>
          <w:color w:val="auto"/>
        </w:rPr>
        <w:t>Shareholders request that our board of directors undertake such steps as may be necessary to permit written consent by shareholders entitled to cast the minimum number of votes that would be necessary to authorize the action at a meeting at which all shareholders entitled to vote thereon were present and voting. This includes shareholder ability to initiate any appropriate topic for written consent.</w:t>
      </w:r>
    </w:p>
    <w:p>
      <w:pPr>
        <w:spacing w:after="0" w:line="42" w:lineRule="exact"/>
        <w:rPr>
          <w:sz w:val="20"/>
          <w:szCs w:val="20"/>
          <w:color w:val="auto"/>
        </w:rPr>
      </w:pPr>
    </w:p>
    <w:p>
      <w:pPr>
        <w:ind w:left="20" w:right="600"/>
        <w:spacing w:after="0" w:line="276" w:lineRule="auto"/>
        <w:rPr>
          <w:sz w:val="20"/>
          <w:szCs w:val="20"/>
          <w:color w:val="auto"/>
        </w:rPr>
      </w:pPr>
      <w:r>
        <w:rPr>
          <w:rFonts w:ascii="Arial" w:cs="Arial" w:eastAsia="Arial" w:hAnsi="Arial"/>
          <w:sz w:val="17"/>
          <w:szCs w:val="17"/>
          <w:color w:val="auto"/>
        </w:rPr>
        <w:t>Taking action by written consent in place of a meeting is a means shareholders can use to raise important matters outside the normal annual meeting cycle like the election of a new director.</w:t>
      </w:r>
    </w:p>
    <w:p>
      <w:pPr>
        <w:spacing w:after="0" w:line="36" w:lineRule="exact"/>
        <w:rPr>
          <w:sz w:val="20"/>
          <w:szCs w:val="20"/>
          <w:color w:val="auto"/>
        </w:rPr>
      </w:pPr>
    </w:p>
    <w:p>
      <w:pPr>
        <w:ind w:left="20" w:right="120"/>
        <w:spacing w:after="0" w:line="270" w:lineRule="auto"/>
        <w:rPr>
          <w:sz w:val="20"/>
          <w:szCs w:val="20"/>
          <w:color w:val="auto"/>
        </w:rPr>
      </w:pPr>
      <w:r>
        <w:rPr>
          <w:rFonts w:ascii="Arial" w:cs="Arial" w:eastAsia="Arial" w:hAnsi="Arial"/>
          <w:sz w:val="17"/>
          <w:szCs w:val="17"/>
          <w:color w:val="auto"/>
        </w:rPr>
        <w:t>It is also more important than ever to be able to replace a director through written consent because it is now almost impossible to remove a Lockheed Martin director otherwise because a director can be removed only for cause. Removal only for cause is an euphemistic way to say that a director has near immunity to being removed.</w:t>
      </w:r>
    </w:p>
    <w:p>
      <w:pPr>
        <w:spacing w:after="0" w:line="96" w:lineRule="exact"/>
        <w:rPr>
          <w:sz w:val="20"/>
          <w:szCs w:val="20"/>
          <w:color w:val="auto"/>
        </w:rPr>
      </w:pPr>
    </w:p>
    <w:p>
      <w:pPr>
        <w:ind w:left="20" w:right="180"/>
        <w:spacing w:after="0" w:line="270" w:lineRule="auto"/>
        <w:rPr>
          <w:sz w:val="20"/>
          <w:szCs w:val="20"/>
          <w:color w:val="auto"/>
        </w:rPr>
      </w:pPr>
      <w:r>
        <w:rPr>
          <w:rFonts w:ascii="Arial" w:cs="Arial" w:eastAsia="Arial" w:hAnsi="Arial"/>
          <w:sz w:val="17"/>
          <w:szCs w:val="17"/>
          <w:color w:val="auto"/>
        </w:rPr>
        <w:t>This proposal topic won outstanding 47% support at the 2020 Lockheed Martin annual meeting. And this was before the shareholder right to call a special in-person shareholder meeting was essentially eliminated by the 2020 pandemic. Plus a 2020 LMT bylaw change appears to mean that shareholders may now only get 10-days notice of a shareholder meeting.</w:t>
      </w:r>
    </w:p>
    <w:p>
      <w:pPr>
        <w:spacing w:after="0" w:line="96" w:lineRule="exact"/>
        <w:rPr>
          <w:sz w:val="20"/>
          <w:szCs w:val="20"/>
          <w:color w:val="auto"/>
        </w:rPr>
      </w:pPr>
    </w:p>
    <w:p>
      <w:pPr>
        <w:ind w:left="20" w:right="40"/>
        <w:spacing w:after="0" w:line="276" w:lineRule="auto"/>
        <w:rPr>
          <w:sz w:val="20"/>
          <w:szCs w:val="20"/>
          <w:color w:val="auto"/>
        </w:rPr>
      </w:pPr>
      <w:r>
        <w:rPr>
          <w:rFonts w:ascii="Arial" w:cs="Arial" w:eastAsia="Arial" w:hAnsi="Arial"/>
          <w:sz w:val="17"/>
          <w:szCs w:val="17"/>
          <w:color w:val="auto"/>
        </w:rPr>
        <w:t>Also the deliberations of the Lockheed Martin Board on this topic in 2020, with Mr. Daniel Akerson as Governance Committee Chairman, completely overlooked the safeguards that can be built into granting shareholders a right to act by written consent.</w:t>
      </w:r>
    </w:p>
    <w:p>
      <w:pPr>
        <w:spacing w:after="0" w:line="90" w:lineRule="exact"/>
        <w:rPr>
          <w:sz w:val="20"/>
          <w:szCs w:val="20"/>
          <w:color w:val="auto"/>
        </w:rPr>
      </w:pPr>
    </w:p>
    <w:p>
      <w:pPr>
        <w:ind w:left="20" w:right="120"/>
        <w:spacing w:after="0" w:line="270" w:lineRule="auto"/>
        <w:rPr>
          <w:sz w:val="20"/>
          <w:szCs w:val="20"/>
          <w:color w:val="auto"/>
        </w:rPr>
      </w:pPr>
      <w:r>
        <w:rPr>
          <w:rFonts w:ascii="Arial" w:cs="Arial" w:eastAsia="Arial" w:hAnsi="Arial"/>
          <w:sz w:val="17"/>
          <w:szCs w:val="17"/>
          <w:color w:val="auto"/>
        </w:rPr>
        <w:t>Plus the 2020 shareholder proposal on this topic could not foresee that the pandemic would severely restrict a future special shareholder meeting which could simply be a bare bones online meeting with restricted interaction. And the Governance Committee under Mr. Akerson rested a lot of its argument on the outdated notion of what could be accomplished at a special shareholder meeting.</w:t>
      </w:r>
    </w:p>
    <w:p>
      <w:pPr>
        <w:spacing w:after="0" w:line="96" w:lineRule="exact"/>
        <w:rPr>
          <w:sz w:val="20"/>
          <w:szCs w:val="20"/>
          <w:color w:val="auto"/>
        </w:rPr>
      </w:pPr>
    </w:p>
    <w:p>
      <w:pPr>
        <w:ind w:left="20" w:right="40"/>
        <w:spacing w:after="0" w:line="268" w:lineRule="auto"/>
        <w:rPr>
          <w:sz w:val="20"/>
          <w:szCs w:val="20"/>
          <w:color w:val="auto"/>
        </w:rPr>
      </w:pPr>
      <w:r>
        <w:rPr>
          <w:rFonts w:ascii="Arial" w:cs="Arial" w:eastAsia="Arial" w:hAnsi="Arial"/>
          <w:sz w:val="17"/>
          <w:szCs w:val="17"/>
          <w:color w:val="auto"/>
        </w:rPr>
        <w:t>The Bank of New York Mellon Corporation (BK) said it adopted written consent in 2019 after 45%-support (2% less than the 2020 LMT vote) for a written consent shareholder proposal. And this was a year before the pandemic put an end to in-person shareholder meetings — perhaps forever. It is so much easier for management to conduct an online shareholder meeting that management is now spoiled and will never want to return to an in-person shareholder meeting.</w:t>
      </w:r>
    </w:p>
    <w:p>
      <w:pPr>
        <w:spacing w:after="0" w:line="99" w:lineRule="exact"/>
        <w:rPr>
          <w:sz w:val="20"/>
          <w:szCs w:val="20"/>
          <w:color w:val="auto"/>
        </w:rPr>
      </w:pPr>
    </w:p>
    <w:p>
      <w:pPr>
        <w:ind w:left="20" w:right="600"/>
        <w:spacing w:after="0" w:line="276" w:lineRule="auto"/>
        <w:rPr>
          <w:sz w:val="20"/>
          <w:szCs w:val="20"/>
          <w:color w:val="auto"/>
        </w:rPr>
      </w:pPr>
      <w:r>
        <w:rPr>
          <w:rFonts w:ascii="Arial" w:cs="Arial" w:eastAsia="Arial" w:hAnsi="Arial"/>
          <w:sz w:val="17"/>
          <w:szCs w:val="17"/>
          <w:color w:val="auto"/>
        </w:rPr>
        <w:t>Shareholders are also severely restricted in making their views known at online shareholder meetings because all challenging questions and comments can be screened out at an online meeting.</w:t>
      </w:r>
    </w:p>
    <w:p>
      <w:pPr>
        <w:spacing w:after="0" w:line="90" w:lineRule="exact"/>
        <w:rPr>
          <w:sz w:val="20"/>
          <w:szCs w:val="20"/>
          <w:color w:val="auto"/>
        </w:rPr>
      </w:pPr>
    </w:p>
    <w:p>
      <w:pPr>
        <w:ind w:left="20" w:right="280"/>
        <w:spacing w:after="0" w:line="276" w:lineRule="auto"/>
        <w:rPr>
          <w:sz w:val="20"/>
          <w:szCs w:val="20"/>
          <w:color w:val="auto"/>
        </w:rPr>
      </w:pPr>
      <w:r>
        <w:rPr>
          <w:rFonts w:ascii="Arial" w:cs="Arial" w:eastAsia="Arial" w:hAnsi="Arial"/>
          <w:sz w:val="17"/>
          <w:szCs w:val="17"/>
          <w:color w:val="auto"/>
        </w:rPr>
        <w:t>For instance Goodyear management hit the mute button right in the middle of a formal shareholder proposal presentation at its 2020 shareholder meeting to bar constructive criticism.</w:t>
      </w:r>
    </w:p>
    <w:p>
      <w:pPr>
        <w:spacing w:after="0" w:line="90" w:lineRule="exact"/>
        <w:rPr>
          <w:sz w:val="20"/>
          <w:szCs w:val="20"/>
          <w:color w:val="auto"/>
        </w:rPr>
      </w:pPr>
    </w:p>
    <w:p>
      <w:pPr>
        <w:ind w:left="20" w:right="260"/>
        <w:spacing w:after="0" w:line="276" w:lineRule="auto"/>
        <w:rPr>
          <w:sz w:val="20"/>
          <w:szCs w:val="20"/>
          <w:color w:val="auto"/>
        </w:rPr>
      </w:pPr>
      <w:r>
        <w:rPr>
          <w:rFonts w:ascii="Arial" w:cs="Arial" w:eastAsia="Arial" w:hAnsi="Arial"/>
          <w:sz w:val="17"/>
          <w:szCs w:val="17"/>
          <w:color w:val="auto"/>
        </w:rPr>
        <w:t>Shareholders now need to have the option more than ever to take action outside of a shareholder meeting since online shareholder meetings are shareholder engagement wasteland.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35560</wp:posOffset>
            </wp:positionV>
            <wp:extent cx="2511425" cy="4889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114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Please vote yes:</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Shareholder Right to Act by Written Consent — Proposal 4</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End of Stockholder Proposal—Board Opposition Statement on Following Page</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81</w:t>
      </w:r>
    </w:p>
    <w:p>
      <w:pPr>
        <w:sectPr>
          <w:pgSz w:w="11900" w:h="16838" w:orient="portrait"/>
          <w:cols w:equalWidth="0" w:num="1">
            <w:col w:w="11220"/>
          </w:cols>
          <w:pgMar w:left="320" w:top="1440" w:right="35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5"/>
          <w:szCs w:val="15"/>
          <w:color w:val="003478"/>
        </w:rPr>
        <w:t xml:space="preserve">Proposal 4: </w:t>
      </w:r>
      <w:r>
        <w:rPr>
          <w:rFonts w:ascii="Arial" w:cs="Arial" w:eastAsia="Arial" w:hAnsi="Arial"/>
          <w:sz w:val="15"/>
          <w:szCs w:val="15"/>
          <w:color w:val="012E6C"/>
        </w:rPr>
        <w:t>Stockholder Proposal to Adopt Stockholder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6231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623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spacing w:after="0"/>
        <w:rPr>
          <w:sz w:val="20"/>
          <w:szCs w:val="20"/>
          <w:color w:val="auto"/>
        </w:rPr>
      </w:pPr>
      <w:r>
        <w:rPr>
          <w:rFonts w:ascii="Arial" w:cs="Arial" w:eastAsia="Arial" w:hAnsi="Arial"/>
          <w:sz w:val="29"/>
          <w:szCs w:val="29"/>
          <w:color w:val="012E6C"/>
          <w:shd w:val="clear" w:color="auto" w:fill="E5E7EF"/>
        </w:rPr>
        <w:t xml:space="preserve">Board of Directors Statement in Opposition to Proposal </w:t>
      </w:r>
      <w:r>
        <w:rPr>
          <w:rFonts w:ascii="Arial" w:cs="Arial" w:eastAsia="Arial" w:hAnsi="Arial"/>
          <w:sz w:val="29"/>
          <w:szCs w:val="29"/>
          <w:color w:val="002E6D"/>
          <w:shd w:val="clear" w:color="auto" w:fill="E5E7EF"/>
        </w:rPr>
        <w:t>4</w:t>
      </w:r>
    </w:p>
    <w:p>
      <w:pPr>
        <w:spacing w:after="0" w:line="117" w:lineRule="exact"/>
        <w:rPr>
          <w:sz w:val="20"/>
          <w:szCs w:val="20"/>
          <w:color w:val="auto"/>
        </w:rPr>
      </w:pPr>
    </w:p>
    <w:p>
      <w:pPr>
        <w:jc w:val="both"/>
        <w:ind w:left="100"/>
        <w:spacing w:after="0" w:line="283" w:lineRule="auto"/>
        <w:rPr>
          <w:sz w:val="20"/>
          <w:szCs w:val="20"/>
          <w:color w:val="auto"/>
        </w:rPr>
      </w:pPr>
      <w:r>
        <w:rPr>
          <w:rFonts w:ascii="Arial" w:cs="Arial" w:eastAsia="Arial" w:hAnsi="Arial"/>
          <w:sz w:val="17"/>
          <w:szCs w:val="17"/>
          <w:color w:val="auto"/>
        </w:rPr>
        <w:t xml:space="preserve">The Board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 because the Board views the requested change as not in the best interests of the stockholders and unnecessary given the Corporation’s strong corporate governance practices and Board accountability to stockholders, as described below.</w:t>
      </w:r>
    </w:p>
    <w:p>
      <w:pPr>
        <w:spacing w:after="0" w:line="65" w:lineRule="exact"/>
        <w:rPr>
          <w:sz w:val="20"/>
          <w:szCs w:val="20"/>
          <w:color w:val="auto"/>
        </w:rPr>
      </w:pPr>
    </w:p>
    <w:p>
      <w:pPr>
        <w:ind w:left="440" w:right="60" w:hanging="252"/>
        <w:spacing w:after="0" w:line="277" w:lineRule="auto"/>
        <w:tabs>
          <w:tab w:leader="none" w:pos="446" w:val="left"/>
        </w:tabs>
        <w:numPr>
          <w:ilvl w:val="0"/>
          <w:numId w:val="119"/>
        </w:numPr>
        <w:rPr>
          <w:rFonts w:ascii="Arial" w:cs="Arial" w:eastAsia="Arial" w:hAnsi="Arial"/>
          <w:sz w:val="17"/>
          <w:szCs w:val="17"/>
          <w:color w:val="002F6C"/>
        </w:rPr>
      </w:pPr>
      <w:r>
        <w:rPr>
          <w:rFonts w:ascii="Arial" w:cs="Arial" w:eastAsia="Arial" w:hAnsi="Arial"/>
          <w:sz w:val="17"/>
          <w:szCs w:val="17"/>
          <w:b w:val="1"/>
          <w:bCs w:val="1"/>
          <w:color w:val="002F6C"/>
        </w:rPr>
        <w:t xml:space="preserve">Substantially identical proposals were rejected by the Corporation’s stockholders in 2020, 2018, 2015, 2014, 2013 and 2011. </w:t>
      </w:r>
      <w:r>
        <w:rPr>
          <w:rFonts w:ascii="Arial" w:cs="Arial" w:eastAsia="Arial" w:hAnsi="Arial"/>
          <w:sz w:val="17"/>
          <w:szCs w:val="17"/>
          <w:color w:val="000000"/>
        </w:rPr>
        <w:t>This will</w:t>
      </w:r>
      <w:r>
        <w:rPr>
          <w:rFonts w:ascii="Arial" w:cs="Arial" w:eastAsia="Arial" w:hAnsi="Arial"/>
          <w:sz w:val="17"/>
          <w:szCs w:val="17"/>
          <w:b w:val="1"/>
          <w:bCs w:val="1"/>
          <w:color w:val="002F6C"/>
        </w:rPr>
        <w:t xml:space="preserve"> </w:t>
      </w:r>
      <w:r>
        <w:rPr>
          <w:rFonts w:ascii="Arial" w:cs="Arial" w:eastAsia="Arial" w:hAnsi="Arial"/>
          <w:sz w:val="17"/>
          <w:szCs w:val="17"/>
          <w:color w:val="000000"/>
        </w:rPr>
        <w:t>be the seventh time in the past ten years that the same proponent has proposed a substantially similar proposal and each previous time stockholders have rejected such a proposal. The Board does not believe any material developments have occurred since the last time stockholders rejected such a proposal that should change stockholders’ views on this proposal.</w:t>
      </w:r>
    </w:p>
    <w:p>
      <w:pPr>
        <w:spacing w:after="0" w:line="69" w:lineRule="exact"/>
        <w:rPr>
          <w:rFonts w:ascii="Arial" w:cs="Arial" w:eastAsia="Arial" w:hAnsi="Arial"/>
          <w:sz w:val="17"/>
          <w:szCs w:val="17"/>
          <w:color w:val="002F6C"/>
        </w:rPr>
      </w:pPr>
    </w:p>
    <w:p>
      <w:pPr>
        <w:ind w:left="440" w:right="40" w:hanging="252"/>
        <w:spacing w:after="0" w:line="272" w:lineRule="auto"/>
        <w:tabs>
          <w:tab w:leader="none" w:pos="446" w:val="left"/>
        </w:tabs>
        <w:numPr>
          <w:ilvl w:val="0"/>
          <w:numId w:val="119"/>
        </w:numPr>
        <w:rPr>
          <w:rFonts w:ascii="Arial" w:cs="Arial" w:eastAsia="Arial" w:hAnsi="Arial"/>
          <w:sz w:val="17"/>
          <w:szCs w:val="17"/>
          <w:color w:val="002F6C"/>
        </w:rPr>
      </w:pPr>
      <w:r>
        <w:rPr>
          <w:rFonts w:ascii="Arial" w:cs="Arial" w:eastAsia="Arial" w:hAnsi="Arial"/>
          <w:sz w:val="17"/>
          <w:szCs w:val="17"/>
          <w:b w:val="1"/>
          <w:bCs w:val="1"/>
          <w:color w:val="002F6C"/>
        </w:rPr>
        <w:t xml:space="preserve">Our stockholders already have the right to call a special meeting at any time. </w:t>
      </w:r>
      <w:r>
        <w:rPr>
          <w:rFonts w:ascii="Arial" w:cs="Arial" w:eastAsia="Arial" w:hAnsi="Arial"/>
          <w:sz w:val="17"/>
          <w:szCs w:val="17"/>
          <w:color w:val="000000"/>
        </w:rPr>
        <w:t>Any stockholder who individually owns 10 percent, or</w:t>
      </w:r>
      <w:r>
        <w:rPr>
          <w:rFonts w:ascii="Arial" w:cs="Arial" w:eastAsia="Arial" w:hAnsi="Arial"/>
          <w:sz w:val="17"/>
          <w:szCs w:val="17"/>
          <w:b w:val="1"/>
          <w:bCs w:val="1"/>
          <w:color w:val="002F6C"/>
        </w:rPr>
        <w:t xml:space="preserve"> </w:t>
      </w:r>
      <w:r>
        <w:rPr>
          <w:rFonts w:ascii="Arial" w:cs="Arial" w:eastAsia="Arial" w:hAnsi="Arial"/>
          <w:sz w:val="17"/>
          <w:szCs w:val="17"/>
          <w:color w:val="000000"/>
        </w:rPr>
        <w:t>stockholders who in the aggregate own 25 percent, of our outstanding common stock may demand the calling of a special meeting to consider any business properly before the stockholders. This threshold is half (or less) of what would be necessary to act by written consent under the proposal. The rights requested by the proposal would be duplicative of this existing stockholder right to call a special meeting, but without important protections and advantages afforded by the stockholder meeting process. See below and “Stockholder Right to Call Special Meeting” on page 32.</w:t>
      </w:r>
    </w:p>
    <w:p>
      <w:pPr>
        <w:spacing w:after="0" w:line="74" w:lineRule="exact"/>
        <w:rPr>
          <w:rFonts w:ascii="Arial" w:cs="Arial" w:eastAsia="Arial" w:hAnsi="Arial"/>
          <w:sz w:val="17"/>
          <w:szCs w:val="17"/>
          <w:color w:val="002F6C"/>
        </w:rPr>
      </w:pPr>
    </w:p>
    <w:p>
      <w:pPr>
        <w:ind w:left="440" w:right="20" w:hanging="252"/>
        <w:spacing w:after="0" w:line="271" w:lineRule="auto"/>
        <w:tabs>
          <w:tab w:leader="none" w:pos="446" w:val="left"/>
        </w:tabs>
        <w:numPr>
          <w:ilvl w:val="0"/>
          <w:numId w:val="119"/>
        </w:numPr>
        <w:rPr>
          <w:rFonts w:ascii="Arial" w:cs="Arial" w:eastAsia="Arial" w:hAnsi="Arial"/>
          <w:sz w:val="17"/>
          <w:szCs w:val="17"/>
          <w:color w:val="002F6C"/>
        </w:rPr>
      </w:pPr>
      <w:r>
        <w:rPr>
          <w:rFonts w:ascii="Arial" w:cs="Arial" w:eastAsia="Arial" w:hAnsi="Arial"/>
          <w:sz w:val="17"/>
          <w:szCs w:val="17"/>
          <w:b w:val="1"/>
          <w:bCs w:val="1"/>
          <w:color w:val="002F6C"/>
        </w:rPr>
        <w:t xml:space="preserve">The Board believes allowing stockholders to act by written consent circumvents the deliberative stockholder meeting process. </w:t>
      </w:r>
      <w:r>
        <w:rPr>
          <w:rFonts w:ascii="Arial" w:cs="Arial" w:eastAsia="Arial" w:hAnsi="Arial"/>
          <w:sz w:val="17"/>
          <w:szCs w:val="17"/>
          <w:color w:val="000000"/>
        </w:rPr>
        <w:t>Implementation of this proposal could result in an unfair and unsound process because it allows stockholders to take action without complying with the procedural safeguards inherent in the stockholder meeting process. For example, action by written consent does not require that all stockholders receive notice of the written consent proposal, be given adequate time to review the subject matter of the proposal or be given the opportunity to consider alternative views on the proposal. The Board believes that requiring stockholder business be acted upon at a meeting is an inherently more structured, democratic and open process and helps to ensure the accuracy and completeness of information presented to all stockholders for their consideration.</w:t>
      </w:r>
    </w:p>
    <w:p>
      <w:pPr>
        <w:spacing w:after="0" w:line="74" w:lineRule="exact"/>
        <w:rPr>
          <w:rFonts w:ascii="Arial" w:cs="Arial" w:eastAsia="Arial" w:hAnsi="Arial"/>
          <w:sz w:val="17"/>
          <w:szCs w:val="17"/>
          <w:color w:val="002F6C"/>
        </w:rPr>
      </w:pPr>
    </w:p>
    <w:p>
      <w:pPr>
        <w:ind w:left="440" w:right="20" w:hanging="252"/>
        <w:spacing w:after="0" w:line="272" w:lineRule="auto"/>
        <w:tabs>
          <w:tab w:leader="none" w:pos="446" w:val="left"/>
        </w:tabs>
        <w:numPr>
          <w:ilvl w:val="0"/>
          <w:numId w:val="119"/>
        </w:numPr>
        <w:rPr>
          <w:rFonts w:ascii="Arial" w:cs="Arial" w:eastAsia="Arial" w:hAnsi="Arial"/>
          <w:sz w:val="17"/>
          <w:szCs w:val="17"/>
          <w:color w:val="002F6C"/>
        </w:rPr>
      </w:pPr>
      <w:r>
        <w:rPr>
          <w:rFonts w:ascii="Arial" w:cs="Arial" w:eastAsia="Arial" w:hAnsi="Arial"/>
          <w:sz w:val="17"/>
          <w:szCs w:val="17"/>
          <w:b w:val="1"/>
          <w:bCs w:val="1"/>
          <w:color w:val="002F6C"/>
        </w:rPr>
        <w:t xml:space="preserve">Written consent provides a greater opportunity for abuse. </w:t>
      </w:r>
      <w:r>
        <w:rPr>
          <w:rFonts w:ascii="Arial" w:cs="Arial" w:eastAsia="Arial" w:hAnsi="Arial"/>
          <w:sz w:val="17"/>
          <w:szCs w:val="17"/>
          <w:color w:val="000000"/>
        </w:rPr>
        <w:t>The proposal does not impose any ownership requirements on the</w:t>
      </w:r>
      <w:r>
        <w:rPr>
          <w:rFonts w:ascii="Arial" w:cs="Arial" w:eastAsia="Arial" w:hAnsi="Arial"/>
          <w:sz w:val="17"/>
          <w:szCs w:val="17"/>
          <w:b w:val="1"/>
          <w:bCs w:val="1"/>
          <w:color w:val="002F6C"/>
        </w:rPr>
        <w:t xml:space="preserve"> </w:t>
      </w:r>
      <w:r>
        <w:rPr>
          <w:rFonts w:ascii="Arial" w:cs="Arial" w:eastAsia="Arial" w:hAnsi="Arial"/>
          <w:sz w:val="17"/>
          <w:szCs w:val="17"/>
          <w:color w:val="000000"/>
        </w:rPr>
        <w:t>stockholders soliciting written consent and, as a result, it could be initiated by a single stockholder holding a very small number of shares. It may encourage short-term stock ownership manipulation by a small group of investors (including those who accumulate a short-term voting position through borrowed shares) to advance a special agenda that may be contrary to the long-term best interests of the Corporation and its stockholders. The proposal may also create confusion because multiple groups of stockholders would be able to solicit written consents simultaneously, some of which may be duplicative or contradictory.</w:t>
      </w:r>
    </w:p>
    <w:p>
      <w:pPr>
        <w:spacing w:after="0" w:line="74" w:lineRule="exact"/>
        <w:rPr>
          <w:rFonts w:ascii="Arial" w:cs="Arial" w:eastAsia="Arial" w:hAnsi="Arial"/>
          <w:sz w:val="17"/>
          <w:szCs w:val="17"/>
          <w:color w:val="002F6C"/>
        </w:rPr>
      </w:pPr>
    </w:p>
    <w:p>
      <w:pPr>
        <w:ind w:left="440" w:right="80" w:hanging="252"/>
        <w:spacing w:after="0" w:line="268" w:lineRule="auto"/>
        <w:tabs>
          <w:tab w:leader="none" w:pos="446" w:val="left"/>
        </w:tabs>
        <w:numPr>
          <w:ilvl w:val="0"/>
          <w:numId w:val="119"/>
        </w:numPr>
        <w:rPr>
          <w:rFonts w:ascii="Arial" w:cs="Arial" w:eastAsia="Arial" w:hAnsi="Arial"/>
          <w:sz w:val="17"/>
          <w:szCs w:val="17"/>
          <w:color w:val="002F6C"/>
        </w:rPr>
      </w:pPr>
      <w:r>
        <w:rPr>
          <w:rFonts w:ascii="Arial" w:cs="Arial" w:eastAsia="Arial" w:hAnsi="Arial"/>
          <w:sz w:val="17"/>
          <w:szCs w:val="17"/>
          <w:b w:val="1"/>
          <w:bCs w:val="1"/>
          <w:color w:val="002F6C"/>
        </w:rPr>
        <w:t>We have a long-standing commitment to sound corporate governance practices and an active investor engagement program to ensure Board accountability</w:t>
      </w:r>
      <w:r>
        <w:rPr>
          <w:rFonts w:ascii="Arial" w:cs="Arial" w:eastAsia="Arial" w:hAnsi="Arial"/>
          <w:sz w:val="17"/>
          <w:szCs w:val="17"/>
          <w:color w:val="002F6C"/>
        </w:rPr>
        <w:t>.</w:t>
      </w:r>
      <w:r>
        <w:rPr>
          <w:rFonts w:ascii="Arial" w:cs="Arial" w:eastAsia="Arial" w:hAnsi="Arial"/>
          <w:sz w:val="17"/>
          <w:szCs w:val="17"/>
          <w:b w:val="1"/>
          <w:bCs w:val="1"/>
          <w:color w:val="002F6C"/>
        </w:rPr>
        <w:t xml:space="preserve"> </w:t>
      </w:r>
      <w:r>
        <w:rPr>
          <w:rFonts w:ascii="Arial" w:cs="Arial" w:eastAsia="Arial" w:hAnsi="Arial"/>
          <w:sz w:val="17"/>
          <w:szCs w:val="17"/>
          <w:color w:val="000000"/>
        </w:rPr>
        <w:t>At the direction of the Board, the Corporation engages directly with its stockholders throughout the year to</w:t>
      </w:r>
      <w:r>
        <w:rPr>
          <w:rFonts w:ascii="Arial" w:cs="Arial" w:eastAsia="Arial" w:hAnsi="Arial"/>
          <w:sz w:val="17"/>
          <w:szCs w:val="17"/>
          <w:b w:val="1"/>
          <w:bCs w:val="1"/>
          <w:color w:val="002F6C"/>
        </w:rPr>
        <w:t xml:space="preserve"> </w:t>
      </w:r>
      <w:r>
        <w:rPr>
          <w:rFonts w:ascii="Arial" w:cs="Arial" w:eastAsia="Arial" w:hAnsi="Arial"/>
          <w:sz w:val="17"/>
          <w:szCs w:val="17"/>
          <w:color w:val="000000"/>
        </w:rPr>
        <w:t>seek their views on an array of issues, including corporate governance matters. In addition to the then-existing right to call a special meeting, the Board proactively adopted proxy access in 2016, which gives stockholders the right to include director nominations in the Corporation's proxy statement for the annual meeting, and in 2017 the Board proactively amended the Corporation's Bylaws to provide that the stockholders have the power to amend the Corporation's Bylaws. Our directors also remain accountable to our stockholders through annual elections by our stockholders with a majority voting standard and a resignation policy for directors who do not receive a majority of votes cast in an uncontested election. Our Board has demonstrated its commitment to Board refreshment and to the election of highly qualified independent directors who bring diverse perspectives to our Board with skills that are aligned with our long-term business strategy. Over the past five years, six new independent directors have been elected to the Board. In 2019, the Board also elected a new independent Lead Director.</w:t>
      </w:r>
    </w:p>
    <w:p>
      <w:pPr>
        <w:spacing w:after="0" w:line="103" w:lineRule="exact"/>
        <w:rPr>
          <w:sz w:val="20"/>
          <w:szCs w:val="20"/>
          <w:color w:val="auto"/>
        </w:rPr>
      </w:pPr>
    </w:p>
    <w:p>
      <w:pPr>
        <w:ind w:left="100" w:right="320"/>
        <w:spacing w:after="0" w:line="276" w:lineRule="auto"/>
        <w:rPr>
          <w:sz w:val="20"/>
          <w:szCs w:val="20"/>
          <w:color w:val="auto"/>
        </w:rPr>
      </w:pPr>
      <w:r>
        <w:rPr>
          <w:rFonts w:ascii="Arial" w:cs="Arial" w:eastAsia="Arial" w:hAnsi="Arial"/>
          <w:sz w:val="17"/>
          <w:szCs w:val="17"/>
          <w:color w:val="auto"/>
        </w:rPr>
        <w:t>The Board will continue to review corporate governance best practices and adopt those practices that it believes, in light of the circumstances, serve the best interests of the Corporation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532765</wp:posOffset>
            </wp:positionV>
            <wp:extent cx="969010" cy="2228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82</w:t>
      </w:r>
    </w:p>
    <w:p>
      <w:pPr>
        <w:sectPr>
          <w:pgSz w:w="11900" w:h="16838" w:orient="portrait"/>
          <w:cols w:equalWidth="0" w:num="1">
            <w:col w:w="11140"/>
          </w:cols>
          <w:pgMar w:left="320" w:top="609" w:right="439" w:bottom="1440" w:gutter="0" w:footer="0" w:header="0"/>
        </w:sectPr>
      </w:pPr>
    </w:p>
    <w:bookmarkStart w:id="86" w:name="page87"/>
    <w:bookmarkEnd w:id="86"/>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8859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885950"/>
                    </a:xfrm>
                    <a:prstGeom prst="rect">
                      <a:avLst/>
                    </a:prstGeom>
                    <a:noFill/>
                  </pic:spPr>
                </pic:pic>
              </a:graphicData>
            </a:graphic>
          </wp:anchor>
        </w:drawing>
      </w:r>
    </w:p>
    <w:p>
      <w:pPr>
        <w:ind w:left="480"/>
        <w:spacing w:after="0"/>
        <w:rPr>
          <w:sz w:val="20"/>
          <w:szCs w:val="20"/>
          <w:color w:val="auto"/>
        </w:rPr>
      </w:pPr>
      <w:r>
        <w:rPr>
          <w:rFonts w:ascii="Arial" w:cs="Arial" w:eastAsia="Arial" w:hAnsi="Arial"/>
          <w:sz w:val="38"/>
          <w:szCs w:val="38"/>
          <w:color w:val="012E6C"/>
          <w:vertAlign w:val="superscript"/>
        </w:rPr>
        <w:t>Proposal</w:t>
      </w:r>
      <w:r>
        <w:rPr>
          <w:rFonts w:ascii="Arial" w:cs="Arial" w:eastAsia="Arial" w:hAnsi="Arial"/>
          <w:sz w:val="28"/>
          <w:szCs w:val="28"/>
          <w:color w:val="002E6D"/>
        </w:rPr>
        <w:t xml:space="preserve">  Stockholder Proposal to Issue a Report on Human Rights</w:t>
      </w:r>
    </w:p>
    <w:p>
      <w:pPr>
        <w:ind w:left="1460" w:hanging="361"/>
        <w:spacing w:after="0" w:line="180" w:lineRule="auto"/>
        <w:tabs>
          <w:tab w:leader="none" w:pos="1460" w:val="left"/>
        </w:tabs>
        <w:numPr>
          <w:ilvl w:val="0"/>
          <w:numId w:val="120"/>
        </w:numPr>
        <w:rPr>
          <w:rFonts w:ascii="Arial" w:cs="Arial" w:eastAsia="Arial" w:hAnsi="Arial"/>
          <w:sz w:val="48"/>
          <w:szCs w:val="48"/>
          <w:color w:val="012E6C"/>
          <w:vertAlign w:val="superscript"/>
        </w:rPr>
      </w:pPr>
      <w:r>
        <w:rPr>
          <w:rFonts w:ascii="Arial" w:cs="Arial" w:eastAsia="Arial" w:hAnsi="Arial"/>
          <w:sz w:val="26"/>
          <w:szCs w:val="26"/>
          <w:color w:val="002E6D"/>
        </w:rPr>
        <w:t>Due Diligence</w:t>
      </w:r>
    </w:p>
    <w:p>
      <w:pPr>
        <w:spacing w:after="0" w:line="218" w:lineRule="exact"/>
        <w:rPr>
          <w:rFonts w:ascii="Arial" w:cs="Arial" w:eastAsia="Arial" w:hAnsi="Arial"/>
          <w:sz w:val="48"/>
          <w:szCs w:val="48"/>
          <w:color w:val="012E6C"/>
          <w:vertAlign w:val="superscript"/>
        </w:rPr>
      </w:pPr>
    </w:p>
    <w:p>
      <w:pPr>
        <w:ind w:left="1620" w:right="500" w:hanging="163"/>
        <w:spacing w:after="0" w:line="276" w:lineRule="auto"/>
        <w:tabs>
          <w:tab w:leader="none" w:pos="1585" w:val="left"/>
        </w:tabs>
        <w:numPr>
          <w:ilvl w:val="1"/>
          <w:numId w:val="120"/>
        </w:numPr>
        <w:rPr>
          <w:rFonts w:ascii="Arial" w:cs="Arial" w:eastAsia="Arial" w:hAnsi="Arial"/>
          <w:sz w:val="17"/>
          <w:szCs w:val="17"/>
          <w:color w:val="002E6D"/>
        </w:rPr>
      </w:pPr>
      <w:r>
        <w:rPr>
          <w:rFonts w:ascii="Arial" w:cs="Arial" w:eastAsia="Arial" w:hAnsi="Arial"/>
          <w:sz w:val="17"/>
          <w:szCs w:val="17"/>
          <w:color w:val="002E6D"/>
        </w:rPr>
        <w:t>The Corporation’s existing policies and practices reflect our strong commitment to ethical business practices and respect for human rights</w:t>
      </w:r>
    </w:p>
    <w:p>
      <w:pPr>
        <w:spacing w:after="0" w:line="36" w:lineRule="exact"/>
        <w:rPr>
          <w:rFonts w:ascii="Arial" w:cs="Arial" w:eastAsia="Arial" w:hAnsi="Arial"/>
          <w:sz w:val="17"/>
          <w:szCs w:val="17"/>
          <w:color w:val="002E6D"/>
        </w:rPr>
      </w:pPr>
    </w:p>
    <w:p>
      <w:pPr>
        <w:ind w:left="1620" w:right="300" w:hanging="163"/>
        <w:spacing w:after="0" w:line="276" w:lineRule="auto"/>
        <w:tabs>
          <w:tab w:leader="none" w:pos="1585" w:val="left"/>
        </w:tabs>
        <w:numPr>
          <w:ilvl w:val="1"/>
          <w:numId w:val="120"/>
        </w:numPr>
        <w:rPr>
          <w:rFonts w:ascii="Arial" w:cs="Arial" w:eastAsia="Arial" w:hAnsi="Arial"/>
          <w:sz w:val="17"/>
          <w:szCs w:val="17"/>
          <w:color w:val="002E6D"/>
        </w:rPr>
      </w:pPr>
      <w:r>
        <w:rPr>
          <w:rFonts w:ascii="Arial" w:cs="Arial" w:eastAsia="Arial" w:hAnsi="Arial"/>
          <w:sz w:val="17"/>
          <w:szCs w:val="17"/>
          <w:color w:val="002E6D"/>
        </w:rPr>
        <w:t>Sales of our products and services to the U.S. and its allies promote global security and are done in compliance with applicable laws</w:t>
      </w:r>
    </w:p>
    <w:p>
      <w:pPr>
        <w:spacing w:after="0" w:line="36" w:lineRule="exact"/>
        <w:rPr>
          <w:rFonts w:ascii="Arial" w:cs="Arial" w:eastAsia="Arial" w:hAnsi="Arial"/>
          <w:sz w:val="17"/>
          <w:szCs w:val="17"/>
          <w:color w:val="002E6D"/>
        </w:rPr>
      </w:pPr>
    </w:p>
    <w:p>
      <w:pPr>
        <w:ind w:left="1620" w:right="460" w:hanging="163"/>
        <w:spacing w:after="0" w:line="276" w:lineRule="auto"/>
        <w:tabs>
          <w:tab w:leader="none" w:pos="1585" w:val="left"/>
        </w:tabs>
        <w:numPr>
          <w:ilvl w:val="1"/>
          <w:numId w:val="120"/>
        </w:numPr>
        <w:rPr>
          <w:rFonts w:ascii="Arial" w:cs="Arial" w:eastAsia="Arial" w:hAnsi="Arial"/>
          <w:sz w:val="17"/>
          <w:szCs w:val="17"/>
          <w:color w:val="002E6D"/>
        </w:rPr>
      </w:pPr>
      <w:r>
        <w:rPr>
          <w:rFonts w:ascii="Arial" w:cs="Arial" w:eastAsia="Arial" w:hAnsi="Arial"/>
          <w:sz w:val="17"/>
          <w:szCs w:val="17"/>
          <w:color w:val="002E6D"/>
        </w:rPr>
        <w:t>Preparing the report would produce little or no value to stockholders but would impose an unnecessary burden and expense on our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012E6C"/>
        </w:rPr>
        <w:t>The Board unanimously recommends that you vote AGAINST Proposal 5.</w:t>
      </w:r>
    </w:p>
    <w:p>
      <w:pPr>
        <w:spacing w:after="0" w:line="907" w:lineRule="exact"/>
        <w:rPr>
          <w:sz w:val="20"/>
          <w:szCs w:val="20"/>
          <w:color w:val="auto"/>
        </w:rPr>
      </w:pPr>
    </w:p>
    <w:p>
      <w:pPr>
        <w:sectPr>
          <w:pgSz w:w="11900" w:h="16838" w:orient="portrait"/>
          <w:cols w:equalWidth="0" w:num="2">
            <w:col w:w="8780" w:space="340"/>
            <w:col w:w="2100"/>
          </w:cols>
          <w:pgMar w:left="320" w:top="1440" w:right="359" w:bottom="1440" w:gutter="0" w:footer="0" w:header="0"/>
        </w:sectPr>
      </w:pPr>
    </w:p>
    <w:p>
      <w:pPr>
        <w:spacing w:after="0" w:line="133"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We have been informed that the Sisters of Charity of Saint Elizabeth, The Sisters of St. Francis of Philadelphia and the School Sisters of Notre Dame Cooperative Investment Fund intend to introduce the proposal set forth below at the Annual Meeting.</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Beginning of Stockholder Proposal—Text and Footnotes are Reprinted from the Stockholder Submission:</w:t>
      </w:r>
    </w:p>
    <w:p>
      <w:pPr>
        <w:spacing w:after="0" w:line="291" w:lineRule="exact"/>
        <w:rPr>
          <w:sz w:val="20"/>
          <w:szCs w:val="20"/>
          <w:color w:val="auto"/>
        </w:rPr>
      </w:pPr>
    </w:p>
    <w:p>
      <w:pPr>
        <w:ind w:left="20"/>
        <w:spacing w:after="0" w:line="27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Lockheed Martin is the world’s largest defense contractor and is exposed to significant actual and potential adverse human rights impacts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the use of its weapons and defense technologies. Human rights risks include the rights to life, liberty and personal security, privacy, non-discrimination, and peaceful assembly and association. The UN Guiding Principles on Business and Human Rights (UNGPs), unanimously endorsed by the UN Human Rights Council in June 2011, constitute the global authoritative framework outlining the roles and responsibilities of states and companies with respect to human rights. While regulation of the international arms trade falls under the state duty to protect human rights, the UNGPs define clear expectations for defense companies to respect human rights in their operations and supply chains, and address risks linked to use of products. A 2019 Amnesty International report found that Lockheed Martin lacks human rights due diligence procedures to effectively identify, assess, prevent, mitigate, and remediate its human rights impacts.</w:t>
      </w:r>
      <w:r>
        <w:rPr>
          <w:rFonts w:ascii="Arial" w:cs="Arial" w:eastAsia="Arial" w:hAnsi="Arial"/>
          <w:sz w:val="22"/>
          <w:szCs w:val="22"/>
          <w:color w:val="auto"/>
          <w:vertAlign w:val="superscript"/>
        </w:rPr>
        <w:t>1</w:t>
      </w:r>
    </w:p>
    <w:p>
      <w:pPr>
        <w:spacing w:after="0" w:line="19" w:lineRule="exact"/>
        <w:rPr>
          <w:sz w:val="20"/>
          <w:szCs w:val="20"/>
          <w:color w:val="auto"/>
        </w:rPr>
      </w:pPr>
    </w:p>
    <w:p>
      <w:pPr>
        <w:ind w:left="20" w:right="120"/>
        <w:spacing w:after="0" w:line="243" w:lineRule="auto"/>
        <w:rPr>
          <w:sz w:val="20"/>
          <w:szCs w:val="20"/>
          <w:color w:val="auto"/>
        </w:rPr>
      </w:pPr>
      <w:r>
        <w:rPr>
          <w:rFonts w:ascii="Arial" w:cs="Arial" w:eastAsia="Arial" w:hAnsi="Arial"/>
          <w:sz w:val="17"/>
          <w:szCs w:val="17"/>
          <w:color w:val="auto"/>
        </w:rPr>
        <w:t>Prominent human rights organizations have recorded indiscriminatory use of Lockheed Martin weaponry against civilians consistently over time.</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Lockheed Martin has exported military goods to at least 12 states which are engaged in armed conflict, have a record of human rights violations, or are at risk of corruption and fragility, including Saudi Arabia, Israel, and the United Arab Emirates (UAE). Reports have linked Lockheed Martin weaponry to war crimes and violations of international humanitarian law in Yemen, including the widely condemned attack on a school bus in 2018 that resulted in the deaths of dozens of children.</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The company is set to play a central role in the sale of F-35 fighter jets to the UAE, as part of the country’s recent normalization agreement with Israel.</w:t>
      </w:r>
      <w:r>
        <w:rPr>
          <w:rFonts w:ascii="Arial" w:cs="Arial" w:eastAsia="Arial" w:hAnsi="Arial"/>
          <w:sz w:val="22"/>
          <w:szCs w:val="22"/>
          <w:color w:val="auto"/>
          <w:vertAlign w:val="superscript"/>
        </w:rPr>
        <w:t>4</w:t>
      </w:r>
    </w:p>
    <w:p>
      <w:pPr>
        <w:spacing w:after="0" w:line="42" w:lineRule="exact"/>
        <w:rPr>
          <w:sz w:val="20"/>
          <w:szCs w:val="20"/>
          <w:color w:val="auto"/>
        </w:rPr>
      </w:pPr>
    </w:p>
    <w:p>
      <w:pPr>
        <w:jc w:val="both"/>
        <w:ind w:left="20" w:right="120"/>
        <w:spacing w:after="0" w:line="237" w:lineRule="auto"/>
        <w:rPr>
          <w:sz w:val="20"/>
          <w:szCs w:val="20"/>
          <w:color w:val="auto"/>
        </w:rPr>
      </w:pPr>
      <w:r>
        <w:rPr>
          <w:rFonts w:ascii="Arial" w:cs="Arial" w:eastAsia="Arial" w:hAnsi="Arial"/>
          <w:sz w:val="17"/>
          <w:szCs w:val="17"/>
          <w:color w:val="auto"/>
        </w:rPr>
        <w:t>The company is connected to $40 billion in contracts related to nuclear weapons.</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The Treaty on the Prohibition of Nuclear Weapons, which enters into force in 2021, may require Lockheed Martin to demonstrate that the company is not conducting prohibited activities in jurisdictions that ratified the Treaty.</w:t>
      </w:r>
    </w:p>
    <w:p>
      <w:pPr>
        <w:spacing w:after="0" w:line="120" w:lineRule="exact"/>
        <w:rPr>
          <w:sz w:val="20"/>
          <w:szCs w:val="20"/>
          <w:color w:val="auto"/>
        </w:rPr>
      </w:pPr>
    </w:p>
    <w:p>
      <w:pPr>
        <w:ind w:left="20" w:right="180"/>
        <w:spacing w:after="0" w:line="276" w:lineRule="auto"/>
        <w:rPr>
          <w:sz w:val="20"/>
          <w:szCs w:val="20"/>
          <w:color w:val="auto"/>
        </w:rPr>
      </w:pPr>
      <w:r>
        <w:rPr>
          <w:rFonts w:ascii="Arial" w:cs="Arial" w:eastAsia="Arial" w:hAnsi="Arial"/>
          <w:sz w:val="17"/>
          <w:szCs w:val="17"/>
          <w:color w:val="auto"/>
        </w:rPr>
        <w:t>Furthermore, the company faces multiple lawsuits for toxic pollutant contamination from a Florida facility that has resulted in brain lesions, multiple sclerosis, cancer, and birth defects, as well as litigation linked to a uranium facility.</w:t>
      </w:r>
    </w:p>
    <w:p>
      <w:pPr>
        <w:spacing w:after="0" w:line="77" w:lineRule="exact"/>
        <w:rPr>
          <w:sz w:val="20"/>
          <w:szCs w:val="20"/>
          <w:color w:val="auto"/>
        </w:rPr>
      </w:pPr>
    </w:p>
    <w:p>
      <w:pPr>
        <w:ind w:left="20"/>
        <w:spacing w:after="0" w:line="227" w:lineRule="auto"/>
        <w:rPr>
          <w:sz w:val="20"/>
          <w:szCs w:val="20"/>
          <w:color w:val="auto"/>
        </w:rPr>
      </w:pPr>
      <w:r>
        <w:rPr>
          <w:rFonts w:ascii="Arial" w:cs="Arial" w:eastAsia="Arial" w:hAnsi="Arial"/>
          <w:sz w:val="17"/>
          <w:szCs w:val="17"/>
          <w:color w:val="auto"/>
        </w:rPr>
        <w:t>In spite of its existing Codes, there is no evidence of effective implementation across business functions.</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Disclosure on governance and embedding of the commitment to respect human rights throughout the business is absent. Failure to respect human rights and increase due diligence in high risk business areas exposes the company and its investors to financial, legal, regulatory, reputational, and human capital management risks.</w:t>
      </w:r>
    </w:p>
    <w:p>
      <w:pPr>
        <w:spacing w:after="0" w:line="100" w:lineRule="exact"/>
        <w:rPr>
          <w:sz w:val="20"/>
          <w:szCs w:val="20"/>
          <w:color w:val="auto"/>
        </w:rPr>
      </w:pPr>
    </w:p>
    <w:p>
      <w:pPr>
        <w:ind w:left="20" w:right="60"/>
        <w:spacing w:after="0" w:line="277"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Shareholders request the Board of Directors prepare a report, at reasonable cost and omitting proprietary information, on Lockheed</w:t>
      </w:r>
      <w:r>
        <w:rPr>
          <w:rFonts w:ascii="Arial" w:cs="Arial" w:eastAsia="Arial" w:hAnsi="Arial"/>
          <w:sz w:val="17"/>
          <w:szCs w:val="17"/>
          <w:b w:val="1"/>
          <w:bCs w:val="1"/>
          <w:color w:val="auto"/>
        </w:rPr>
        <w:t xml:space="preserve"> </w:t>
      </w:r>
      <w:r>
        <w:rPr>
          <w:rFonts w:ascii="Arial" w:cs="Arial" w:eastAsia="Arial" w:hAnsi="Arial"/>
          <w:sz w:val="17"/>
          <w:szCs w:val="17"/>
          <w:color w:val="auto"/>
        </w:rPr>
        <w:t>Martin’s human rights due diligence process to identify, assess, prevent, mitigate, and remedy actual and potential human rights impacts associated with high-risk products and services, including those in conflict-affected areas.</w:t>
      </w:r>
    </w:p>
    <w:p>
      <w:pPr>
        <w:ind w:left="20"/>
        <w:spacing w:after="0" w:line="224" w:lineRule="auto"/>
        <w:rPr>
          <w:sz w:val="20"/>
          <w:szCs w:val="20"/>
          <w:color w:val="auto"/>
        </w:rPr>
      </w:pPr>
      <w:r>
        <w:rPr>
          <w:rFonts w:ascii="Arial" w:cs="Arial" w:eastAsia="Arial" w:hAnsi="Arial"/>
          <w:sz w:val="14"/>
          <w:szCs w:val="14"/>
          <w:color w:val="auto"/>
        </w:rPr>
        <w:t>____________________</w:t>
      </w:r>
    </w:p>
    <w:p>
      <w:pPr>
        <w:ind w:left="120" w:hanging="94"/>
        <w:spacing w:after="0"/>
        <w:tabs>
          <w:tab w:leader="none" w:pos="120" w:val="left"/>
        </w:tabs>
        <w:numPr>
          <w:ilvl w:val="0"/>
          <w:numId w:val="121"/>
        </w:numPr>
        <w:rPr>
          <w:rFonts w:ascii="Arial" w:cs="Arial" w:eastAsia="Arial" w:hAnsi="Arial"/>
          <w:sz w:val="9"/>
          <w:szCs w:val="9"/>
          <w:color w:val="auto"/>
        </w:rPr>
      </w:pPr>
      <w:r>
        <w:rPr>
          <w:rFonts w:ascii="Arial" w:cs="Arial" w:eastAsia="Arial" w:hAnsi="Arial"/>
          <w:sz w:val="14"/>
          <w:szCs w:val="14"/>
          <w:color w:val="002E6D"/>
        </w:rPr>
        <w:t>https://www.amnesty.org/download/Documents/ACT3008932019ENGLISH.PDF</w:t>
      </w:r>
    </w:p>
    <w:p>
      <w:pPr>
        <w:spacing w:after="0" w:line="28" w:lineRule="exact"/>
        <w:rPr>
          <w:sz w:val="20"/>
          <w:szCs w:val="20"/>
          <w:color w:val="auto"/>
        </w:rPr>
      </w:pPr>
    </w:p>
    <w:p>
      <w:pPr>
        <w:ind w:left="120" w:hanging="94"/>
        <w:spacing w:after="0"/>
        <w:tabs>
          <w:tab w:leader="none" w:pos="120" w:val="left"/>
        </w:tabs>
        <w:numPr>
          <w:ilvl w:val="0"/>
          <w:numId w:val="122"/>
        </w:numPr>
        <w:rPr>
          <w:rFonts w:ascii="Arial" w:cs="Arial" w:eastAsia="Arial" w:hAnsi="Arial"/>
          <w:sz w:val="9"/>
          <w:szCs w:val="9"/>
          <w:color w:val="auto"/>
        </w:rPr>
      </w:pPr>
      <w:r>
        <w:rPr>
          <w:rFonts w:ascii="Arial" w:cs="Arial" w:eastAsia="Arial" w:hAnsi="Arial"/>
          <w:sz w:val="14"/>
          <w:szCs w:val="14"/>
          <w:color w:val="002E6D"/>
        </w:rPr>
        <w:t>https://www.hrw.org/reports/2007/lebanon0907/lebanon0907web.pdf; https://www2.ohchr.org/english/bodies/hrcouncil/docs/12session/A-HRC-12-48.pdf</w:t>
      </w:r>
    </w:p>
    <w:p>
      <w:pPr>
        <w:spacing w:after="0" w:line="28" w:lineRule="exact"/>
        <w:rPr>
          <w:rFonts w:ascii="Arial" w:cs="Arial" w:eastAsia="Arial" w:hAnsi="Arial"/>
          <w:sz w:val="9"/>
          <w:szCs w:val="9"/>
          <w:color w:val="auto"/>
        </w:rPr>
      </w:pPr>
    </w:p>
    <w:p>
      <w:pPr>
        <w:ind w:left="20"/>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002E6D"/>
        </w:rPr>
        <w:t>https://www.paxforpeace.nl/media/files/mwatana-day-of-judgement.pdf</w:t>
      </w:r>
    </w:p>
    <w:p>
      <w:pPr>
        <w:spacing w:after="0" w:line="28" w:lineRule="exact"/>
        <w:rPr>
          <w:rFonts w:ascii="Arial" w:cs="Arial" w:eastAsia="Arial" w:hAnsi="Arial"/>
          <w:sz w:val="9"/>
          <w:szCs w:val="9"/>
          <w:color w:val="auto"/>
        </w:rPr>
      </w:pPr>
    </w:p>
    <w:p>
      <w:pPr>
        <w:ind w:left="20"/>
        <w:spacing w:after="0"/>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4"/>
          <w:szCs w:val="14"/>
          <w:color w:val="002E6D"/>
        </w:rPr>
        <w:t>https://www.bbc.com/news/world-middle-east-54737029</w:t>
      </w:r>
    </w:p>
    <w:p>
      <w:pPr>
        <w:spacing w:after="0" w:line="28" w:lineRule="exact"/>
        <w:rPr>
          <w:rFonts w:ascii="Arial" w:cs="Arial" w:eastAsia="Arial" w:hAnsi="Arial"/>
          <w:sz w:val="9"/>
          <w:szCs w:val="9"/>
          <w:color w:val="auto"/>
        </w:rPr>
      </w:pPr>
    </w:p>
    <w:p>
      <w:pPr>
        <w:ind w:left="20"/>
        <w:spacing w:after="0"/>
        <w:rPr>
          <w:rFonts w:ascii="Arial" w:cs="Arial" w:eastAsia="Arial" w:hAnsi="Arial"/>
          <w:sz w:val="9"/>
          <w:szCs w:val="9"/>
          <w:color w:val="auto"/>
        </w:rPr>
      </w:pPr>
      <w:r>
        <w:rPr>
          <w:rFonts w:ascii="Arial" w:cs="Arial" w:eastAsia="Arial" w:hAnsi="Arial"/>
          <w:sz w:val="9"/>
          <w:szCs w:val="9"/>
          <w:color w:val="auto"/>
        </w:rPr>
        <w:t xml:space="preserve">5 </w:t>
      </w:r>
      <w:r>
        <w:rPr>
          <w:rFonts w:ascii="Arial" w:cs="Arial" w:eastAsia="Arial" w:hAnsi="Arial"/>
          <w:sz w:val="14"/>
          <w:szCs w:val="14"/>
          <w:color w:val="002E6D"/>
        </w:rPr>
        <w:t>https://www.un.org/law/icjsum/9623.htm</w:t>
      </w:r>
    </w:p>
    <w:p>
      <w:pPr>
        <w:spacing w:after="0" w:line="28" w:lineRule="exact"/>
        <w:rPr>
          <w:rFonts w:ascii="Arial" w:cs="Arial" w:eastAsia="Arial" w:hAnsi="Arial"/>
          <w:sz w:val="9"/>
          <w:szCs w:val="9"/>
          <w:color w:val="auto"/>
        </w:rPr>
      </w:pPr>
    </w:p>
    <w:p>
      <w:pPr>
        <w:ind w:left="20"/>
        <w:spacing w:after="0"/>
        <w:rPr>
          <w:rFonts w:ascii="Arial" w:cs="Arial" w:eastAsia="Arial" w:hAnsi="Arial"/>
          <w:sz w:val="9"/>
          <w:szCs w:val="9"/>
          <w:color w:val="auto"/>
        </w:rPr>
      </w:pPr>
      <w:r>
        <w:rPr>
          <w:rFonts w:ascii="Arial" w:cs="Arial" w:eastAsia="Arial" w:hAnsi="Arial"/>
          <w:sz w:val="9"/>
          <w:szCs w:val="9"/>
          <w:color w:val="auto"/>
        </w:rPr>
        <w:t xml:space="preserve">6 </w:t>
      </w:r>
      <w:r>
        <w:rPr>
          <w:rFonts w:ascii="Arial" w:cs="Arial" w:eastAsia="Arial" w:hAnsi="Arial"/>
          <w:sz w:val="14"/>
          <w:szCs w:val="14"/>
          <w:color w:val="002E6D"/>
        </w:rPr>
        <w:t>https://www.lockheedmartin.com/content/dam/lockheed-martin/eo/documents/ethics/ethics-code-of-conduct-2020.pdf</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End of Stockholder Proposal—Board Opposition Statement on Following Page</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83</w:t>
      </w:r>
    </w:p>
    <w:p>
      <w:pPr>
        <w:sectPr>
          <w:pgSz w:w="11900" w:h="16838" w:orient="portrait"/>
          <w:cols w:equalWidth="0" w:num="1">
            <w:col w:w="11220"/>
          </w:cols>
          <w:pgMar w:left="320" w:top="1440" w:right="35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5"/>
          <w:szCs w:val="15"/>
          <w:color w:val="002E6D"/>
        </w:rPr>
        <w:t>Proposal 5: Stockholder Proposal to Issue a Report on Human Rights Due Diligence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132320" cy="61633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6163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Arial" w:cs="Arial" w:eastAsia="Arial" w:hAnsi="Arial"/>
          <w:sz w:val="29"/>
          <w:szCs w:val="29"/>
          <w:color w:val="012E6C"/>
          <w:shd w:val="clear" w:color="auto" w:fill="E5E7EF"/>
        </w:rPr>
        <w:t>Board of Directors Statement in Opposition to Proposal 5</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The Board has considered this proposal and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 for the following reasons:</w:t>
      </w:r>
    </w:p>
    <w:p>
      <w:pPr>
        <w:spacing w:after="0" w:line="129" w:lineRule="exact"/>
        <w:rPr>
          <w:sz w:val="20"/>
          <w:szCs w:val="20"/>
          <w:color w:val="auto"/>
        </w:rPr>
      </w:pPr>
    </w:p>
    <w:p>
      <w:pPr>
        <w:ind w:left="360" w:right="120" w:hanging="253"/>
        <w:spacing w:after="0" w:line="267" w:lineRule="auto"/>
        <w:tabs>
          <w:tab w:leader="none" w:pos="325" w:val="left"/>
        </w:tabs>
        <w:numPr>
          <w:ilvl w:val="0"/>
          <w:numId w:val="123"/>
        </w:numPr>
        <w:rPr>
          <w:rFonts w:ascii="Arial" w:cs="Arial" w:eastAsia="Arial" w:hAnsi="Arial"/>
          <w:sz w:val="17"/>
          <w:szCs w:val="17"/>
          <w:color w:val="002E6D"/>
        </w:rPr>
      </w:pPr>
      <w:r>
        <w:rPr>
          <w:rFonts w:ascii="Arial" w:cs="Arial" w:eastAsia="Arial" w:hAnsi="Arial"/>
          <w:sz w:val="17"/>
          <w:szCs w:val="17"/>
          <w:b w:val="1"/>
          <w:bCs w:val="1"/>
          <w:color w:val="002E6D"/>
        </w:rPr>
        <w:t xml:space="preserve">The Board believes the Corporation’s existing policies and practices appropriately and adequately address the concerns raised in this proposal. </w:t>
      </w:r>
      <w:r>
        <w:rPr>
          <w:rFonts w:ascii="Arial" w:cs="Arial" w:eastAsia="Arial" w:hAnsi="Arial"/>
          <w:sz w:val="17"/>
          <w:szCs w:val="17"/>
          <w:color w:val="000000"/>
        </w:rPr>
        <w:t>Our policies, procedures, and practices reflect our strong commitment to ethical business practices and respect for human</w:t>
      </w:r>
      <w:r>
        <w:rPr>
          <w:rFonts w:ascii="Arial" w:cs="Arial" w:eastAsia="Arial" w:hAnsi="Arial"/>
          <w:sz w:val="17"/>
          <w:szCs w:val="17"/>
          <w:b w:val="1"/>
          <w:bCs w:val="1"/>
          <w:color w:val="002E6D"/>
        </w:rPr>
        <w:t xml:space="preserve"> </w:t>
      </w:r>
      <w:r>
        <w:rPr>
          <w:rFonts w:ascii="Arial" w:cs="Arial" w:eastAsia="Arial" w:hAnsi="Arial"/>
          <w:sz w:val="17"/>
          <w:szCs w:val="17"/>
          <w:color w:val="000000"/>
        </w:rPr>
        <w:t xml:space="preserve">rights. As outlined in our Good Corporate Citizenship and Respect for Human Rights Policy (Human Rights Policy), at Lockheed Martin, we believe that respect for human rights is an essential element of being a good corporate citizen. Our commitment to respect human rights underlies </w:t>
      </w:r>
      <w:r>
        <w:rPr>
          <w:rFonts w:ascii="Arial" w:cs="Arial" w:eastAsia="Arial" w:hAnsi="Arial"/>
          <w:sz w:val="17"/>
          <w:szCs w:val="17"/>
          <w:i w:val="1"/>
          <w:iCs w:val="1"/>
          <w:color w:val="000000"/>
        </w:rPr>
        <w:t>Setting the Standard</w:t>
      </w:r>
      <w:r>
        <w:rPr>
          <w:rFonts w:ascii="Arial" w:cs="Arial" w:eastAsia="Arial" w:hAnsi="Arial"/>
          <w:sz w:val="17"/>
          <w:szCs w:val="17"/>
          <w:color w:val="000000"/>
        </w:rPr>
        <w:t>, the Lockheed Martin Code of Ethics and Business Conduct (Code of Conduct), and our stated values—</w:t>
      </w:r>
      <w:r>
        <w:rPr>
          <w:rFonts w:ascii="Arial" w:cs="Arial" w:eastAsia="Arial" w:hAnsi="Arial"/>
          <w:sz w:val="17"/>
          <w:szCs w:val="17"/>
          <w:i w:val="1"/>
          <w:iCs w:val="1"/>
          <w:color w:val="000000"/>
        </w:rPr>
        <w:t>Do</w:t>
      </w:r>
      <w:r>
        <w:rPr>
          <w:rFonts w:ascii="Arial" w:cs="Arial" w:eastAsia="Arial" w:hAnsi="Arial"/>
          <w:sz w:val="17"/>
          <w:szCs w:val="17"/>
          <w:color w:val="000000"/>
        </w:rPr>
        <w:t xml:space="preserve"> </w:t>
      </w:r>
      <w:r>
        <w:rPr>
          <w:rFonts w:ascii="Arial" w:cs="Arial" w:eastAsia="Arial" w:hAnsi="Arial"/>
          <w:sz w:val="17"/>
          <w:szCs w:val="17"/>
          <w:i w:val="1"/>
          <w:iCs w:val="1"/>
          <w:color w:val="000000"/>
        </w:rPr>
        <w:t>What’s Right, Respect Others, and Perform with Excellence</w:t>
      </w:r>
      <w:r>
        <w:rPr>
          <w:rFonts w:ascii="Arial" w:cs="Arial" w:eastAsia="Arial" w:hAnsi="Arial"/>
          <w:sz w:val="17"/>
          <w:szCs w:val="17"/>
          <w:color w:val="000000"/>
        </w:rPr>
        <w:t>. This commitment applies to all employees, the Board, and others who represent</w:t>
      </w:r>
      <w:r>
        <w:rPr>
          <w:rFonts w:ascii="Arial" w:cs="Arial" w:eastAsia="Arial" w:hAnsi="Arial"/>
          <w:sz w:val="17"/>
          <w:szCs w:val="17"/>
          <w:i w:val="1"/>
          <w:iCs w:val="1"/>
          <w:color w:val="000000"/>
        </w:rPr>
        <w:t xml:space="preserve"> </w:t>
      </w:r>
      <w:r>
        <w:rPr>
          <w:rFonts w:ascii="Arial" w:cs="Arial" w:eastAsia="Arial" w:hAnsi="Arial"/>
          <w:sz w:val="17"/>
          <w:szCs w:val="17"/>
          <w:color w:val="000000"/>
        </w:rPr>
        <w:t>or act for us. This policy outlines human rights commitments that include fair employment practices and wages, and the prohibition of harassment, discrimination, child or forced labor and human trafficking. Our commitment to good corporate citizenship and human rights is also reinforced through our Supplier Code of Conduct, which sets the expectation that our suppliers will honor the same values we do. In addition, on September 1, 2020, we adopted a corporate policy on the ethical development of use of artificial intelligence (AI) that outlines our principles and concepts for the development, procurement, deployment or internal use of AI systems consistent with our Code of Conduct, including consideration of human rights, with a focus on ensuring that we remain responsible, we take deliberate steps to minimize unintended bias, capabilities are traceable with transparent and auditable methodologies, capabilities are reliable with explicit, well-defined uses, and are able to detect and avoid unintended consequences. We make our Human Rights Policy, Code of Conduct and Supplier Code of Conduct publicly available on our website. Please see the Human Rights section of the proxy statement on page 27 for a description of our human rights policy and principles, due diligence approach and Board oversight.</w:t>
      </w:r>
    </w:p>
    <w:p>
      <w:pPr>
        <w:spacing w:after="0" w:line="44" w:lineRule="exact"/>
        <w:rPr>
          <w:rFonts w:ascii="Arial" w:cs="Arial" w:eastAsia="Arial" w:hAnsi="Arial"/>
          <w:sz w:val="17"/>
          <w:szCs w:val="17"/>
          <w:color w:val="002E6D"/>
        </w:rPr>
      </w:pPr>
    </w:p>
    <w:p>
      <w:pPr>
        <w:ind w:left="360" w:hanging="253"/>
        <w:spacing w:after="0"/>
        <w:tabs>
          <w:tab w:leader="none" w:pos="321" w:val="left"/>
        </w:tabs>
        <w:numPr>
          <w:ilvl w:val="0"/>
          <w:numId w:val="123"/>
        </w:numPr>
        <w:rPr>
          <w:rFonts w:ascii="Arial" w:cs="Arial" w:eastAsia="Arial" w:hAnsi="Arial"/>
          <w:sz w:val="20"/>
          <w:szCs w:val="20"/>
          <w:color w:val="002E6D"/>
        </w:rPr>
      </w:pPr>
      <w:r>
        <w:rPr>
          <w:rFonts w:ascii="Arial" w:cs="Arial" w:eastAsia="Arial" w:hAnsi="Arial"/>
          <w:sz w:val="17"/>
          <w:szCs w:val="17"/>
          <w:b w:val="1"/>
          <w:bCs w:val="1"/>
          <w:color w:val="002E6D"/>
        </w:rPr>
        <w:t xml:space="preserve">Our military sales activities promote global security and are regulated by the U.S. Government and reviewed and approved by the Executive Branch with oversight from Congress to ensure they support U.S. national security and foreign policy objectives, including consideration of whether any arms transfer contributes to the risk of human rights abuses. </w:t>
      </w:r>
      <w:r>
        <w:rPr>
          <w:rFonts w:ascii="Arial" w:cs="Arial" w:eastAsia="Arial" w:hAnsi="Arial"/>
          <w:sz w:val="17"/>
          <w:szCs w:val="17"/>
          <w:color w:val="000000"/>
        </w:rPr>
        <w:t>International sales of our defense products</w:t>
      </w:r>
      <w:r>
        <w:rPr>
          <w:rFonts w:ascii="Arial" w:cs="Arial" w:eastAsia="Arial" w:hAnsi="Arial"/>
          <w:sz w:val="17"/>
          <w:szCs w:val="17"/>
          <w:b w:val="1"/>
          <w:bCs w:val="1"/>
          <w:color w:val="002E6D"/>
        </w:rPr>
        <w:t xml:space="preserve"> </w:t>
      </w:r>
      <w:r>
        <w:rPr>
          <w:rFonts w:ascii="Arial" w:cs="Arial" w:eastAsia="Arial" w:hAnsi="Arial"/>
          <w:sz w:val="17"/>
          <w:szCs w:val="17"/>
          <w:color w:val="000000"/>
        </w:rPr>
        <w:t>and services occur on a government-to-government basis via foreign military sales (FMS) programs, and by direct commercial sales from Lockheed Martin to our customers. Both forms of transactions are authorized by the Arms Export Control Act and support U.S. foreign policy objectives. The Defense Security Cooperation Agency manages FMS sales for the U.S. Department of Defense. These activities are regulated by the U.S. government and are reviewed and approved by the Executive Branch and Congress to ensure that they support U.S. national security and foreign policy objectives and that arms are not redirected and used for unauthorized purposes. The applicable regulatory processes require these branches of government to consider the risk that an arms transfer contributes to abuses of human rights. We strictly adhere to U.S. government oversight and policy in all matters relating to international sales and specifically to the transfer of products and technologies to foreign entities, and have a robust trade compliance program to ensure that all sales of our products are conducted in accordance not only with international trade laws and regulations of the U.S. but also of each foreign country in which we operate. All of our sales are subject to our Code of Conduct and all applicable U.S. and foreign laws and regulations, including those related to anti-corruption, import-export control, taxation, repatriation of earnings, exchange controls and the anti-boycott provisions of the U.S. Export Controls Reform Act of 2018.</w:t>
      </w:r>
    </w:p>
    <w:p>
      <w:pPr>
        <w:spacing w:after="0" w:line="185" w:lineRule="exact"/>
        <w:rPr>
          <w:rFonts w:ascii="Arial" w:cs="Arial" w:eastAsia="Arial" w:hAnsi="Arial"/>
          <w:sz w:val="20"/>
          <w:szCs w:val="20"/>
          <w:color w:val="002E6D"/>
        </w:rPr>
      </w:pPr>
    </w:p>
    <w:p>
      <w:pPr>
        <w:ind w:left="360" w:right="180" w:hanging="253"/>
        <w:spacing w:after="0" w:line="272" w:lineRule="auto"/>
        <w:tabs>
          <w:tab w:leader="none" w:pos="325" w:val="left"/>
        </w:tabs>
        <w:numPr>
          <w:ilvl w:val="0"/>
          <w:numId w:val="123"/>
        </w:numPr>
        <w:rPr>
          <w:rFonts w:ascii="Arial" w:cs="Arial" w:eastAsia="Arial" w:hAnsi="Arial"/>
          <w:sz w:val="17"/>
          <w:szCs w:val="17"/>
          <w:color w:val="002E6D"/>
        </w:rPr>
      </w:pPr>
      <w:r>
        <w:rPr>
          <w:rFonts w:ascii="Arial" w:cs="Arial" w:eastAsia="Arial" w:hAnsi="Arial"/>
          <w:sz w:val="17"/>
          <w:szCs w:val="17"/>
          <w:b w:val="1"/>
          <w:bCs w:val="1"/>
          <w:color w:val="002E6D"/>
        </w:rPr>
        <w:t xml:space="preserve">Preparing the report called for by the stockholder proposal would produce little or no benefit to our stockholders but would impose unnecessary burden and expense on the Corporation. </w:t>
      </w:r>
      <w:r>
        <w:rPr>
          <w:rFonts w:ascii="Arial" w:cs="Arial" w:eastAsia="Arial" w:hAnsi="Arial"/>
          <w:sz w:val="17"/>
          <w:szCs w:val="17"/>
          <w:color w:val="000000"/>
        </w:rPr>
        <w:t>We believe the report called for by the stockholder proposal is unnecessary in light</w:t>
      </w:r>
      <w:r>
        <w:rPr>
          <w:rFonts w:ascii="Arial" w:cs="Arial" w:eastAsia="Arial" w:hAnsi="Arial"/>
          <w:sz w:val="17"/>
          <w:szCs w:val="17"/>
          <w:b w:val="1"/>
          <w:bCs w:val="1"/>
          <w:color w:val="002E6D"/>
        </w:rPr>
        <w:t xml:space="preserve"> </w:t>
      </w:r>
      <w:r>
        <w:rPr>
          <w:rFonts w:ascii="Arial" w:cs="Arial" w:eastAsia="Arial" w:hAnsi="Arial"/>
          <w:sz w:val="17"/>
          <w:szCs w:val="17"/>
          <w:color w:val="000000"/>
        </w:rPr>
        <w:t>of our existing human rights policies and that the concerns raised by the proposal would be more appropriately directed to public officials who determine foreign policy rather than being channeled through the federal proxy rules. A formal report as contemplated by the proposal would be costly and time consuming to produce and the proposal relates to the Corporation’s ordinary business operations, which is the proper purview of management as overseen by the Board.</w:t>
      </w:r>
    </w:p>
    <w:p>
      <w:pPr>
        <w:spacing w:after="0" w:line="95" w:lineRule="exact"/>
        <w:rPr>
          <w:sz w:val="20"/>
          <w:szCs w:val="20"/>
          <w:color w:val="auto"/>
        </w:rPr>
      </w:pPr>
    </w:p>
    <w:p>
      <w:pPr>
        <w:jc w:val="both"/>
        <w:ind w:left="100" w:right="240"/>
        <w:spacing w:after="0" w:line="270" w:lineRule="auto"/>
        <w:rPr>
          <w:sz w:val="20"/>
          <w:szCs w:val="20"/>
          <w:color w:val="auto"/>
        </w:rPr>
      </w:pPr>
      <w:r>
        <w:rPr>
          <w:rFonts w:ascii="Arial" w:cs="Arial" w:eastAsia="Arial" w:hAnsi="Arial"/>
          <w:sz w:val="17"/>
          <w:szCs w:val="17"/>
          <w:color w:val="auto"/>
        </w:rPr>
        <w:t>The Board remains committed to human rights and ensuring that Lockheed Martin continues to adhere to the high standard for human rights to which it holds itself. We do not believe the report called for by the stockholder proposal would enhance those objectives and, for the reasons set forth above, we do not believe the preparation of a report is in the best interests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382270</wp:posOffset>
            </wp:positionV>
            <wp:extent cx="969010" cy="2228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84</w:t>
      </w:r>
    </w:p>
    <w:p>
      <w:pPr>
        <w:sectPr>
          <w:pgSz w:w="11900" w:h="16838" w:orient="portrait"/>
          <w:cols w:equalWidth="0" w:num="1">
            <w:col w:w="11200"/>
          </w:cols>
          <w:pgMar w:left="320" w:top="609" w:right="379" w:bottom="1440" w:gutter="0" w:footer="0" w:header="0"/>
        </w:sectPr>
      </w:pPr>
    </w:p>
    <w:bookmarkStart w:id="88" w:name="page89"/>
    <w:bookmarkEnd w:id="88"/>
    <w:p>
      <w:pPr>
        <w:spacing w:after="0"/>
        <w:rPr>
          <w:sz w:val="20"/>
          <w:szCs w:val="20"/>
          <w:color w:val="auto"/>
        </w:rPr>
      </w:pPr>
      <w:r>
        <w:rPr>
          <w:rFonts w:ascii="Arial" w:cs="Arial" w:eastAsia="Arial" w:hAnsi="Arial"/>
          <w:sz w:val="43"/>
          <w:szCs w:val="43"/>
          <w:color w:val="002E6D"/>
        </w:rPr>
        <w:t>Annual Meeting Questions and Answers</w:t>
      </w:r>
    </w:p>
    <w:p>
      <w:pPr>
        <w:spacing w:after="0" w:line="380" w:lineRule="exact"/>
        <w:rPr>
          <w:sz w:val="20"/>
          <w:szCs w:val="20"/>
          <w:color w:val="auto"/>
        </w:rPr>
      </w:pPr>
    </w:p>
    <w:p>
      <w:pPr>
        <w:ind w:left="100"/>
        <w:spacing w:after="0"/>
        <w:rPr>
          <w:sz w:val="20"/>
          <w:szCs w:val="20"/>
          <w:color w:val="auto"/>
        </w:rPr>
      </w:pPr>
      <w:r>
        <w:rPr>
          <w:rFonts w:ascii="Arial" w:cs="Arial" w:eastAsia="Arial" w:hAnsi="Arial"/>
          <w:sz w:val="29"/>
          <w:szCs w:val="29"/>
          <w:color w:val="002E6D"/>
        </w:rPr>
        <w:t>Why is the Annual Meeting format virtual?</w:t>
      </w:r>
    </w:p>
    <w:p>
      <w:pPr>
        <w:spacing w:after="0" w:line="123" w:lineRule="exact"/>
        <w:rPr>
          <w:sz w:val="20"/>
          <w:szCs w:val="20"/>
          <w:color w:val="auto"/>
        </w:rPr>
      </w:pPr>
    </w:p>
    <w:p>
      <w:pPr>
        <w:ind w:left="100" w:right="200"/>
        <w:spacing w:after="0" w:line="268" w:lineRule="auto"/>
        <w:rPr>
          <w:sz w:val="20"/>
          <w:szCs w:val="20"/>
          <w:color w:val="auto"/>
        </w:rPr>
      </w:pPr>
      <w:r>
        <w:rPr>
          <w:rFonts w:ascii="Arial" w:cs="Arial" w:eastAsia="Arial" w:hAnsi="Arial"/>
          <w:sz w:val="17"/>
          <w:szCs w:val="17"/>
          <w:color w:val="auto"/>
        </w:rPr>
        <w:t>The Corporation will conduct the Annual Meeting exclusively online through a live audio webcast via the Internet. We have adopted this format to assist in protecting the health and safety of the Corporation's stockholders and employees in light of continued public health concerns regarding COVID-19 and to facilitate stockholder attendance and to enable stockholders to participate fully and equally, regardless of size, resources, or physical location. These Proxy Materials include instructions on how to access and participate in the virtual Annual Meeting and how you may vote your shares before or during the Annual Meeting.</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9"/>
          <w:szCs w:val="29"/>
          <w:color w:val="002E6D"/>
        </w:rPr>
        <w:t>How do I participate in the virtual Annual Meeting?</w:t>
      </w:r>
    </w:p>
    <w:p>
      <w:pPr>
        <w:spacing w:after="0" w:line="103" w:lineRule="exact"/>
        <w:rPr>
          <w:sz w:val="20"/>
          <w:szCs w:val="20"/>
          <w:color w:val="auto"/>
        </w:rPr>
      </w:pPr>
    </w:p>
    <w:p>
      <w:pPr>
        <w:ind w:left="100" w:right="240"/>
        <w:spacing w:after="0" w:line="274" w:lineRule="auto"/>
        <w:rPr>
          <w:sz w:val="20"/>
          <w:szCs w:val="20"/>
          <w:color w:val="auto"/>
        </w:rPr>
      </w:pPr>
      <w:r>
        <w:rPr>
          <w:rFonts w:ascii="Arial" w:cs="Arial" w:eastAsia="Arial" w:hAnsi="Arial"/>
          <w:sz w:val="17"/>
          <w:szCs w:val="17"/>
          <w:color w:val="auto"/>
        </w:rPr>
        <w:t xml:space="preserve">Stockholders may attend the Annual Meeting via the Internet by visiting </w:t>
      </w:r>
      <w:r>
        <w:rPr>
          <w:rFonts w:ascii="Arial" w:cs="Arial" w:eastAsia="Arial" w:hAnsi="Arial"/>
          <w:sz w:val="17"/>
          <w:szCs w:val="17"/>
          <w:b w:val="1"/>
          <w:bCs w:val="1"/>
          <w:i w:val="1"/>
          <w:iCs w:val="1"/>
          <w:color w:val="auto"/>
        </w:rPr>
        <w:t>www.meetingcenter.io/266927146</w:t>
      </w:r>
      <w:r>
        <w:rPr>
          <w:rFonts w:ascii="Arial" w:cs="Arial" w:eastAsia="Arial" w:hAnsi="Arial"/>
          <w:sz w:val="17"/>
          <w:szCs w:val="17"/>
          <w:color w:val="auto"/>
        </w:rPr>
        <w:t xml:space="preserve">. The password, if prompted for one, is </w:t>
      </w:r>
      <w:r>
        <w:rPr>
          <w:rFonts w:ascii="Arial" w:cs="Arial" w:eastAsia="Arial" w:hAnsi="Arial"/>
          <w:sz w:val="17"/>
          <w:szCs w:val="17"/>
          <w:b w:val="1"/>
          <w:bCs w:val="1"/>
          <w:color w:val="auto"/>
        </w:rPr>
        <w:t>LMT2021</w:t>
      </w:r>
      <w:r>
        <w:rPr>
          <w:rFonts w:ascii="Arial" w:cs="Arial" w:eastAsia="Arial" w:hAnsi="Arial"/>
          <w:sz w:val="17"/>
          <w:szCs w:val="17"/>
          <w:color w:val="auto"/>
        </w:rPr>
        <w:t>. You will be prompted to enter the unique control number received with your proxy card (for registered stockholders) or voting instruction form (for beneficial owners) to join and participate in the meeting. See "What is the difference between holding shares as a registered stockholder and as a beneficial owner?" below for information on how to determine whether you are a registered stockholder or a beneficial owner.</w:t>
      </w:r>
    </w:p>
    <w:p>
      <w:pPr>
        <w:spacing w:after="0" w:line="92" w:lineRule="exact"/>
        <w:rPr>
          <w:sz w:val="20"/>
          <w:szCs w:val="20"/>
          <w:color w:val="auto"/>
        </w:rPr>
      </w:pPr>
    </w:p>
    <w:p>
      <w:pPr>
        <w:ind w:left="100" w:right="80"/>
        <w:spacing w:after="0" w:line="268" w:lineRule="auto"/>
        <w:rPr>
          <w:sz w:val="20"/>
          <w:szCs w:val="20"/>
          <w:color w:val="auto"/>
        </w:rPr>
      </w:pPr>
      <w:r>
        <w:rPr>
          <w:rFonts w:ascii="Arial" w:cs="Arial" w:eastAsia="Arial" w:hAnsi="Arial"/>
          <w:sz w:val="17"/>
          <w:szCs w:val="17"/>
          <w:color w:val="auto"/>
        </w:rPr>
        <w:t>While we expect that the vast majority of beneficial owners will be able to participate using the control number received with their voting instruction form, we recommend that beneficial owners confirm this ability with the broker, bank or other nominee through which they hold their shares. If your broker, bank or other nominee does not provide an ability to access the virtual Annual Meeting, then you will be required to request a legal proxy from them to participate in the virtual Annual Meeting. See "How can I vote during the Annual Meeting" for information on how to request a legal proxy.</w:t>
      </w:r>
    </w:p>
    <w:p>
      <w:pPr>
        <w:spacing w:after="0" w:line="97" w:lineRule="exact"/>
        <w:rPr>
          <w:sz w:val="20"/>
          <w:szCs w:val="20"/>
          <w:color w:val="auto"/>
        </w:rPr>
      </w:pPr>
    </w:p>
    <w:p>
      <w:pPr>
        <w:ind w:left="100" w:right="160"/>
        <w:spacing w:after="0" w:line="276" w:lineRule="auto"/>
        <w:rPr>
          <w:sz w:val="20"/>
          <w:szCs w:val="20"/>
          <w:color w:val="auto"/>
        </w:rPr>
      </w:pPr>
      <w:r>
        <w:rPr>
          <w:rFonts w:ascii="Arial" w:cs="Arial" w:eastAsia="Arial" w:hAnsi="Arial"/>
          <w:sz w:val="17"/>
          <w:szCs w:val="17"/>
          <w:color w:val="auto"/>
        </w:rPr>
        <w:t>Stockholders who hold shares through a Lockheed Martin benefit plan who join the Annual Meeting by using the control number received on their voting instruction form will be able to ask questions but not vote during the meeting.</w:t>
      </w:r>
    </w:p>
    <w:p>
      <w:pPr>
        <w:spacing w:after="0" w:line="90" w:lineRule="exact"/>
        <w:rPr>
          <w:sz w:val="20"/>
          <w:szCs w:val="20"/>
          <w:color w:val="auto"/>
        </w:rPr>
      </w:pPr>
    </w:p>
    <w:p>
      <w:pPr>
        <w:ind w:left="100" w:right="400"/>
        <w:spacing w:after="0" w:line="276" w:lineRule="auto"/>
        <w:rPr>
          <w:sz w:val="20"/>
          <w:szCs w:val="20"/>
          <w:color w:val="auto"/>
        </w:rPr>
      </w:pPr>
      <w:r>
        <w:rPr>
          <w:rFonts w:ascii="Arial" w:cs="Arial" w:eastAsia="Arial" w:hAnsi="Arial"/>
          <w:sz w:val="17"/>
          <w:szCs w:val="17"/>
          <w:color w:val="auto"/>
        </w:rPr>
        <w:t>If you do not have a control number, you may participate in the Annual Meeting as a guest but will not have the option to vote or ask questions during the meeting.</w:t>
      </w:r>
    </w:p>
    <w:p>
      <w:pPr>
        <w:spacing w:after="0" w:line="90" w:lineRule="exact"/>
        <w:rPr>
          <w:sz w:val="20"/>
          <w:szCs w:val="20"/>
          <w:color w:val="auto"/>
        </w:rPr>
      </w:pPr>
    </w:p>
    <w:p>
      <w:pPr>
        <w:ind w:left="100" w:right="460"/>
        <w:spacing w:after="0" w:line="276" w:lineRule="auto"/>
        <w:rPr>
          <w:sz w:val="20"/>
          <w:szCs w:val="20"/>
          <w:color w:val="auto"/>
        </w:rPr>
      </w:pPr>
      <w:r>
        <w:rPr>
          <w:rFonts w:ascii="Arial" w:cs="Arial" w:eastAsia="Arial" w:hAnsi="Arial"/>
          <w:sz w:val="17"/>
          <w:szCs w:val="17"/>
          <w:color w:val="auto"/>
        </w:rPr>
        <w:t>The Annual Meeting will begin promptly at 8:00 a.m. EDT, on April 22, 2021. You may begin to log into the meeting platform approximately 30 minutes before the start and test your computer audio system. We encourage stockholders to access the meeting prior to the start time.</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9"/>
          <w:szCs w:val="29"/>
          <w:color w:val="002E6D"/>
        </w:rPr>
        <w:t>How do I submit a question at the virtual Annual Meeting?</w:t>
      </w:r>
    </w:p>
    <w:p>
      <w:pPr>
        <w:spacing w:after="0" w:line="123" w:lineRule="exact"/>
        <w:rPr>
          <w:sz w:val="20"/>
          <w:szCs w:val="20"/>
          <w:color w:val="auto"/>
        </w:rPr>
      </w:pPr>
    </w:p>
    <w:p>
      <w:pPr>
        <w:ind w:left="100" w:right="460"/>
        <w:spacing w:after="0" w:line="270" w:lineRule="auto"/>
        <w:rPr>
          <w:sz w:val="20"/>
          <w:szCs w:val="20"/>
          <w:color w:val="auto"/>
        </w:rPr>
      </w:pPr>
      <w:r>
        <w:rPr>
          <w:rFonts w:ascii="Arial" w:cs="Arial" w:eastAsia="Arial" w:hAnsi="Arial"/>
          <w:sz w:val="17"/>
          <w:szCs w:val="17"/>
          <w:color w:val="auto"/>
        </w:rPr>
        <w:t>Stockholders accessing the meeting using a control number provided on their proxy card or voting instruction form will be able to submit questions. Once past the login screen, click on the "messages" icon on the screen to submit your question. We will hold a general discussion session at the conclusion of the meeting during which we intend to answer pertinent questions submitted during the meeting, as time permits.</w:t>
      </w:r>
    </w:p>
    <w:p>
      <w:pPr>
        <w:spacing w:after="0" w:line="98" w:lineRule="exact"/>
        <w:rPr>
          <w:sz w:val="20"/>
          <w:szCs w:val="20"/>
          <w:color w:val="auto"/>
        </w:rPr>
      </w:pPr>
    </w:p>
    <w:p>
      <w:pPr>
        <w:ind w:left="100"/>
        <w:spacing w:after="0"/>
        <w:rPr>
          <w:sz w:val="20"/>
          <w:szCs w:val="20"/>
          <w:color w:val="auto"/>
        </w:rPr>
      </w:pPr>
      <w:r>
        <w:rPr>
          <w:rFonts w:ascii="Arial" w:cs="Arial" w:eastAsia="Arial" w:hAnsi="Arial"/>
          <w:sz w:val="29"/>
          <w:szCs w:val="29"/>
          <w:color w:val="002E6D"/>
        </w:rPr>
        <w:t>What if I have technical difficulties accessing or during the meeting?</w:t>
      </w:r>
    </w:p>
    <w:p>
      <w:pPr>
        <w:spacing w:after="0" w:line="137" w:lineRule="exact"/>
        <w:rPr>
          <w:sz w:val="20"/>
          <w:szCs w:val="20"/>
          <w:color w:val="auto"/>
        </w:rPr>
      </w:pPr>
    </w:p>
    <w:p>
      <w:pPr>
        <w:ind w:left="100" w:right="140"/>
        <w:spacing w:after="0" w:line="276" w:lineRule="auto"/>
        <w:rPr>
          <w:sz w:val="20"/>
          <w:szCs w:val="20"/>
          <w:color w:val="auto"/>
        </w:rPr>
      </w:pPr>
      <w:r>
        <w:rPr>
          <w:rFonts w:ascii="Arial" w:cs="Arial" w:eastAsia="Arial" w:hAnsi="Arial"/>
          <w:sz w:val="17"/>
          <w:szCs w:val="17"/>
          <w:color w:val="auto"/>
        </w:rPr>
        <w:t>If you encounter difficulties accessing the meeting click the "Additional Information" button on the Meeting Center login page for assistance. If you encounter difficulties after accessing the meeting, click the "Help" button in the upper right hand corner of the meeting page for assistance.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85</w:t>
      </w:r>
    </w:p>
    <w:p>
      <w:pPr>
        <w:sectPr>
          <w:pgSz w:w="11900" w:h="16838" w:orient="portrait"/>
          <w:cols w:equalWidth="0" w:num="1">
            <w:col w:w="11220"/>
          </w:cols>
          <w:pgMar w:left="320" w:top="1340" w:right="359" w:bottom="1440" w:gutter="0" w:footer="0" w:header="0"/>
        </w:sectPr>
      </w:pPr>
    </w:p>
    <w:bookmarkStart w:id="89" w:name="page90"/>
    <w:bookmarkEnd w:id="89"/>
    <w:p>
      <w:pPr>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Who is entitled to vote at the Annual Meeting?</w:t>
      </w:r>
    </w:p>
    <w:p>
      <w:pPr>
        <w:spacing w:after="0" w:line="1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xml:space="preserve">Holders of our common stock at the close of business on February 26, 2021 (the Record Date) are entitled to participate and vote their shares at the Annual Meeting. As of the Record Date, there were 278,712,199 shares issued and outstanding. Each share outstanding on the Record Date is entitled to one vote on each proposal presented at the Annual Meeting. This includes shares held through Lockheed Martin Direct Invest, our dividend reinvestment and stock purchase plan, and through our employee benefit plans. Your proxy card shows the number of shares held in your account(s) as of the Record Date. </w:t>
      </w:r>
      <w:r>
        <w:rPr>
          <w:rFonts w:ascii="Arial" w:cs="Arial" w:eastAsia="Arial" w:hAnsi="Arial"/>
          <w:sz w:val="17"/>
          <w:szCs w:val="17"/>
          <w:b w:val="1"/>
          <w:bCs w:val="1"/>
          <w:color w:val="auto"/>
        </w:rPr>
        <w:t>Whether or not you plan to attend the virtual Annual Meeting, the Corporation encourages all</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stockholders to vote on the proposals prior to the Annual Meeting in accordance with the instructions you receive with your Proxy Materials.</w:t>
      </w:r>
    </w:p>
    <w:p>
      <w:pPr>
        <w:spacing w:after="0" w:line="86" w:lineRule="exact"/>
        <w:rPr>
          <w:sz w:val="20"/>
          <w:szCs w:val="20"/>
          <w:color w:val="auto"/>
        </w:rPr>
      </w:pPr>
    </w:p>
    <w:p>
      <w:pPr>
        <w:ind w:right="600"/>
        <w:spacing w:after="0" w:line="252" w:lineRule="auto"/>
        <w:rPr>
          <w:sz w:val="20"/>
          <w:szCs w:val="20"/>
          <w:color w:val="auto"/>
        </w:rPr>
      </w:pPr>
      <w:r>
        <w:rPr>
          <w:rFonts w:ascii="Arial" w:cs="Arial" w:eastAsia="Arial" w:hAnsi="Arial"/>
          <w:sz w:val="29"/>
          <w:szCs w:val="29"/>
          <w:color w:val="002E6D"/>
        </w:rPr>
        <w:t>What is the difference between holding shares as a registered stockholder and as a beneficial owner?</w:t>
      </w:r>
    </w:p>
    <w:p>
      <w:pPr>
        <w:spacing w:after="0" w:line="94" w:lineRule="exact"/>
        <w:rPr>
          <w:sz w:val="20"/>
          <w:szCs w:val="20"/>
          <w:color w:val="auto"/>
        </w:rPr>
      </w:pPr>
    </w:p>
    <w:p>
      <w:pPr>
        <w:ind w:right="820"/>
        <w:spacing w:after="0" w:line="276" w:lineRule="auto"/>
        <w:rPr>
          <w:sz w:val="20"/>
          <w:szCs w:val="20"/>
          <w:color w:val="auto"/>
        </w:rPr>
      </w:pPr>
      <w:r>
        <w:rPr>
          <w:rFonts w:ascii="Arial" w:cs="Arial" w:eastAsia="Arial" w:hAnsi="Arial"/>
          <w:sz w:val="17"/>
          <w:szCs w:val="17"/>
          <w:color w:val="auto"/>
        </w:rPr>
        <w:t>If your shares are registered directly in your name with our transfer agent, Computershare Trust Company, N.A. (Computershare), you are considered the “registered stockholder” of those shares. We mail the Proxy Materials and our Annual Report to you directly.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If your shares are held in a stock brokerage account or by a bank or other nominee (street name), you are considered the “beneficial owner” of the shares that are registered in street name. In this case, the Proxy Materials and our Annual Report were forwarded to you by your broker, bank or other nominee. As the beneficial owner, you have the right to direct your broker, bank or other nominee how to vote your shares by following the voting instructions included in the mailing.</w:t>
      </w:r>
    </w:p>
    <w:p>
      <w:pPr>
        <w:spacing w:after="0" w:line="9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Participants in a Lockheed Martin benefit plan with shares allocated to their account should review the information on procedures for voting by plan participants on page 88.</w:t>
      </w:r>
    </w:p>
    <w:p>
      <w:pPr>
        <w:spacing w:after="0" w:line="79" w:lineRule="exact"/>
        <w:rPr>
          <w:sz w:val="20"/>
          <w:szCs w:val="20"/>
          <w:color w:val="auto"/>
        </w:rPr>
      </w:pPr>
    </w:p>
    <w:p>
      <w:pPr>
        <w:spacing w:after="0"/>
        <w:rPr>
          <w:sz w:val="20"/>
          <w:szCs w:val="20"/>
          <w:color w:val="auto"/>
        </w:rPr>
      </w:pPr>
      <w:r>
        <w:rPr>
          <w:rFonts w:ascii="Arial" w:cs="Arial" w:eastAsia="Arial" w:hAnsi="Arial"/>
          <w:sz w:val="29"/>
          <w:szCs w:val="29"/>
          <w:color w:val="002E6D"/>
        </w:rPr>
        <w:t>What am I voting on and what are the Board voting recommendations?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Our stockholders will be voting on the following proposals if properly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shd w:val="clear" w:color="auto" w:fill="E5E7EF"/>
          </w:tcPr>
          <w:p>
            <w:pPr>
              <w:spacing w:after="0"/>
              <w:rPr>
                <w:sz w:val="14"/>
                <w:szCs w:val="14"/>
                <w:color w:val="auto"/>
              </w:rPr>
            </w:pPr>
          </w:p>
        </w:tc>
        <w:tc>
          <w:tcPr>
            <w:tcW w:w="6840" w:type="dxa"/>
            <w:vAlign w:val="bottom"/>
            <w:shd w:val="clear" w:color="auto" w:fill="E5E7EF"/>
          </w:tcPr>
          <w:p>
            <w:pPr>
              <w:spacing w:after="0"/>
              <w:rPr>
                <w:sz w:val="14"/>
                <w:szCs w:val="14"/>
                <w:color w:val="auto"/>
              </w:rPr>
            </w:pPr>
          </w:p>
        </w:tc>
        <w:tc>
          <w:tcPr>
            <w:tcW w:w="3280" w:type="dxa"/>
            <w:vAlign w:val="bottom"/>
            <w:shd w:val="clear" w:color="auto" w:fill="E5E7EF"/>
          </w:tcPr>
          <w:p>
            <w:pPr>
              <w:jc w:val="right"/>
              <w:ind w:right="91"/>
              <w:spacing w:after="0"/>
              <w:rPr>
                <w:sz w:val="20"/>
                <w:szCs w:val="20"/>
                <w:color w:val="auto"/>
              </w:rPr>
            </w:pPr>
            <w:r>
              <w:rPr>
                <w:rFonts w:ascii="Arial" w:cs="Arial" w:eastAsia="Arial" w:hAnsi="Arial"/>
                <w:sz w:val="13"/>
                <w:szCs w:val="13"/>
                <w:color w:val="auto"/>
              </w:rPr>
              <w:t>Board Voting</w:t>
            </w:r>
          </w:p>
        </w:tc>
        <w:tc>
          <w:tcPr>
            <w:tcW w:w="460" w:type="dxa"/>
            <w:vAlign w:val="bottom"/>
            <w:shd w:val="clear" w:color="auto" w:fill="E5E7EF"/>
          </w:tcPr>
          <w:p>
            <w:pPr>
              <w:spacing w:after="0"/>
              <w:rPr>
                <w:sz w:val="14"/>
                <w:szCs w:val="14"/>
                <w:color w:val="auto"/>
              </w:rPr>
            </w:pPr>
          </w:p>
        </w:tc>
      </w:tr>
      <w:tr>
        <w:trPr>
          <w:trHeight w:val="186"/>
        </w:trPr>
        <w:tc>
          <w:tcPr>
            <w:tcW w:w="66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Proposal</w:t>
            </w:r>
          </w:p>
        </w:tc>
        <w:tc>
          <w:tcPr>
            <w:tcW w:w="6840" w:type="dxa"/>
            <w:vAlign w:val="bottom"/>
            <w:tcBorders>
              <w:bottom w:val="single" w:sz="8" w:color="E5E7EF"/>
            </w:tcBorders>
            <w:shd w:val="clear" w:color="auto" w:fill="E5E7EF"/>
          </w:tcPr>
          <w:p>
            <w:pPr>
              <w:ind w:left="140"/>
              <w:spacing w:after="0"/>
              <w:rPr>
                <w:sz w:val="20"/>
                <w:szCs w:val="20"/>
                <w:color w:val="auto"/>
              </w:rPr>
            </w:pPr>
            <w:r>
              <w:rPr>
                <w:rFonts w:ascii="Arial" w:cs="Arial" w:eastAsia="Arial" w:hAnsi="Arial"/>
                <w:sz w:val="13"/>
                <w:szCs w:val="13"/>
                <w:color w:val="auto"/>
              </w:rPr>
              <w:t>Description</w:t>
            </w:r>
          </w:p>
        </w:tc>
        <w:tc>
          <w:tcPr>
            <w:tcW w:w="3280" w:type="dxa"/>
            <w:vAlign w:val="bottom"/>
            <w:tcBorders>
              <w:bottom w:val="single" w:sz="8" w:color="E5E7EF"/>
            </w:tcBorders>
            <w:shd w:val="clear" w:color="auto" w:fill="E5E7EF"/>
          </w:tcPr>
          <w:p>
            <w:pPr>
              <w:jc w:val="right"/>
              <w:ind w:right="91"/>
              <w:spacing w:after="0"/>
              <w:rPr>
                <w:sz w:val="20"/>
                <w:szCs w:val="20"/>
                <w:color w:val="auto"/>
              </w:rPr>
            </w:pPr>
            <w:r>
              <w:rPr>
                <w:rFonts w:ascii="Arial" w:cs="Arial" w:eastAsia="Arial" w:hAnsi="Arial"/>
                <w:sz w:val="13"/>
                <w:szCs w:val="13"/>
                <w:color w:val="auto"/>
              </w:rPr>
              <w:t>Recommendations</w:t>
            </w:r>
          </w:p>
        </w:tc>
        <w:tc>
          <w:tcPr>
            <w:tcW w:w="4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Page</w:t>
            </w:r>
          </w:p>
        </w:tc>
      </w:tr>
      <w:tr>
        <w:trPr>
          <w:trHeight w:val="183"/>
        </w:trPr>
        <w:tc>
          <w:tcPr>
            <w:tcW w:w="660" w:type="dxa"/>
            <w:vAlign w:val="bottom"/>
            <w:tcBorders>
              <w:top w:val="single" w:sz="8" w:color="959595"/>
              <w:bottom w:val="single" w:sz="8" w:color="959595"/>
            </w:tcBorders>
          </w:tcPr>
          <w:p>
            <w:pPr>
              <w:ind w:left="20"/>
              <w:spacing w:after="0"/>
              <w:rPr>
                <w:sz w:val="20"/>
                <w:szCs w:val="20"/>
                <w:color w:val="auto"/>
              </w:rPr>
            </w:pPr>
            <w:r>
              <w:rPr>
                <w:rFonts w:ascii="Arial" w:cs="Arial" w:eastAsia="Arial" w:hAnsi="Arial"/>
                <w:sz w:val="14"/>
                <w:szCs w:val="14"/>
                <w:b w:val="1"/>
                <w:bCs w:val="1"/>
                <w:color w:val="auto"/>
              </w:rPr>
              <w:t>1</w:t>
            </w:r>
          </w:p>
        </w:tc>
        <w:tc>
          <w:tcPr>
            <w:tcW w:w="6840" w:type="dxa"/>
            <w:vAlign w:val="bottom"/>
            <w:tcBorders>
              <w:top w:val="single" w:sz="8" w:color="959595"/>
              <w:bottom w:val="single" w:sz="8" w:color="959595"/>
            </w:tcBorders>
          </w:tcPr>
          <w:p>
            <w:pPr>
              <w:ind w:left="140"/>
              <w:spacing w:after="0"/>
              <w:rPr>
                <w:sz w:val="20"/>
                <w:szCs w:val="20"/>
                <w:color w:val="auto"/>
              </w:rPr>
            </w:pPr>
            <w:r>
              <w:rPr>
                <w:rFonts w:ascii="Arial" w:cs="Arial" w:eastAsia="Arial" w:hAnsi="Arial"/>
                <w:sz w:val="14"/>
                <w:szCs w:val="14"/>
                <w:color w:val="auto"/>
              </w:rPr>
              <w:t>Election of Directors</w:t>
            </w:r>
          </w:p>
        </w:tc>
        <w:tc>
          <w:tcPr>
            <w:tcW w:w="3280" w:type="dxa"/>
            <w:vAlign w:val="bottom"/>
            <w:tcBorders>
              <w:top w:val="single" w:sz="8" w:color="959595"/>
              <w:bottom w:val="single" w:sz="8" w:color="959595"/>
            </w:tcBorders>
          </w:tcPr>
          <w:p>
            <w:pPr>
              <w:jc w:val="right"/>
              <w:ind w:right="91"/>
              <w:spacing w:after="0"/>
              <w:rPr>
                <w:sz w:val="20"/>
                <w:szCs w:val="20"/>
                <w:color w:val="auto"/>
              </w:rPr>
            </w:pPr>
            <w:r>
              <w:rPr>
                <w:rFonts w:ascii="Arial" w:cs="Arial" w:eastAsia="Arial" w:hAnsi="Arial"/>
                <w:sz w:val="14"/>
                <w:szCs w:val="14"/>
                <w:b w:val="1"/>
                <w:bCs w:val="1"/>
                <w:color w:val="auto"/>
              </w:rPr>
              <w:t>FOR ALL DIRECTOR-NOMINEES</w:t>
            </w:r>
          </w:p>
        </w:tc>
        <w:tc>
          <w:tcPr>
            <w:tcW w:w="46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color w:val="auto"/>
              </w:rPr>
              <w:t>11</w:t>
            </w:r>
          </w:p>
        </w:tc>
      </w:tr>
      <w:tr>
        <w:trPr>
          <w:trHeight w:val="183"/>
        </w:trPr>
        <w:tc>
          <w:tcPr>
            <w:tcW w:w="6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2</w:t>
            </w:r>
          </w:p>
        </w:tc>
        <w:tc>
          <w:tcPr>
            <w:tcW w:w="6840" w:type="dxa"/>
            <w:vAlign w:val="bottom"/>
            <w:tcBorders>
              <w:bottom w:val="single" w:sz="8" w:color="959595"/>
            </w:tcBorders>
          </w:tcPr>
          <w:p>
            <w:pPr>
              <w:ind w:left="140"/>
              <w:spacing w:after="0"/>
              <w:rPr>
                <w:sz w:val="20"/>
                <w:szCs w:val="20"/>
                <w:color w:val="auto"/>
              </w:rPr>
            </w:pPr>
            <w:r>
              <w:rPr>
                <w:rFonts w:ascii="Arial" w:cs="Arial" w:eastAsia="Arial" w:hAnsi="Arial"/>
                <w:sz w:val="14"/>
                <w:szCs w:val="14"/>
                <w:color w:val="auto"/>
              </w:rPr>
              <w:t>Ratification of Appointment of Ernst &amp; Young LLP as our Independent Auditors for 2021</w:t>
            </w:r>
          </w:p>
        </w:tc>
        <w:tc>
          <w:tcPr>
            <w:tcW w:w="3280" w:type="dxa"/>
            <w:vAlign w:val="bottom"/>
            <w:tcBorders>
              <w:bottom w:val="single" w:sz="8" w:color="959595"/>
            </w:tcBorders>
          </w:tcPr>
          <w:p>
            <w:pPr>
              <w:jc w:val="right"/>
              <w:ind w:right="91"/>
              <w:spacing w:after="0"/>
              <w:rPr>
                <w:sz w:val="20"/>
                <w:szCs w:val="20"/>
                <w:color w:val="auto"/>
              </w:rPr>
            </w:pPr>
            <w:r>
              <w:rPr>
                <w:rFonts w:ascii="Arial" w:cs="Arial" w:eastAsia="Arial" w:hAnsi="Arial"/>
                <w:sz w:val="14"/>
                <w:szCs w:val="14"/>
                <w:b w:val="1"/>
                <w:bCs w:val="1"/>
                <w:color w:val="auto"/>
              </w:rPr>
              <w:t>FOR</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36</w:t>
            </w:r>
          </w:p>
        </w:tc>
      </w:tr>
      <w:tr>
        <w:trPr>
          <w:trHeight w:val="183"/>
        </w:trPr>
        <w:tc>
          <w:tcPr>
            <w:tcW w:w="6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3</w:t>
            </w:r>
          </w:p>
        </w:tc>
        <w:tc>
          <w:tcPr>
            <w:tcW w:w="6840" w:type="dxa"/>
            <w:vAlign w:val="bottom"/>
            <w:tcBorders>
              <w:bottom w:val="single" w:sz="8" w:color="959595"/>
            </w:tcBorders>
          </w:tcPr>
          <w:p>
            <w:pPr>
              <w:ind w:left="140"/>
              <w:spacing w:after="0"/>
              <w:rPr>
                <w:sz w:val="20"/>
                <w:szCs w:val="20"/>
                <w:color w:val="auto"/>
              </w:rPr>
            </w:pPr>
            <w:r>
              <w:rPr>
                <w:rFonts w:ascii="Arial" w:cs="Arial" w:eastAsia="Arial" w:hAnsi="Arial"/>
                <w:sz w:val="14"/>
                <w:szCs w:val="14"/>
                <w:color w:val="auto"/>
              </w:rPr>
              <w:t>Advisory Vote to Approve the Compensation of our Named Executive Officers (Say-on-Pay)</w:t>
            </w:r>
          </w:p>
        </w:tc>
        <w:tc>
          <w:tcPr>
            <w:tcW w:w="3280" w:type="dxa"/>
            <w:vAlign w:val="bottom"/>
            <w:tcBorders>
              <w:bottom w:val="single" w:sz="8" w:color="959595"/>
            </w:tcBorders>
          </w:tcPr>
          <w:p>
            <w:pPr>
              <w:jc w:val="right"/>
              <w:ind w:right="91"/>
              <w:spacing w:after="0"/>
              <w:rPr>
                <w:sz w:val="20"/>
                <w:szCs w:val="20"/>
                <w:color w:val="auto"/>
              </w:rPr>
            </w:pPr>
            <w:r>
              <w:rPr>
                <w:rFonts w:ascii="Arial" w:cs="Arial" w:eastAsia="Arial" w:hAnsi="Arial"/>
                <w:sz w:val="14"/>
                <w:szCs w:val="14"/>
                <w:b w:val="1"/>
                <w:bCs w:val="1"/>
                <w:color w:val="auto"/>
              </w:rPr>
              <w:t>FOR</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39</w:t>
            </w:r>
          </w:p>
        </w:tc>
      </w:tr>
      <w:tr>
        <w:trPr>
          <w:trHeight w:val="183"/>
        </w:trPr>
        <w:tc>
          <w:tcPr>
            <w:tcW w:w="66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4</w:t>
            </w:r>
          </w:p>
        </w:tc>
        <w:tc>
          <w:tcPr>
            <w:tcW w:w="6840" w:type="dxa"/>
            <w:vAlign w:val="bottom"/>
            <w:tcBorders>
              <w:bottom w:val="single" w:sz="8" w:color="959595"/>
            </w:tcBorders>
          </w:tcPr>
          <w:p>
            <w:pPr>
              <w:ind w:left="140"/>
              <w:spacing w:after="0"/>
              <w:rPr>
                <w:sz w:val="20"/>
                <w:szCs w:val="20"/>
                <w:color w:val="auto"/>
              </w:rPr>
            </w:pPr>
            <w:r>
              <w:rPr>
                <w:rFonts w:ascii="Arial" w:cs="Arial" w:eastAsia="Arial" w:hAnsi="Arial"/>
                <w:sz w:val="14"/>
                <w:szCs w:val="14"/>
                <w:color w:val="auto"/>
              </w:rPr>
              <w:t>Stockholder Proposal to Adopt Stockholder Action by Written Consent</w:t>
            </w:r>
          </w:p>
        </w:tc>
        <w:tc>
          <w:tcPr>
            <w:tcW w:w="3280" w:type="dxa"/>
            <w:vAlign w:val="bottom"/>
            <w:tcBorders>
              <w:bottom w:val="single" w:sz="8" w:color="959595"/>
            </w:tcBorders>
          </w:tcPr>
          <w:p>
            <w:pPr>
              <w:jc w:val="right"/>
              <w:ind w:right="91"/>
              <w:spacing w:after="0"/>
              <w:rPr>
                <w:sz w:val="20"/>
                <w:szCs w:val="20"/>
                <w:color w:val="auto"/>
              </w:rPr>
            </w:pPr>
            <w:r>
              <w:rPr>
                <w:rFonts w:ascii="Arial" w:cs="Arial" w:eastAsia="Arial" w:hAnsi="Arial"/>
                <w:sz w:val="14"/>
                <w:szCs w:val="14"/>
                <w:b w:val="1"/>
                <w:bCs w:val="1"/>
                <w:color w:val="auto"/>
              </w:rPr>
              <w:t>AGAINST</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81</w:t>
            </w:r>
          </w:p>
        </w:tc>
      </w:tr>
      <w:tr>
        <w:trPr>
          <w:trHeight w:val="183"/>
        </w:trPr>
        <w:tc>
          <w:tcPr>
            <w:tcW w:w="6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5</w:t>
            </w:r>
          </w:p>
        </w:tc>
        <w:tc>
          <w:tcPr>
            <w:tcW w:w="6840" w:type="dxa"/>
            <w:vAlign w:val="bottom"/>
            <w:tcBorders>
              <w:bottom w:val="single" w:sz="8" w:color="939598"/>
            </w:tcBorders>
          </w:tcPr>
          <w:p>
            <w:pPr>
              <w:ind w:left="140"/>
              <w:spacing w:after="0"/>
              <w:rPr>
                <w:sz w:val="20"/>
                <w:szCs w:val="20"/>
                <w:color w:val="auto"/>
              </w:rPr>
            </w:pPr>
            <w:r>
              <w:rPr>
                <w:rFonts w:ascii="Arial" w:cs="Arial" w:eastAsia="Arial" w:hAnsi="Arial"/>
                <w:sz w:val="14"/>
                <w:szCs w:val="14"/>
                <w:color w:val="auto"/>
              </w:rPr>
              <w:t>Stockholder Proposal to Issue a Report on Human Rights Due Diligence</w:t>
            </w:r>
          </w:p>
        </w:tc>
        <w:tc>
          <w:tcPr>
            <w:tcW w:w="3280" w:type="dxa"/>
            <w:vAlign w:val="bottom"/>
            <w:tcBorders>
              <w:bottom w:val="single" w:sz="8" w:color="939598"/>
            </w:tcBorders>
          </w:tcPr>
          <w:p>
            <w:pPr>
              <w:jc w:val="right"/>
              <w:ind w:right="91"/>
              <w:spacing w:after="0"/>
              <w:rPr>
                <w:sz w:val="20"/>
                <w:szCs w:val="20"/>
                <w:color w:val="auto"/>
              </w:rPr>
            </w:pPr>
            <w:r>
              <w:rPr>
                <w:rFonts w:ascii="Arial" w:cs="Arial" w:eastAsia="Arial" w:hAnsi="Arial"/>
                <w:sz w:val="14"/>
                <w:szCs w:val="14"/>
                <w:b w:val="1"/>
                <w:bCs w:val="1"/>
                <w:color w:val="auto"/>
              </w:rPr>
              <w:t>AGAINST</w:t>
            </w:r>
          </w:p>
        </w:tc>
        <w:tc>
          <w:tcPr>
            <w:tcW w:w="4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83</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9"/>
          <w:szCs w:val="29"/>
          <w:color w:val="002E6D"/>
        </w:rPr>
        <w:t>Can other matters be decided at the Annual Meeting?</w:t>
      </w:r>
    </w:p>
    <w:p>
      <w:pPr>
        <w:spacing w:after="0" w:line="1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At the time this Proxy Statement went to press, we were not aware of any other matters to be presented at the Annual Meeting. If other matters are properly presented for consideration at the Annual Meeting, the proxy holders appointed by our Board (who are named on your proxy card if you are a registered stockholder) will have the discretion to vote on those matters in accordance with their best judgment on behalf of stockholders who provide a valid proxy by Internet, by telephone or by mail if you received it by mail.</w:t>
      </w:r>
    </w:p>
    <w:p>
      <w:pPr>
        <w:spacing w:after="0" w:line="87" w:lineRule="exact"/>
        <w:rPr>
          <w:sz w:val="20"/>
          <w:szCs w:val="20"/>
          <w:color w:val="auto"/>
        </w:rPr>
      </w:pPr>
    </w:p>
    <w:p>
      <w:pPr>
        <w:spacing w:after="0"/>
        <w:rPr>
          <w:sz w:val="20"/>
          <w:szCs w:val="20"/>
          <w:color w:val="auto"/>
        </w:rPr>
      </w:pPr>
      <w:r>
        <w:rPr>
          <w:rFonts w:ascii="Arial" w:cs="Arial" w:eastAsia="Arial" w:hAnsi="Arial"/>
          <w:sz w:val="29"/>
          <w:szCs w:val="29"/>
          <w:color w:val="002E6D"/>
        </w:rPr>
        <w:t>How can I vote in advance of the Annual Meeting?</w:t>
      </w:r>
    </w:p>
    <w:p>
      <w:pPr>
        <w:spacing w:after="0" w:line="123" w:lineRule="exact"/>
        <w:rPr>
          <w:sz w:val="20"/>
          <w:szCs w:val="20"/>
          <w:color w:val="auto"/>
        </w:rPr>
      </w:pPr>
    </w:p>
    <w:p>
      <w:pPr>
        <w:ind w:left="220" w:hanging="131"/>
        <w:spacing w:after="0"/>
        <w:tabs>
          <w:tab w:leader="none" w:pos="220" w:val="left"/>
        </w:tabs>
        <w:numPr>
          <w:ilvl w:val="0"/>
          <w:numId w:val="124"/>
        </w:numPr>
        <w:rPr>
          <w:rFonts w:ascii="Arial" w:cs="Arial" w:eastAsia="Arial" w:hAnsi="Arial"/>
          <w:sz w:val="17"/>
          <w:szCs w:val="17"/>
          <w:color w:val="002E6D"/>
        </w:rPr>
      </w:pPr>
      <w:r>
        <w:rPr>
          <w:rFonts w:ascii="Arial" w:cs="Arial" w:eastAsia="Arial" w:hAnsi="Arial"/>
          <w:sz w:val="17"/>
          <w:szCs w:val="17"/>
          <w:color w:val="auto"/>
        </w:rPr>
        <w:t>If your shares are registered in your name, you can vote using any of the methods described below.</w:t>
      </w:r>
    </w:p>
    <w:p>
      <w:pPr>
        <w:spacing w:after="0" w:line="128" w:lineRule="exact"/>
        <w:rPr>
          <w:rFonts w:ascii="Arial" w:cs="Arial" w:eastAsia="Arial" w:hAnsi="Arial"/>
          <w:sz w:val="17"/>
          <w:szCs w:val="17"/>
          <w:color w:val="002E6D"/>
        </w:rPr>
      </w:pPr>
    </w:p>
    <w:p>
      <w:pPr>
        <w:ind w:left="260" w:right="60" w:hanging="171"/>
        <w:spacing w:after="0" w:line="270" w:lineRule="auto"/>
        <w:tabs>
          <w:tab w:leader="none" w:pos="225" w:val="left"/>
        </w:tabs>
        <w:numPr>
          <w:ilvl w:val="0"/>
          <w:numId w:val="124"/>
        </w:numPr>
        <w:rPr>
          <w:rFonts w:ascii="Arial" w:cs="Arial" w:eastAsia="Arial" w:hAnsi="Arial"/>
          <w:sz w:val="17"/>
          <w:szCs w:val="17"/>
          <w:color w:val="002E6D"/>
        </w:rPr>
      </w:pPr>
      <w:r>
        <w:rPr>
          <w:rFonts w:ascii="Arial" w:cs="Arial" w:eastAsia="Arial" w:hAnsi="Arial"/>
          <w:sz w:val="17"/>
          <w:szCs w:val="17"/>
          <w:color w:val="auto"/>
        </w:rPr>
        <w:t>If your shares are held in the name of a broker, bank, or other nominee, your nominee will provide you with instructions on the procedure for voting your shares. Employees with shares allocated to an employee benefit plan account should review the information on procedures for voting by employees on page 88.</w:t>
      </w:r>
    </w:p>
    <w:p>
      <w:pPr>
        <w:spacing w:after="0" w:line="96" w:lineRule="exact"/>
        <w:rPr>
          <w:rFonts w:ascii="Arial" w:cs="Arial" w:eastAsia="Arial" w:hAnsi="Arial"/>
          <w:sz w:val="17"/>
          <w:szCs w:val="17"/>
          <w:color w:val="002E6D"/>
        </w:rPr>
      </w:pPr>
    </w:p>
    <w:p>
      <w:pPr>
        <w:ind w:left="260" w:right="160" w:hanging="171"/>
        <w:spacing w:after="0" w:line="276" w:lineRule="auto"/>
        <w:tabs>
          <w:tab w:leader="none" w:pos="225" w:val="left"/>
        </w:tabs>
        <w:numPr>
          <w:ilvl w:val="0"/>
          <w:numId w:val="124"/>
        </w:numPr>
        <w:rPr>
          <w:rFonts w:ascii="Arial" w:cs="Arial" w:eastAsia="Arial" w:hAnsi="Arial"/>
          <w:sz w:val="17"/>
          <w:szCs w:val="17"/>
          <w:color w:val="002E6D"/>
        </w:rPr>
      </w:pPr>
      <w:r>
        <w:rPr>
          <w:rFonts w:ascii="Arial" w:cs="Arial" w:eastAsia="Arial" w:hAnsi="Arial"/>
          <w:sz w:val="17"/>
          <w:szCs w:val="17"/>
          <w:color w:val="auto"/>
        </w:rPr>
        <w:t>If you hold shares in multiple accounts, you may receive multiple Proxy Material packages (electronically and/or by mail). Please be sure to vote all of your Lockheed Martin shares in each of your accounts in accordance with the voting instructions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481330</wp:posOffset>
            </wp:positionV>
            <wp:extent cx="969010" cy="2228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86</w:t>
      </w:r>
    </w:p>
    <w:p>
      <w:pPr>
        <w:sectPr>
          <w:pgSz w:w="11900" w:h="16838" w:orient="portrait"/>
          <w:cols w:equalWidth="0" w:num="1">
            <w:col w:w="11240"/>
          </w:cols>
          <w:pgMar w:left="320" w:top="609"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By Internet or Telephone</w:t>
      </w:r>
    </w:p>
    <w:p>
      <w:pPr>
        <w:spacing w:after="0" w:line="105" w:lineRule="exact"/>
        <w:rPr>
          <w:sz w:val="20"/>
          <w:szCs w:val="20"/>
          <w:color w:val="auto"/>
        </w:rPr>
      </w:pPr>
    </w:p>
    <w:p>
      <w:pPr>
        <w:ind w:right="480"/>
        <w:spacing w:after="0" w:line="298" w:lineRule="auto"/>
        <w:rPr>
          <w:sz w:val="20"/>
          <w:szCs w:val="20"/>
          <w:color w:val="auto"/>
        </w:rPr>
      </w:pPr>
      <w:r>
        <w:rPr>
          <w:rFonts w:ascii="Arial" w:cs="Arial" w:eastAsia="Arial" w:hAnsi="Arial"/>
          <w:sz w:val="17"/>
          <w:szCs w:val="17"/>
          <w:color w:val="auto"/>
        </w:rPr>
        <w:t xml:space="preserve">You can vote your shares via the Internet at </w:t>
      </w:r>
      <w:r>
        <w:rPr>
          <w:rFonts w:ascii="Arial" w:cs="Arial" w:eastAsia="Arial" w:hAnsi="Arial"/>
          <w:sz w:val="17"/>
          <w:szCs w:val="17"/>
          <w:i w:val="1"/>
          <w:iCs w:val="1"/>
          <w:color w:val="auto"/>
        </w:rPr>
        <w:t>www.investorvote.com</w:t>
      </w:r>
      <w:r>
        <w:rPr>
          <w:rFonts w:ascii="Arial" w:cs="Arial" w:eastAsia="Arial" w:hAnsi="Arial"/>
          <w:sz w:val="17"/>
          <w:szCs w:val="17"/>
          <w:color w:val="auto"/>
        </w:rPr>
        <w:t>. Please have your proxy card in hand when you go online. You will have an opportunity to confirm your voting selections before your vote is recorded.</w:t>
      </w:r>
    </w:p>
    <w:p>
      <w:pPr>
        <w:spacing w:after="0" w:line="7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You can vote your shares by telephone by calling toll free 1-800-652-8683 within the U.S., Canada, and Puerto Rico, or 1-781-575-2300 from other locations. Please have your proxy card in hand when you call. You will have an opportunity to confirm your voting selections before your vote is recorded.</w:t>
      </w:r>
    </w:p>
    <w:p>
      <w:pPr>
        <w:spacing w:after="0" w:line="96"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Internet and telephone voting facilities for registered stockholders will be available 24 hours a day until the voting poll is closed during the Annual Meeting. If you vote your shares on the Internet or by telephone, you do not have to return your proxy card.</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availability of Internet and telephone voting for beneficial owners will depend on the voting processes of your broker, bank or other nominee. You should follow the voting instructions in the materials that you received from your nominee.</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color w:val="475C90"/>
        </w:rPr>
        <w:t>By Mail</w:t>
      </w:r>
    </w:p>
    <w:p>
      <w:pPr>
        <w:spacing w:after="0" w:line="123"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If you received your Proxy Materials by mail, mark, date and sign the proxy card and return it in the postage prepaid envelope provided. If voting instructions are provided, shares represented by the proxy card will be voted in accordance with the voting instructions.</w:t>
      </w:r>
    </w:p>
    <w:p>
      <w:pPr>
        <w:spacing w:after="0" w:line="90"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color w:val="auto"/>
        </w:rPr>
        <w:t>If you want to vote in accordance with the Board’s recommendations, sign, date and return the proxy card without marking it. The named proxy holders will vote signed but unmarked proxy cards in accordance with the Board’s recommendations.</w:t>
      </w:r>
    </w:p>
    <w:p>
      <w:pPr>
        <w:spacing w:after="0" w:line="90"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color w:val="auto"/>
        </w:rPr>
        <w:t>If you are a registered stockholder, and the postage prepaid envelope is missing, please mail your completed proxy card to Lockheed Martin Corporation, c/o Computershare Investor Services, P.O. Box 505045, Louisville, KY 40233-9718.</w:t>
      </w:r>
    </w:p>
    <w:p>
      <w:pPr>
        <w:spacing w:after="0" w:line="79" w:lineRule="exact"/>
        <w:rPr>
          <w:sz w:val="20"/>
          <w:szCs w:val="20"/>
          <w:color w:val="auto"/>
        </w:rPr>
      </w:pPr>
    </w:p>
    <w:p>
      <w:pPr>
        <w:spacing w:after="0"/>
        <w:rPr>
          <w:sz w:val="20"/>
          <w:szCs w:val="20"/>
          <w:color w:val="auto"/>
        </w:rPr>
      </w:pPr>
      <w:r>
        <w:rPr>
          <w:rFonts w:ascii="Arial" w:cs="Arial" w:eastAsia="Arial" w:hAnsi="Arial"/>
          <w:sz w:val="29"/>
          <w:szCs w:val="29"/>
          <w:color w:val="002E6D"/>
        </w:rPr>
        <w:t>How can I vote during the Annual Meeting?</w:t>
      </w:r>
    </w:p>
    <w:p>
      <w:pPr>
        <w:spacing w:after="0" w:line="110"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 xml:space="preserve">If you are a registered stockholders, then you can vote electronically during the Annual Meeting by accessing the meeting at </w:t>
      </w:r>
      <w:r>
        <w:rPr>
          <w:rFonts w:ascii="Arial" w:cs="Arial" w:eastAsia="Arial" w:hAnsi="Arial"/>
          <w:sz w:val="17"/>
          <w:szCs w:val="17"/>
          <w:i w:val="1"/>
          <w:iCs w:val="1"/>
          <w:color w:val="auto"/>
        </w:rPr>
        <w:t xml:space="preserve">www.meetingcenter.io/266927146 </w:t>
      </w:r>
      <w:r>
        <w:rPr>
          <w:rFonts w:ascii="Arial" w:cs="Arial" w:eastAsia="Arial" w:hAnsi="Arial"/>
          <w:sz w:val="17"/>
          <w:szCs w:val="17"/>
          <w:color w:val="auto"/>
        </w:rPr>
        <w:t>using the unique control number found on your proxy card and then following the instructions. The password, if</w:t>
      </w:r>
      <w:r>
        <w:rPr>
          <w:rFonts w:ascii="Arial" w:cs="Arial" w:eastAsia="Arial" w:hAnsi="Arial"/>
          <w:sz w:val="17"/>
          <w:szCs w:val="17"/>
          <w:i w:val="1"/>
          <w:iCs w:val="1"/>
          <w:color w:val="auto"/>
        </w:rPr>
        <w:t xml:space="preserve"> </w:t>
      </w:r>
      <w:r>
        <w:rPr>
          <w:rFonts w:ascii="Arial" w:cs="Arial" w:eastAsia="Arial" w:hAnsi="Arial"/>
          <w:sz w:val="17"/>
          <w:szCs w:val="17"/>
          <w:color w:val="auto"/>
        </w:rPr>
        <w:t>prompted for one, is LMT2021.</w:t>
      </w:r>
    </w:p>
    <w:p>
      <w:pPr>
        <w:spacing w:after="0" w:line="10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If you are a beneficial owner of shares, we recommend that you confirm your ability to participate during the virtual Annual Meeting with the broker, bank or other nominee through which you hold your shares. While we expect that the vast majority of beneficial owners will be able to participate using the control number received with their voting instruction form, this may not be the case for each broker, bank or other nominee. If your broker, bank or other nominee informs you that you will not be able to access the virtual meeting other than as a guest, then you must register in advance to attend and vote at the virtual Annual Meeting. To register, you must obtain a legally valid proxy from your broker, bank or other nominee and present it to our transfer agent, Computershare. After you have received a valid proxy from your broker, bank or other agent, it should be emailed to Computershare at </w:t>
      </w:r>
      <w:r>
        <w:rPr>
          <w:rFonts w:ascii="Arial" w:cs="Arial" w:eastAsia="Arial" w:hAnsi="Arial"/>
          <w:sz w:val="17"/>
          <w:szCs w:val="17"/>
          <w:i w:val="1"/>
          <w:iCs w:val="1"/>
          <w:color w:val="auto"/>
        </w:rPr>
        <w:t>legalproxy@computershare.com</w:t>
      </w:r>
      <w:r>
        <w:rPr>
          <w:rFonts w:ascii="Arial" w:cs="Arial" w:eastAsia="Arial" w:hAnsi="Arial"/>
          <w:sz w:val="17"/>
          <w:szCs w:val="17"/>
          <w:color w:val="auto"/>
        </w:rPr>
        <w:t xml:space="preserve"> and should be labeled "Legal Proxy" in the subject line. Please include proof from your broker, bank or other agent of your valid proxy (e.g., a forwarded email from your broker, bank or other agent with your valid proxy attached, or an image of your valid proxy attached to your email or included in your mailing). Requests for registration must be received by Computershare no later than 5:00 p.m. EDT, on Monday, April 19, 2021. You will then receive a confirmation of your registration, with a control number, by email from Computershare.</w:t>
      </w:r>
    </w:p>
    <w:p>
      <w:pPr>
        <w:spacing w:after="0" w:line="10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 legal proxy is an authorization from you (if you are a registered stockholder), or your broker, bank or other nominee (if you are a beneficial owner) to vote the shares held in your name or in the nominee’s name that satisfies Maryland law and the SEC requirements for proxies.</w:t>
      </w:r>
    </w:p>
    <w:p>
      <w:pPr>
        <w:spacing w:after="0" w:line="9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Stockholders who hold shares through a Lockheed Martin benefit plan who join the Annual Meeting by using the unique control number received on their voting instruction form will be able to ask questions but not vote during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87</w:t>
      </w:r>
    </w:p>
    <w:p>
      <w:pPr>
        <w:sectPr>
          <w:pgSz w:w="11900" w:h="16838" w:orient="portrait"/>
          <w:cols w:equalWidth="0" w:num="1">
            <w:col w:w="11240"/>
          </w:cols>
          <w:pgMar w:left="320" w:top="609" w:right="339" w:bottom="1440" w:gutter="0" w:footer="0" w:header="0"/>
        </w:sectPr>
      </w:pPr>
    </w:p>
    <w:bookmarkStart w:id="91" w:name="page92"/>
    <w:bookmarkEnd w:id="91"/>
    <w:p>
      <w:pPr>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Can I change my proxy vote?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Yes. If you are a registered stockholder, you can change your proxy vote or revoke your proxy at any time before the Annual Meeting by:</w:t>
      </w:r>
    </w:p>
    <w:p>
      <w:pPr>
        <w:spacing w:after="0" w:line="129" w:lineRule="exact"/>
        <w:rPr>
          <w:sz w:val="20"/>
          <w:szCs w:val="20"/>
          <w:color w:val="auto"/>
        </w:rPr>
      </w:pPr>
    </w:p>
    <w:p>
      <w:pPr>
        <w:ind w:left="220" w:hanging="131"/>
        <w:spacing w:after="0"/>
        <w:tabs>
          <w:tab w:leader="none" w:pos="220" w:val="left"/>
        </w:tabs>
        <w:numPr>
          <w:ilvl w:val="0"/>
          <w:numId w:val="125"/>
        </w:numPr>
        <w:rPr>
          <w:rFonts w:ascii="Arial" w:cs="Arial" w:eastAsia="Arial" w:hAnsi="Arial"/>
          <w:sz w:val="17"/>
          <w:szCs w:val="17"/>
          <w:color w:val="002E6D"/>
        </w:rPr>
      </w:pPr>
      <w:r>
        <w:rPr>
          <w:rFonts w:ascii="Arial" w:cs="Arial" w:eastAsia="Arial" w:hAnsi="Arial"/>
          <w:sz w:val="17"/>
          <w:szCs w:val="17"/>
          <w:color w:val="auto"/>
        </w:rPr>
        <w:t>returning a signed proxy card with a later date;</w:t>
      </w:r>
    </w:p>
    <w:p>
      <w:pPr>
        <w:spacing w:after="0" w:line="128" w:lineRule="exact"/>
        <w:rPr>
          <w:rFonts w:ascii="Arial" w:cs="Arial" w:eastAsia="Arial" w:hAnsi="Arial"/>
          <w:sz w:val="17"/>
          <w:szCs w:val="17"/>
          <w:color w:val="002E6D"/>
        </w:rPr>
      </w:pPr>
    </w:p>
    <w:p>
      <w:pPr>
        <w:ind w:left="220" w:hanging="131"/>
        <w:spacing w:after="0"/>
        <w:tabs>
          <w:tab w:leader="none" w:pos="220" w:val="left"/>
        </w:tabs>
        <w:numPr>
          <w:ilvl w:val="0"/>
          <w:numId w:val="125"/>
        </w:numPr>
        <w:rPr>
          <w:rFonts w:ascii="Arial" w:cs="Arial" w:eastAsia="Arial" w:hAnsi="Arial"/>
          <w:sz w:val="17"/>
          <w:szCs w:val="17"/>
          <w:color w:val="002E6D"/>
        </w:rPr>
      </w:pPr>
      <w:r>
        <w:rPr>
          <w:rFonts w:ascii="Arial" w:cs="Arial" w:eastAsia="Arial" w:hAnsi="Arial"/>
          <w:sz w:val="17"/>
          <w:szCs w:val="17"/>
          <w:color w:val="auto"/>
        </w:rPr>
        <w:t>authorizing a new vote electronically through the Internet or by telephone;</w:t>
      </w:r>
    </w:p>
    <w:p>
      <w:pPr>
        <w:spacing w:after="0" w:line="128" w:lineRule="exact"/>
        <w:rPr>
          <w:rFonts w:ascii="Arial" w:cs="Arial" w:eastAsia="Arial" w:hAnsi="Arial"/>
          <w:sz w:val="17"/>
          <w:szCs w:val="17"/>
          <w:color w:val="002E6D"/>
        </w:rPr>
      </w:pPr>
    </w:p>
    <w:p>
      <w:pPr>
        <w:ind w:left="260" w:right="260" w:hanging="171"/>
        <w:spacing w:after="0" w:line="276" w:lineRule="auto"/>
        <w:tabs>
          <w:tab w:leader="none" w:pos="225" w:val="left"/>
        </w:tabs>
        <w:numPr>
          <w:ilvl w:val="0"/>
          <w:numId w:val="125"/>
        </w:numPr>
        <w:rPr>
          <w:rFonts w:ascii="Arial" w:cs="Arial" w:eastAsia="Arial" w:hAnsi="Arial"/>
          <w:sz w:val="17"/>
          <w:szCs w:val="17"/>
          <w:color w:val="002E6D"/>
        </w:rPr>
      </w:pPr>
      <w:r>
        <w:rPr>
          <w:rFonts w:ascii="Arial" w:cs="Arial" w:eastAsia="Arial" w:hAnsi="Arial"/>
          <w:sz w:val="17"/>
          <w:szCs w:val="17"/>
          <w:color w:val="auto"/>
        </w:rPr>
        <w:t>delivering a written revocation of your proxy to Lockheed Martin Corporation, Attention: Senior Vice President, General Counsel and Corporate Secretary, 6801 Rockledge Drive, Bethesda, MD 20817, before your original proxy is voted at the Annual Meeting</w:t>
      </w:r>
      <w:r>
        <w:rPr>
          <w:rFonts w:ascii="Arial" w:cs="Arial" w:eastAsia="Arial" w:hAnsi="Arial"/>
          <w:sz w:val="16"/>
          <w:szCs w:val="16"/>
          <w:color w:val="auto"/>
        </w:rPr>
        <w:t>; or</w:t>
      </w:r>
    </w:p>
    <w:p>
      <w:pPr>
        <w:spacing w:after="0" w:line="90" w:lineRule="exact"/>
        <w:rPr>
          <w:rFonts w:ascii="Arial" w:cs="Arial" w:eastAsia="Arial" w:hAnsi="Arial"/>
          <w:sz w:val="17"/>
          <w:szCs w:val="17"/>
          <w:color w:val="002E6D"/>
        </w:rPr>
      </w:pPr>
    </w:p>
    <w:p>
      <w:pPr>
        <w:ind w:left="220" w:hanging="131"/>
        <w:spacing w:after="0"/>
        <w:tabs>
          <w:tab w:leader="none" w:pos="220" w:val="left"/>
        </w:tabs>
        <w:numPr>
          <w:ilvl w:val="0"/>
          <w:numId w:val="125"/>
        </w:numPr>
        <w:rPr>
          <w:rFonts w:ascii="Arial" w:cs="Arial" w:eastAsia="Arial" w:hAnsi="Arial"/>
          <w:sz w:val="16"/>
          <w:szCs w:val="16"/>
          <w:color w:val="002E6D"/>
        </w:rPr>
      </w:pPr>
      <w:r>
        <w:rPr>
          <w:rFonts w:ascii="Arial" w:cs="Arial" w:eastAsia="Arial" w:hAnsi="Arial"/>
          <w:sz w:val="16"/>
          <w:szCs w:val="16"/>
          <w:color w:val="auto"/>
        </w:rPr>
        <w:t>voting electronically during the Annual Meeting</w:t>
      </w:r>
      <w:r>
        <w:rPr>
          <w:rFonts w:ascii="Arial" w:cs="Arial" w:eastAsia="Arial" w:hAnsi="Arial"/>
          <w:sz w:val="17"/>
          <w:szCs w:val="17"/>
          <w:color w:val="auto"/>
        </w:rPr>
        <w:t>.</w:t>
      </w:r>
    </w:p>
    <w:p>
      <w:pPr>
        <w:spacing w:after="0" w:line="1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If you are a beneficial owner of shares, you can submit new voting instructions by contacting your broker, bank or other nominee and may be able to submit a vote at the Annual Meeting depending on what your broker, bank or other nominee informs you.</w:t>
      </w:r>
    </w:p>
    <w:p>
      <w:pPr>
        <w:spacing w:after="0" w:line="79" w:lineRule="exact"/>
        <w:rPr>
          <w:sz w:val="20"/>
          <w:szCs w:val="20"/>
          <w:color w:val="auto"/>
        </w:rPr>
      </w:pPr>
    </w:p>
    <w:p>
      <w:pPr>
        <w:spacing w:after="0"/>
        <w:rPr>
          <w:sz w:val="20"/>
          <w:szCs w:val="20"/>
          <w:color w:val="auto"/>
        </w:rPr>
      </w:pPr>
      <w:r>
        <w:rPr>
          <w:rFonts w:ascii="Arial" w:cs="Arial" w:eastAsia="Arial" w:hAnsi="Arial"/>
          <w:sz w:val="29"/>
          <w:szCs w:val="29"/>
          <w:color w:val="002E6D"/>
        </w:rPr>
        <w:t>What if I return my proxy card but do not provide voting instructions?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Proxies that are signed and returned but do not contain voting instructions will be voted:</w:t>
      </w:r>
    </w:p>
    <w:p>
      <w:pPr>
        <w:spacing w:after="0" w:line="109" w:lineRule="exact"/>
        <w:rPr>
          <w:sz w:val="20"/>
          <w:szCs w:val="20"/>
          <w:color w:val="auto"/>
        </w:rPr>
      </w:pPr>
    </w:p>
    <w:p>
      <w:pPr>
        <w:ind w:left="220" w:hanging="131"/>
        <w:spacing w:after="0"/>
        <w:tabs>
          <w:tab w:leader="none" w:pos="220" w:val="left"/>
        </w:tabs>
        <w:numPr>
          <w:ilvl w:val="0"/>
          <w:numId w:val="126"/>
        </w:numPr>
        <w:rPr>
          <w:rFonts w:ascii="Arial" w:cs="Arial" w:eastAsia="Arial" w:hAnsi="Arial"/>
          <w:sz w:val="17"/>
          <w:szCs w:val="17"/>
          <w:color w:val="002F6C"/>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the eleven director-nominees listed in this proxy statement (Proposal 1);</w:t>
      </w:r>
    </w:p>
    <w:p>
      <w:pPr>
        <w:spacing w:after="0" w:line="128" w:lineRule="exact"/>
        <w:rPr>
          <w:rFonts w:ascii="Arial" w:cs="Arial" w:eastAsia="Arial" w:hAnsi="Arial"/>
          <w:sz w:val="17"/>
          <w:szCs w:val="17"/>
          <w:color w:val="002F6C"/>
        </w:rPr>
      </w:pPr>
    </w:p>
    <w:p>
      <w:pPr>
        <w:ind w:left="260" w:right="200" w:hanging="171"/>
        <w:spacing w:after="0" w:line="301" w:lineRule="auto"/>
        <w:tabs>
          <w:tab w:leader="none" w:pos="225" w:val="left"/>
        </w:tabs>
        <w:numPr>
          <w:ilvl w:val="0"/>
          <w:numId w:val="126"/>
        </w:numPr>
        <w:rPr>
          <w:rFonts w:ascii="Arial" w:cs="Arial" w:eastAsia="Arial" w:hAnsi="Arial"/>
          <w:sz w:val="17"/>
          <w:szCs w:val="17"/>
          <w:color w:val="002F6C"/>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Ernst &amp; Young LLP, an independent registered public accounting firm, as our independent auditors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2021 fiscal year (Proposal 2);</w:t>
      </w:r>
    </w:p>
    <w:p>
      <w:pPr>
        <w:spacing w:after="0" w:line="49" w:lineRule="exact"/>
        <w:rPr>
          <w:rFonts w:ascii="Arial" w:cs="Arial" w:eastAsia="Arial" w:hAnsi="Arial"/>
          <w:sz w:val="17"/>
          <w:szCs w:val="17"/>
          <w:color w:val="002F6C"/>
        </w:rPr>
      </w:pPr>
    </w:p>
    <w:p>
      <w:pPr>
        <w:ind w:left="220" w:hanging="131"/>
        <w:spacing w:after="0"/>
        <w:tabs>
          <w:tab w:leader="none" w:pos="220" w:val="left"/>
        </w:tabs>
        <w:numPr>
          <w:ilvl w:val="0"/>
          <w:numId w:val="126"/>
        </w:numPr>
        <w:rPr>
          <w:rFonts w:ascii="Arial" w:cs="Arial" w:eastAsia="Arial" w:hAnsi="Arial"/>
          <w:sz w:val="17"/>
          <w:szCs w:val="17"/>
          <w:color w:val="002F6C"/>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advisory vote to approve the compensation of our named executive officers (Say-on-Pay) (Proposal 3);</w:t>
      </w:r>
    </w:p>
    <w:p>
      <w:pPr>
        <w:spacing w:after="0" w:line="128" w:lineRule="exact"/>
        <w:rPr>
          <w:rFonts w:ascii="Arial" w:cs="Arial" w:eastAsia="Arial" w:hAnsi="Arial"/>
          <w:sz w:val="17"/>
          <w:szCs w:val="17"/>
          <w:color w:val="002F6C"/>
        </w:rPr>
      </w:pPr>
    </w:p>
    <w:p>
      <w:pPr>
        <w:ind w:left="220" w:hanging="131"/>
        <w:spacing w:after="0"/>
        <w:tabs>
          <w:tab w:leader="none" w:pos="220" w:val="left"/>
        </w:tabs>
        <w:numPr>
          <w:ilvl w:val="0"/>
          <w:numId w:val="126"/>
        </w:numPr>
        <w:rPr>
          <w:rFonts w:ascii="Arial" w:cs="Arial" w:eastAsia="Arial" w:hAnsi="Arial"/>
          <w:sz w:val="17"/>
          <w:szCs w:val="17"/>
          <w:color w:val="002F6C"/>
        </w:rPr>
      </w:pPr>
      <w:r>
        <w:rPr>
          <w:rFonts w:ascii="Arial" w:cs="Arial" w:eastAsia="Arial" w:hAnsi="Arial"/>
          <w:sz w:val="17"/>
          <w:szCs w:val="17"/>
          <w:b w:val="1"/>
          <w:bCs w:val="1"/>
          <w:color w:val="auto"/>
        </w:rPr>
        <w:t xml:space="preserve">AGAINST </w:t>
      </w:r>
      <w:r>
        <w:rPr>
          <w:rFonts w:ascii="Arial" w:cs="Arial" w:eastAsia="Arial" w:hAnsi="Arial"/>
          <w:sz w:val="17"/>
          <w:szCs w:val="17"/>
          <w:color w:val="auto"/>
        </w:rPr>
        <w:t>the stockholder proposal to adopt stockholder action by written consent (Proposal 4);</w:t>
      </w:r>
    </w:p>
    <w:p>
      <w:pPr>
        <w:spacing w:after="0" w:line="128" w:lineRule="exact"/>
        <w:rPr>
          <w:rFonts w:ascii="Arial" w:cs="Arial" w:eastAsia="Arial" w:hAnsi="Arial"/>
          <w:sz w:val="17"/>
          <w:szCs w:val="17"/>
          <w:color w:val="002F6C"/>
        </w:rPr>
      </w:pPr>
    </w:p>
    <w:p>
      <w:pPr>
        <w:ind w:left="220" w:hanging="131"/>
        <w:spacing w:after="0"/>
        <w:tabs>
          <w:tab w:leader="none" w:pos="220" w:val="left"/>
        </w:tabs>
        <w:numPr>
          <w:ilvl w:val="0"/>
          <w:numId w:val="126"/>
        </w:numPr>
        <w:rPr>
          <w:rFonts w:ascii="Arial" w:cs="Arial" w:eastAsia="Arial" w:hAnsi="Arial"/>
          <w:sz w:val="17"/>
          <w:szCs w:val="17"/>
          <w:color w:val="002F6C"/>
        </w:rPr>
      </w:pPr>
      <w:r>
        <w:rPr>
          <w:rFonts w:ascii="Arial" w:cs="Arial" w:eastAsia="Arial" w:hAnsi="Arial"/>
          <w:sz w:val="17"/>
          <w:szCs w:val="17"/>
          <w:b w:val="1"/>
          <w:bCs w:val="1"/>
          <w:color w:val="auto"/>
        </w:rPr>
        <w:t xml:space="preserve">AGAINST </w:t>
      </w:r>
      <w:r>
        <w:rPr>
          <w:rFonts w:ascii="Arial" w:cs="Arial" w:eastAsia="Arial" w:hAnsi="Arial"/>
          <w:sz w:val="17"/>
          <w:szCs w:val="17"/>
          <w:color w:val="auto"/>
        </w:rPr>
        <w:t>the stockholder proposal to issue a report on human rights due diligence (Proposal 5); and</w:t>
      </w:r>
    </w:p>
    <w:p>
      <w:pPr>
        <w:spacing w:after="0" w:line="148" w:lineRule="exact"/>
        <w:rPr>
          <w:rFonts w:ascii="Arial" w:cs="Arial" w:eastAsia="Arial" w:hAnsi="Arial"/>
          <w:sz w:val="17"/>
          <w:szCs w:val="17"/>
          <w:color w:val="002F6C"/>
        </w:rPr>
      </w:pPr>
    </w:p>
    <w:p>
      <w:pPr>
        <w:ind w:left="220" w:hanging="131"/>
        <w:spacing w:after="0"/>
        <w:tabs>
          <w:tab w:leader="none" w:pos="220" w:val="left"/>
        </w:tabs>
        <w:numPr>
          <w:ilvl w:val="0"/>
          <w:numId w:val="126"/>
        </w:numPr>
        <w:rPr>
          <w:rFonts w:ascii="Arial" w:cs="Arial" w:eastAsia="Arial" w:hAnsi="Arial"/>
          <w:sz w:val="17"/>
          <w:szCs w:val="17"/>
          <w:color w:val="002E6D"/>
        </w:rPr>
      </w:pPr>
      <w:r>
        <w:rPr>
          <w:rFonts w:ascii="Arial" w:cs="Arial" w:eastAsia="Arial" w:hAnsi="Arial"/>
          <w:sz w:val="17"/>
          <w:szCs w:val="17"/>
          <w:color w:val="auto"/>
        </w:rPr>
        <w:t>In the best judgment of the named proxy holders if any other matters are properly brought before the Annual Meeting.</w:t>
      </w:r>
    </w:p>
    <w:p>
      <w:pPr>
        <w:spacing w:after="0" w:line="117" w:lineRule="exact"/>
        <w:rPr>
          <w:sz w:val="20"/>
          <w:szCs w:val="20"/>
          <w:color w:val="auto"/>
        </w:rPr>
      </w:pPr>
    </w:p>
    <w:p>
      <w:pPr>
        <w:ind w:right="400"/>
        <w:spacing w:after="0" w:line="252" w:lineRule="auto"/>
        <w:rPr>
          <w:sz w:val="20"/>
          <w:szCs w:val="20"/>
          <w:color w:val="auto"/>
        </w:rPr>
      </w:pPr>
      <w:r>
        <w:rPr>
          <w:rFonts w:ascii="Arial" w:cs="Arial" w:eastAsia="Arial" w:hAnsi="Arial"/>
          <w:sz w:val="29"/>
          <w:szCs w:val="29"/>
          <w:color w:val="002E6D"/>
        </w:rPr>
        <w:t>How do I vote if I participate in one of the Corporation’s 401(k) or defined contribution plans?</w:t>
      </w:r>
    </w:p>
    <w:p>
      <w:pPr>
        <w:spacing w:after="0" w:line="94"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As a participant in one of our employee 401(k) or defined contribution plans, you can direct the plan trustees how to vote shares allocated to your account(s) on a voting direction card, electronically through the Internet or by telephone. Most active employees who participate in these benefit plans will receive an email notification announcing Internet availability of the Proxy Materials and how to submit voting directions.</w:t>
      </w:r>
    </w:p>
    <w:p>
      <w:pPr>
        <w:spacing w:after="0" w:line="96"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color w:val="auto"/>
        </w:rPr>
        <w:t>If you do not provide timely directions to the plan trustee, shares allocated to your account(s) will be voted by the plan trustee depending on the terms of your plan or other legal requirements.</w:t>
      </w:r>
    </w:p>
    <w:p>
      <w:pPr>
        <w:spacing w:after="0" w:line="90"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Plan participants may attend the virtual Annual Meeting and ask questions, but may not vote plan shares at the Annual Meeting. If you wish to vote, whether you plan to attend the virtual Annual Meeting or not, you should direct the trustee of your plan(s) how you wish to vote your plan shares no later than 11:59 p.m., EDT, on April 19, 2021.</w:t>
      </w:r>
    </w:p>
    <w:p>
      <w:pPr>
        <w:spacing w:after="0" w:line="85" w:lineRule="exact"/>
        <w:rPr>
          <w:sz w:val="20"/>
          <w:szCs w:val="20"/>
          <w:color w:val="auto"/>
        </w:rPr>
      </w:pPr>
    </w:p>
    <w:p>
      <w:pPr>
        <w:spacing w:after="0"/>
        <w:rPr>
          <w:sz w:val="20"/>
          <w:szCs w:val="20"/>
          <w:color w:val="auto"/>
        </w:rPr>
      </w:pPr>
      <w:r>
        <w:rPr>
          <w:rFonts w:ascii="Arial" w:cs="Arial" w:eastAsia="Arial" w:hAnsi="Arial"/>
          <w:sz w:val="29"/>
          <w:szCs w:val="29"/>
          <w:color w:val="002E6D"/>
        </w:rPr>
        <w:t>How many shares must be present to hold the Annual Meeting?</w:t>
      </w:r>
    </w:p>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 xml:space="preserve">In order for us to lawfully conduct business at our Annual Meeting, </w:t>
      </w:r>
      <w:r>
        <w:rPr>
          <w:rFonts w:ascii="Arial" w:cs="Arial" w:eastAsia="Arial" w:hAnsi="Arial"/>
          <w:sz w:val="17"/>
          <w:szCs w:val="17"/>
          <w:color w:val="auto"/>
        </w:rPr>
        <w:t>a majority of the shares outstanding and entitled to vote as of the Record Date</w:t>
      </w:r>
      <w:r>
        <w:rPr>
          <w:rFonts w:ascii="Arial" w:cs="Arial" w:eastAsia="Arial" w:hAnsi="Arial"/>
          <w:sz w:val="16"/>
          <w:szCs w:val="16"/>
          <w:color w:val="auto"/>
        </w:rPr>
        <w:t xml:space="preserve">, must be present virtually or by proxy. This is referred to as </w:t>
      </w:r>
      <w:r>
        <w:rPr>
          <w:rFonts w:ascii="Arial" w:cs="Arial" w:eastAsia="Arial" w:hAnsi="Arial"/>
          <w:sz w:val="17"/>
          <w:szCs w:val="17"/>
          <w:color w:val="auto"/>
        </w:rPr>
        <w:t>a quorum. Your shares are counted as present at the Annual Meeting if you</w:t>
      </w:r>
      <w:r>
        <w:rPr>
          <w:rFonts w:ascii="Arial" w:cs="Arial" w:eastAsia="Arial" w:hAnsi="Arial"/>
          <w:sz w:val="16"/>
          <w:szCs w:val="16"/>
          <w:color w:val="auto"/>
        </w:rPr>
        <w:t xml:space="preserve"> attend </w:t>
      </w:r>
      <w:r>
        <w:rPr>
          <w:rFonts w:ascii="Arial" w:cs="Arial" w:eastAsia="Arial" w:hAnsi="Arial"/>
          <w:sz w:val="17"/>
          <w:szCs w:val="17"/>
          <w:color w:val="auto"/>
        </w:rPr>
        <w:t>the Annual</w:t>
      </w:r>
      <w:r>
        <w:rPr>
          <w:rFonts w:ascii="Arial" w:cs="Arial" w:eastAsia="Arial" w:hAnsi="Arial"/>
          <w:sz w:val="16"/>
          <w:szCs w:val="16"/>
          <w:color w:val="auto"/>
        </w:rPr>
        <w:t xml:space="preserve"> </w:t>
      </w:r>
      <w:r>
        <w:rPr>
          <w:rFonts w:ascii="Arial" w:cs="Arial" w:eastAsia="Arial" w:hAnsi="Arial"/>
          <w:sz w:val="17"/>
          <w:szCs w:val="17"/>
          <w:color w:val="auto"/>
        </w:rPr>
        <w:t>Meeting and vote in person or abstain from voting, or if you properly return a proxy by Internet, by telephone or by mail in advance of the Annual Meeting and do not revoke the proxy.</w:t>
      </w:r>
    </w:p>
    <w:p>
      <w:pPr>
        <w:spacing w:after="0" w:line="87" w:lineRule="exact"/>
        <w:rPr>
          <w:sz w:val="20"/>
          <w:szCs w:val="20"/>
          <w:color w:val="auto"/>
        </w:rPr>
      </w:pPr>
    </w:p>
    <w:p>
      <w:pPr>
        <w:spacing w:after="0"/>
        <w:rPr>
          <w:sz w:val="20"/>
          <w:szCs w:val="20"/>
          <w:color w:val="auto"/>
        </w:rPr>
      </w:pPr>
      <w:r>
        <w:rPr>
          <w:rFonts w:ascii="Arial" w:cs="Arial" w:eastAsia="Arial" w:hAnsi="Arial"/>
          <w:sz w:val="29"/>
          <w:szCs w:val="29"/>
          <w:color w:val="002E6D"/>
        </w:rPr>
        <w:t>Will my shares be voted if I don’t provide my proxy or instruction card?</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475C90"/>
        </w:rPr>
        <w:t>Registered Stockholders</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your shares are registered in your name, your shares will not be voted unless you provide a proxy by Internet in advance of the Annual Meeting, by telephone, by mail, or vote electronically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258445</wp:posOffset>
            </wp:positionV>
            <wp:extent cx="969010" cy="2228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88</w:t>
      </w:r>
    </w:p>
    <w:p>
      <w:pPr>
        <w:sectPr>
          <w:pgSz w:w="11900" w:h="16838" w:orient="portrait"/>
          <w:cols w:equalWidth="0" w:num="1">
            <w:col w:w="11240"/>
          </w:cols>
          <w:pgMar w:left="320" w:top="609"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Plan Participants</w:t>
      </w:r>
    </w:p>
    <w:p>
      <w:pPr>
        <w:spacing w:after="0" w:line="123"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color w:val="auto"/>
        </w:rPr>
        <w:t>If you are a participant in one of our employee 401(k) or defined contribution plans and you do not provide timely directions to the plan trustee, shares allocated to your account(s) will be voted by the plan trustee depending on the terms of your plan and other legal requirements.</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color w:val="475C90"/>
        </w:rPr>
        <w:t>Beneficial Owners</w:t>
      </w:r>
    </w:p>
    <w:p>
      <w:pPr>
        <w:spacing w:after="0" w:line="1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If you hold shares through an account with a broker and you do not provide voting instructions, under NYSE rules, your broker may vote your shares on routine matters only. The ratification of the appointment of Ernst &amp; Young LLP (Proposal 2) is considered a routine matter, and your broker can therefore vote your shares on that Proposal even if you do not provide voting instructions. Proposals 1, 3, 4, and 5 are not considered routine matters, and your broker cannot vote your shares on those Proposals unless you provide voting instructions. Votes withheld by brokers in the absence of voting instructions from a beneficial owner are referred to as “broker non-votes.”</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475C90"/>
        </w:rPr>
        <w:t>Multiple Forms of Ownership</w:t>
      </w:r>
    </w:p>
    <w:p>
      <w:pPr>
        <w:spacing w:after="0" w:line="1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Corporation cannot provide a single proxy or instruction card for stockholders who own shares in multiple forms as registered stockholders, plan participants or beneficial owners. As a result, if your shares are held in multiple types of accounts, you must submit your votes for each type of account in accordance with the instructions you receive for that account.</w:t>
      </w:r>
    </w:p>
    <w:p>
      <w:pPr>
        <w:spacing w:after="0" w:line="85" w:lineRule="exact"/>
        <w:rPr>
          <w:sz w:val="20"/>
          <w:szCs w:val="20"/>
          <w:color w:val="auto"/>
        </w:rPr>
      </w:pPr>
    </w:p>
    <w:p>
      <w:pPr>
        <w:spacing w:after="0"/>
        <w:rPr>
          <w:sz w:val="20"/>
          <w:szCs w:val="20"/>
          <w:color w:val="auto"/>
        </w:rPr>
      </w:pPr>
      <w:r>
        <w:rPr>
          <w:rFonts w:ascii="Arial" w:cs="Arial" w:eastAsia="Arial" w:hAnsi="Arial"/>
          <w:sz w:val="29"/>
          <w:szCs w:val="29"/>
          <w:color w:val="002E6D"/>
        </w:rPr>
        <w:t>What is the vote required for each proposal?</w:t>
      </w:r>
    </w:p>
    <w:p>
      <w:pPr>
        <w:spacing w:after="0" w:line="12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For Proposal 1, the votes that stockholders cast “FOR” a director-nominee must exceed the votes that stockholders cast “AGAINST” a director-nominee to approve the election of each director-nominee. For each of Proposals 2, 3, 4 and 5 the affirmative vote of a majority of the votes cast is required to approve the proposal.</w:t>
      </w:r>
    </w:p>
    <w:p>
      <w:pPr>
        <w:spacing w:after="0" w:line="96"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“Votes cast” excludes broker non-votes and excludes abstentions. Proposals 2, 3, 4 and 5 are advisory and non-binding. However, the Board will review the voting results on these proposals and take the results into account when making future decisions regarding these matters.</w:t>
      </w:r>
    </w:p>
    <w:p>
      <w:pPr>
        <w:spacing w:after="0" w:line="79" w:lineRule="exact"/>
        <w:rPr>
          <w:sz w:val="20"/>
          <w:szCs w:val="20"/>
          <w:color w:val="auto"/>
        </w:rPr>
      </w:pPr>
    </w:p>
    <w:p>
      <w:pPr>
        <w:spacing w:after="0"/>
        <w:rPr>
          <w:sz w:val="20"/>
          <w:szCs w:val="20"/>
          <w:color w:val="auto"/>
        </w:rPr>
      </w:pPr>
      <w:r>
        <w:rPr>
          <w:rFonts w:ascii="Arial" w:cs="Arial" w:eastAsia="Arial" w:hAnsi="Arial"/>
          <w:sz w:val="29"/>
          <w:szCs w:val="29"/>
          <w:color w:val="002E6D"/>
        </w:rPr>
        <w:t>What is the effect of an abstention?</w:t>
      </w:r>
    </w:p>
    <w:p>
      <w:pPr>
        <w:spacing w:after="0" w:line="12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 stockholder who abstains on some or all matters is considered present for purposes of determining if a quorum is present at the Annual Meeting, but an abstention is not counted as a vote cast under Maryland law. Accordingly, an abstention has no effect on the vote on any proposal.</w:t>
      </w:r>
    </w:p>
    <w:p>
      <w:pPr>
        <w:spacing w:after="0" w:line="79" w:lineRule="exact"/>
        <w:rPr>
          <w:sz w:val="20"/>
          <w:szCs w:val="20"/>
          <w:color w:val="auto"/>
        </w:rPr>
      </w:pPr>
    </w:p>
    <w:p>
      <w:pPr>
        <w:spacing w:after="0"/>
        <w:rPr>
          <w:sz w:val="20"/>
          <w:szCs w:val="20"/>
          <w:color w:val="auto"/>
        </w:rPr>
      </w:pPr>
      <w:r>
        <w:rPr>
          <w:rFonts w:ascii="Arial" w:cs="Arial" w:eastAsia="Arial" w:hAnsi="Arial"/>
          <w:sz w:val="29"/>
          <w:szCs w:val="29"/>
          <w:color w:val="002E6D"/>
        </w:rPr>
        <w:t>What is the effect of a broker non-vote?</w:t>
      </w:r>
    </w:p>
    <w:p>
      <w:pPr>
        <w:spacing w:after="0" w:line="123"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If a broker casts a vote on Proposal 2 (Ratification of Auditors), the vote will be included in determining whether a quorum exists for holding the meeting. The broker does not have authority to vote on the other proposals absent directions from the beneficial owner.</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As a result, if the beneficial owner does not vote on Proposals 1, 3, 4, or 5 so that there is a “broker non-vote” on those items, the broker non-votes do not count as votes cast for that proposal and have no effect on the proposal. Thus, a broker non-vote on these proposals will not impact our ability to obtain a quorum, will not affect the outcome with respect to the election of directors and will not otherwise affect the outcome of the vote on a proposal that requires the affirmative vote of a majority of the votes cast on the proposal.</w:t>
      </w:r>
    </w:p>
    <w:p>
      <w:pPr>
        <w:spacing w:after="0" w:line="87" w:lineRule="exact"/>
        <w:rPr>
          <w:sz w:val="20"/>
          <w:szCs w:val="20"/>
          <w:color w:val="auto"/>
        </w:rPr>
      </w:pPr>
    </w:p>
    <w:p>
      <w:pPr>
        <w:spacing w:after="0"/>
        <w:rPr>
          <w:sz w:val="20"/>
          <w:szCs w:val="20"/>
          <w:color w:val="auto"/>
        </w:rPr>
      </w:pPr>
      <w:r>
        <w:rPr>
          <w:rFonts w:ascii="Arial" w:cs="Arial" w:eastAsia="Arial" w:hAnsi="Arial"/>
          <w:sz w:val="29"/>
          <w:szCs w:val="29"/>
          <w:color w:val="002E6D"/>
        </w:rPr>
        <w:t>Who will count the votes?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Representatives of Computershare will tabulate the votes and act as inspectors of election for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29"/>
          <w:szCs w:val="29"/>
          <w:color w:val="002E6D"/>
        </w:rPr>
        <w:t>Where can I find the voting results of the Annual Meeting?</w:t>
      </w:r>
    </w:p>
    <w:p>
      <w:pPr>
        <w:spacing w:after="0" w:line="123" w:lineRule="exact"/>
        <w:rPr>
          <w:sz w:val="20"/>
          <w:szCs w:val="20"/>
          <w:color w:val="auto"/>
        </w:rPr>
      </w:pPr>
    </w:p>
    <w:p>
      <w:pPr>
        <w:ind w:right="560"/>
        <w:spacing w:after="0" w:line="276" w:lineRule="auto"/>
        <w:rPr>
          <w:sz w:val="20"/>
          <w:szCs w:val="20"/>
          <w:color w:val="auto"/>
        </w:rPr>
      </w:pPr>
      <w:r>
        <w:rPr>
          <w:rFonts w:ascii="Arial" w:cs="Arial" w:eastAsia="Arial" w:hAnsi="Arial"/>
          <w:sz w:val="17"/>
          <w:szCs w:val="17"/>
          <w:color w:val="auto"/>
        </w:rPr>
        <w:t>The preliminary voting results will be announced at the Annual Meeting. The final voting results will be tallied by the inspectors of election and disclosed by the Corporation in a Current Report on Form 8-K filed with the SEC within four business days following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89</w:t>
      </w:r>
    </w:p>
    <w:p>
      <w:pPr>
        <w:sectPr>
          <w:pgSz w:w="11900" w:h="16838" w:orient="portrait"/>
          <w:cols w:equalWidth="0" w:num="1">
            <w:col w:w="11240"/>
          </w:cols>
          <w:pgMar w:left="320" w:top="609" w:right="339" w:bottom="1440" w:gutter="0" w:footer="0" w:header="0"/>
        </w:sectPr>
      </w:pPr>
    </w:p>
    <w:bookmarkStart w:id="93" w:name="page94"/>
    <w:bookmarkEnd w:id="93"/>
    <w:p>
      <w:pPr>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2E6D"/>
        </w:rPr>
        <w:t>What is “householding” and how does it affect me?</w:t>
      </w:r>
    </w:p>
    <w:p>
      <w:pPr>
        <w:spacing w:after="0" w:line="1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adopted a procedure approved by the SEC called “householding.” Under this procedure, we send only one Annual Report and Proxy Statement to eligible stockholders who share a single address, unless we have received instructions to the contrary from any stockholder at that address. This practice is designed to reduce our printing and postage costs. Stockholders who participate in householding will continue to receive separate proxy cards. We do not use householding for any other stockholder mailings, such as dividend checks, Forms 1099 or account statements.</w:t>
      </w:r>
    </w:p>
    <w:p>
      <w:pPr>
        <w:spacing w:after="0" w:line="9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If you are eligible for householding, but received multiple copies of the Annual Report and Proxy Statement and prefer to receive only a single copy of each of these documents for your household, please contact Computershare, Shareholder Relations, P.O. Box 505000, Louisville, KY 40233-5000, or call 1-877-498-8861. If you are a registered stockholder residing at an address with other registered stockholders and wish to receive a separate Annual Report or Proxy Statement at this time or in the future, we will provide you with a separate copy. To obtain this copy, please contact Computershare as indicated above. If you own shares through a broker, bank, or other nominee, you should contact the nominee concerning householding procedures.</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color w:val="002E6D"/>
        </w:rPr>
        <w:t>Can I receive a copy of the Annual Report?</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Yes. We will provide a copy of our Annual Report without charge, upon written request, to any registered or beneficial owner of common stock entitled to vote at the Annual Meeting. Requests should be made in writing addressed to Investor Relations, Lockheed Martin Corporation, 6801 Rockledge Drive, Bethesda, MD 20817, by calling Lockheed Martin Stockholder Direct at 1-800-568-9758, or by accessing the Corporation’s website at </w:t>
      </w:r>
      <w:r>
        <w:rPr>
          <w:rFonts w:ascii="Arial" w:cs="Arial" w:eastAsia="Arial" w:hAnsi="Arial"/>
          <w:sz w:val="17"/>
          <w:szCs w:val="17"/>
          <w:i w:val="1"/>
          <w:iCs w:val="1"/>
          <w:color w:val="auto"/>
        </w:rPr>
        <w:t>www.lockheedmartin.com/investor</w:t>
      </w:r>
      <w:r>
        <w:rPr>
          <w:rFonts w:ascii="Arial" w:cs="Arial" w:eastAsia="Arial" w:hAnsi="Arial"/>
          <w:sz w:val="17"/>
          <w:szCs w:val="17"/>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29"/>
          <w:szCs w:val="29"/>
          <w:color w:val="002E6D"/>
        </w:rPr>
        <w:t>Can I view the Proxy Statement and Annual Report on the Internet?</w:t>
      </w:r>
    </w:p>
    <w:p>
      <w:pPr>
        <w:spacing w:after="0" w:line="10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Yes. The Proxy Statement and Annual Report are available on the Internet at </w:t>
      </w:r>
      <w:r>
        <w:rPr>
          <w:rFonts w:ascii="Arial" w:cs="Arial" w:eastAsia="Arial" w:hAnsi="Arial"/>
          <w:sz w:val="17"/>
          <w:szCs w:val="17"/>
          <w:i w:val="1"/>
          <w:iCs w:val="1"/>
          <w:color w:val="auto"/>
        </w:rPr>
        <w:t>www.edocumentview.com/LMT</w:t>
      </w:r>
      <w:r>
        <w:rPr>
          <w:rFonts w:ascii="Arial" w:cs="Arial" w:eastAsia="Arial" w:hAnsi="Arial"/>
          <w:sz w:val="17"/>
          <w:szCs w:val="17"/>
          <w:color w:val="auto"/>
        </w:rPr>
        <w:t xml:space="preserve">. Subject to the “householding” procedures above, all stockholders will receive paper copies of the Proxy Statement, proxy card and Annual Report by mail unless the stockholder has consented to electronic delivery or is an employee with shares allocated in an employee benefit plan. The SEC also maintains a website at </w:t>
      </w:r>
      <w:r>
        <w:rPr>
          <w:rFonts w:ascii="Arial" w:cs="Arial" w:eastAsia="Arial" w:hAnsi="Arial"/>
          <w:sz w:val="17"/>
          <w:szCs w:val="17"/>
          <w:i w:val="1"/>
          <w:iCs w:val="1"/>
          <w:color w:val="auto"/>
        </w:rPr>
        <w:t xml:space="preserve">www.sec.gov </w:t>
      </w:r>
      <w:r>
        <w:rPr>
          <w:rFonts w:ascii="Arial" w:cs="Arial" w:eastAsia="Arial" w:hAnsi="Arial"/>
          <w:sz w:val="17"/>
          <w:szCs w:val="17"/>
          <w:color w:val="auto"/>
        </w:rPr>
        <w:t>that contains reports, proxy statements, and other information regarding Lockheed Martin.</w:t>
      </w:r>
    </w:p>
    <w:p>
      <w:pPr>
        <w:spacing w:after="0" w:line="79" w:lineRule="exact"/>
        <w:rPr>
          <w:sz w:val="20"/>
          <w:szCs w:val="20"/>
          <w:color w:val="auto"/>
        </w:rPr>
      </w:pPr>
    </w:p>
    <w:p>
      <w:pPr>
        <w:ind w:right="100"/>
        <w:spacing w:after="0" w:line="252" w:lineRule="auto"/>
        <w:rPr>
          <w:sz w:val="20"/>
          <w:szCs w:val="20"/>
          <w:color w:val="auto"/>
        </w:rPr>
      </w:pPr>
      <w:r>
        <w:rPr>
          <w:rFonts w:ascii="Arial" w:cs="Arial" w:eastAsia="Arial" w:hAnsi="Arial"/>
          <w:sz w:val="29"/>
          <w:szCs w:val="29"/>
          <w:color w:val="002E6D"/>
        </w:rPr>
        <w:t>Can I choose to receive the Proxy Statement and Annual Report on the Internet instead of receiving them by mail?</w:t>
      </w:r>
    </w:p>
    <w:p>
      <w:pPr>
        <w:spacing w:after="0" w:line="94"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 xml:space="preserve">Yes. If you are a registered stockholder, you can elect to receive future Annual Meeting materials, including Annual Reports and Proxy Statements, on the Internet only and not receive copies in the mail by visiting Shareholder Services at </w:t>
      </w:r>
      <w:r>
        <w:rPr>
          <w:rFonts w:ascii="Arial" w:cs="Arial" w:eastAsia="Arial" w:hAnsi="Arial"/>
          <w:sz w:val="17"/>
          <w:szCs w:val="17"/>
          <w:i w:val="1"/>
          <w:iCs w:val="1"/>
          <w:color w:val="auto"/>
        </w:rPr>
        <w:t>www.lockheedmartin.com/investor</w:t>
      </w:r>
      <w:r>
        <w:rPr>
          <w:rFonts w:ascii="Arial" w:cs="Arial" w:eastAsia="Arial" w:hAnsi="Arial"/>
          <w:sz w:val="17"/>
          <w:szCs w:val="17"/>
          <w:color w:val="auto"/>
        </w:rPr>
        <w:t xml:space="preserve"> and completing the online consent form. Your request for electronic transmission will remain in effect for all future Annual Reports and Proxy Statements, unless withdrawn. Withdrawal procedures also are available on this website. If you are a beneficial owner, contact your broker, bank or other nominee.</w:t>
      </w:r>
    </w:p>
    <w:p>
      <w:pPr>
        <w:spacing w:after="0" w:line="9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Most active employees who participate in the Corporation’s 401(k) and defined contribution plans will receive an email notification announcing Internet availability of the Proxy Materials. A paper copy will not be provided unless requested by the employee following the instruction in the email notification.</w:t>
      </w:r>
    </w:p>
    <w:p>
      <w:pPr>
        <w:spacing w:after="0" w:line="85" w:lineRule="exact"/>
        <w:rPr>
          <w:sz w:val="20"/>
          <w:szCs w:val="20"/>
          <w:color w:val="auto"/>
        </w:rPr>
      </w:pPr>
    </w:p>
    <w:p>
      <w:pPr>
        <w:spacing w:after="0"/>
        <w:rPr>
          <w:sz w:val="20"/>
          <w:szCs w:val="20"/>
          <w:color w:val="auto"/>
        </w:rPr>
      </w:pPr>
      <w:r>
        <w:rPr>
          <w:rFonts w:ascii="Arial" w:cs="Arial" w:eastAsia="Arial" w:hAnsi="Arial"/>
          <w:sz w:val="29"/>
          <w:szCs w:val="29"/>
          <w:color w:val="002E6D"/>
        </w:rPr>
        <w:t>Who pays the cost of this proxy solicitation?</w:t>
      </w:r>
    </w:p>
    <w:p>
      <w:pPr>
        <w:spacing w:after="0" w:line="1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Corporation pays the cost of soliciting proxies on behalf of the Board for the Annual Meeting. We may solicit proxies by Internet, by telephone, by mail or in person. We may make arrangements with brokerage houses and other custodians, nominees and fiduciaries to send Proxy Materials to beneficial owners on our behalf. We reimburse them for their reasonable expenses. We have retained Morrow Sodali LLC, 470 West Avenue, Stamford, CT 06902 to aid in the solicitation of proxies and to verify related records for a fee of $45,000, plus expenses. To the extent necessary to ensure sufficient representation at the Annual Meeting, we may request the return of proxies by mail, express delivery, courier, telephone, Internet or other means. Stockholders are requested to return their proxies without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264160</wp:posOffset>
            </wp:positionV>
            <wp:extent cx="969010" cy="2228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90</w:t>
      </w:r>
    </w:p>
    <w:p>
      <w:pPr>
        <w:sectPr>
          <w:pgSz w:w="11900" w:h="16838" w:orient="portrait"/>
          <w:cols w:equalWidth="0" w:num="1">
            <w:col w:w="11240"/>
          </w:cols>
          <w:pgMar w:left="320" w:top="609"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342" w:lineRule="exact"/>
        <w:rPr>
          <w:sz w:val="20"/>
          <w:szCs w:val="20"/>
          <w:color w:val="auto"/>
        </w:rPr>
      </w:pPr>
    </w:p>
    <w:p>
      <w:pPr>
        <w:ind w:right="580"/>
        <w:spacing w:after="0" w:line="252" w:lineRule="auto"/>
        <w:rPr>
          <w:sz w:val="20"/>
          <w:szCs w:val="20"/>
          <w:color w:val="auto"/>
        </w:rPr>
      </w:pPr>
      <w:r>
        <w:rPr>
          <w:rFonts w:ascii="Arial" w:cs="Arial" w:eastAsia="Arial" w:hAnsi="Arial"/>
          <w:sz w:val="29"/>
          <w:szCs w:val="29"/>
          <w:color w:val="002E6D"/>
        </w:rPr>
        <w:t>How do I submit a proposal or nomination for the Annual Meeting of Stockholders in 2022?</w:t>
      </w:r>
    </w:p>
    <w:p>
      <w:pPr>
        <w:spacing w:after="0" w:line="74"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b w:val="1"/>
          <w:bCs w:val="1"/>
          <w:color w:val="002F6C"/>
        </w:rPr>
        <w:t xml:space="preserve">Address to Submit a Stockholder Proposal: </w:t>
      </w:r>
      <w:r>
        <w:rPr>
          <w:rFonts w:ascii="Arial" w:cs="Arial" w:eastAsia="Arial" w:hAnsi="Arial"/>
          <w:sz w:val="17"/>
          <w:szCs w:val="17"/>
          <w:color w:val="000000"/>
        </w:rPr>
        <w:t>Any stockholder who wishes to submit a proposal or nominate a director for consideration at the</w:t>
      </w:r>
      <w:r>
        <w:rPr>
          <w:rFonts w:ascii="Arial" w:cs="Arial" w:eastAsia="Arial" w:hAnsi="Arial"/>
          <w:sz w:val="17"/>
          <w:szCs w:val="17"/>
          <w:b w:val="1"/>
          <w:bCs w:val="1"/>
          <w:color w:val="002F6C"/>
        </w:rPr>
        <w:t xml:space="preserve"> </w:t>
      </w:r>
      <w:r>
        <w:rPr>
          <w:rFonts w:ascii="Arial" w:cs="Arial" w:eastAsia="Arial" w:hAnsi="Arial"/>
          <w:sz w:val="17"/>
          <w:szCs w:val="17"/>
          <w:color w:val="000000"/>
        </w:rPr>
        <w:t>2022 Annual Meeting must send their proposal to Lockheed Martin Corporation, Attention: Senior Vice President, General Counsel and Corporate Secretary, 6801 Rockledge Drive, Bethesda, MD 20817.</w:t>
      </w:r>
    </w:p>
    <w:p>
      <w:pPr>
        <w:spacing w:after="0" w:line="65" w:lineRule="exact"/>
        <w:rPr>
          <w:sz w:val="20"/>
          <w:szCs w:val="20"/>
          <w:color w:val="auto"/>
        </w:rPr>
      </w:pPr>
    </w:p>
    <w:p>
      <w:pPr>
        <w:ind w:right="340"/>
        <w:spacing w:after="0" w:line="283" w:lineRule="auto"/>
        <w:rPr>
          <w:sz w:val="20"/>
          <w:szCs w:val="20"/>
          <w:color w:val="auto"/>
        </w:rPr>
      </w:pPr>
      <w:r>
        <w:rPr>
          <w:rFonts w:ascii="Arial" w:cs="Arial" w:eastAsia="Arial" w:hAnsi="Arial"/>
          <w:sz w:val="17"/>
          <w:szCs w:val="17"/>
          <w:b w:val="1"/>
          <w:bCs w:val="1"/>
          <w:color w:val="002F6C"/>
        </w:rPr>
        <w:t xml:space="preserve">Deadline and Submission Requirements for Stockholder Proposals: </w:t>
      </w:r>
      <w:r>
        <w:rPr>
          <w:rFonts w:ascii="Arial" w:cs="Arial" w:eastAsia="Arial" w:hAnsi="Arial"/>
          <w:sz w:val="17"/>
          <w:szCs w:val="17"/>
          <w:color w:val="000000"/>
        </w:rPr>
        <w:t>There are separate requirements for stockholder proposals under SEC</w:t>
      </w:r>
      <w:r>
        <w:rPr>
          <w:rFonts w:ascii="Arial" w:cs="Arial" w:eastAsia="Arial" w:hAnsi="Arial"/>
          <w:sz w:val="17"/>
          <w:szCs w:val="17"/>
          <w:b w:val="1"/>
          <w:bCs w:val="1"/>
          <w:color w:val="002F6C"/>
        </w:rPr>
        <w:t xml:space="preserve"> </w:t>
      </w:r>
      <w:r>
        <w:rPr>
          <w:rFonts w:ascii="Arial" w:cs="Arial" w:eastAsia="Arial" w:hAnsi="Arial"/>
          <w:sz w:val="17"/>
          <w:szCs w:val="17"/>
          <w:color w:val="000000"/>
        </w:rPr>
        <w:t xml:space="preserve">Rule 14a-8 and proposals under our proxy access bylaw provision as stated below. A copy of our Bylaws can be found at </w:t>
      </w:r>
      <w:r>
        <w:rPr>
          <w:rFonts w:ascii="Arial" w:cs="Arial" w:eastAsia="Arial" w:hAnsi="Arial"/>
          <w:sz w:val="17"/>
          <w:szCs w:val="17"/>
          <w:i w:val="1"/>
          <w:iCs w:val="1"/>
          <w:color w:val="000000"/>
        </w:rPr>
        <w:t>www.lockheedmartin.com/corporate-governance.</w:t>
      </w:r>
    </w:p>
    <w:p>
      <w:pPr>
        <w:sectPr>
          <w:pgSz w:w="11900" w:h="16838" w:orient="portrait"/>
          <w:cols w:equalWidth="0" w:num="1">
            <w:col w:w="11240"/>
          </w:cols>
          <w:pgMar w:left="320" w:top="609" w:right="3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E5E7EF"/>
          </w:tcPr>
          <w:p>
            <w:pPr>
              <w:ind w:left="1160"/>
              <w:spacing w:after="0"/>
              <w:rPr>
                <w:sz w:val="20"/>
                <w:szCs w:val="20"/>
                <w:color w:val="auto"/>
              </w:rPr>
            </w:pPr>
            <w:r>
              <w:rPr>
                <w:rFonts w:ascii="Arial" w:cs="Arial" w:eastAsia="Arial" w:hAnsi="Arial"/>
                <w:sz w:val="17"/>
                <w:szCs w:val="17"/>
                <w:b w:val="1"/>
                <w:bCs w:val="1"/>
                <w:color w:val="auto"/>
              </w:rPr>
              <w:t>Type of Proposal</w:t>
            </w:r>
          </w:p>
        </w:tc>
        <w:tc>
          <w:tcPr>
            <w:tcW w:w="320" w:type="dxa"/>
            <w:vAlign w:val="bottom"/>
          </w:tcPr>
          <w:p>
            <w:pPr>
              <w:spacing w:after="0"/>
              <w:rPr>
                <w:sz w:val="18"/>
                <w:szCs w:val="18"/>
                <w:color w:val="auto"/>
              </w:rPr>
            </w:pPr>
          </w:p>
        </w:tc>
        <w:tc>
          <w:tcPr>
            <w:tcW w:w="2580" w:type="dxa"/>
            <w:vAlign w:val="bottom"/>
            <w:shd w:val="clear" w:color="auto" w:fill="959595"/>
          </w:tcPr>
          <w:p>
            <w:pPr>
              <w:ind w:left="940"/>
              <w:spacing w:after="0"/>
              <w:rPr>
                <w:sz w:val="20"/>
                <w:szCs w:val="20"/>
                <w:color w:val="auto"/>
              </w:rPr>
            </w:pPr>
            <w:r>
              <w:rPr>
                <w:rFonts w:ascii="Arial" w:cs="Arial" w:eastAsia="Arial" w:hAnsi="Arial"/>
                <w:sz w:val="17"/>
                <w:szCs w:val="17"/>
                <w:b w:val="1"/>
                <w:bCs w:val="1"/>
                <w:color w:val="FFFFFF"/>
              </w:rPr>
              <w:t>Deadline</w:t>
            </w:r>
          </w:p>
        </w:tc>
      </w:tr>
      <w:tr>
        <w:trPr>
          <w:trHeight w:val="347"/>
        </w:trPr>
        <w:tc>
          <w:tcPr>
            <w:tcW w:w="3700" w:type="dxa"/>
            <w:vAlign w:val="bottom"/>
          </w:tcPr>
          <w:p>
            <w:pPr>
              <w:ind w:left="20"/>
              <w:spacing w:after="0"/>
              <w:rPr>
                <w:sz w:val="20"/>
                <w:szCs w:val="20"/>
                <w:color w:val="auto"/>
              </w:rPr>
            </w:pPr>
            <w:r>
              <w:rPr>
                <w:rFonts w:ascii="Arial" w:cs="Arial" w:eastAsia="Arial" w:hAnsi="Arial"/>
                <w:sz w:val="17"/>
                <w:szCs w:val="17"/>
                <w:b w:val="1"/>
                <w:bCs w:val="1"/>
                <w:color w:val="auto"/>
              </w:rPr>
              <w:t xml:space="preserve">Stockholder Proposal </w:t>
            </w:r>
            <w:r>
              <w:rPr>
                <w:rFonts w:ascii="Arial" w:cs="Arial" w:eastAsia="Arial" w:hAnsi="Arial"/>
                <w:sz w:val="17"/>
                <w:szCs w:val="17"/>
                <w:color w:val="auto"/>
              </w:rPr>
              <w:t>to be included in our</w:t>
            </w:r>
          </w:p>
        </w:tc>
        <w:tc>
          <w:tcPr>
            <w:tcW w:w="320" w:type="dxa"/>
            <w:vAlign w:val="bottom"/>
          </w:tcPr>
          <w:p>
            <w:pPr>
              <w:spacing w:after="0"/>
              <w:rPr>
                <w:sz w:val="24"/>
                <w:szCs w:val="24"/>
                <w:color w:val="auto"/>
              </w:rPr>
            </w:pPr>
          </w:p>
        </w:tc>
        <w:tc>
          <w:tcPr>
            <w:tcW w:w="2580" w:type="dxa"/>
            <w:vAlign w:val="bottom"/>
          </w:tcPr>
          <w:p>
            <w:pPr>
              <w:ind w:left="20"/>
              <w:spacing w:after="0"/>
              <w:rPr>
                <w:sz w:val="20"/>
                <w:szCs w:val="20"/>
                <w:color w:val="auto"/>
              </w:rPr>
            </w:pPr>
            <w:r>
              <w:rPr>
                <w:rFonts w:ascii="Arial" w:cs="Arial" w:eastAsia="Arial" w:hAnsi="Arial"/>
                <w:sz w:val="17"/>
                <w:szCs w:val="17"/>
                <w:color w:val="auto"/>
              </w:rPr>
              <w:t>November 12, 2021</w:t>
            </w:r>
          </w:p>
        </w:tc>
      </w:tr>
      <w:tr>
        <w:trPr>
          <w:trHeight w:val="216"/>
        </w:trPr>
        <w:tc>
          <w:tcPr>
            <w:tcW w:w="3700" w:type="dxa"/>
            <w:vAlign w:val="bottom"/>
          </w:tcPr>
          <w:p>
            <w:pPr>
              <w:ind w:left="20"/>
              <w:spacing w:after="0"/>
              <w:rPr>
                <w:sz w:val="20"/>
                <w:szCs w:val="20"/>
                <w:color w:val="auto"/>
              </w:rPr>
            </w:pPr>
            <w:r>
              <w:rPr>
                <w:rFonts w:ascii="Arial" w:cs="Arial" w:eastAsia="Arial" w:hAnsi="Arial"/>
                <w:sz w:val="17"/>
                <w:szCs w:val="17"/>
                <w:color w:val="auto"/>
              </w:rPr>
              <w:t>proxy statement and proxy card</w:t>
            </w:r>
          </w:p>
        </w:tc>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Submission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-115570</wp:posOffset>
            </wp:positionV>
            <wp:extent cx="274320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743200" cy="137160"/>
                    </a:xfrm>
                    <a:prstGeom prst="rect">
                      <a:avLst/>
                    </a:prstGeom>
                    <a:noFill/>
                  </pic:spPr>
                </pic:pic>
              </a:graphicData>
            </a:graphic>
          </wp:anchor>
        </w:drawing>
      </w:r>
    </w:p>
    <w:p>
      <w:pPr>
        <w:spacing w:after="0" w:line="102"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 xml:space="preserve">Must comply with applicable SEC Rules (including SEC Rule 14a-8); see also Staff Legal Bulletin 14, which may be found at </w:t>
      </w:r>
      <w:r>
        <w:rPr>
          <w:rFonts w:ascii="Arial" w:cs="Arial" w:eastAsia="Arial" w:hAnsi="Arial"/>
          <w:sz w:val="17"/>
          <w:szCs w:val="17"/>
          <w:i w:val="1"/>
          <w:iCs w:val="1"/>
          <w:color w:val="auto"/>
        </w:rPr>
        <w:t>www.sec.gov</w:t>
      </w:r>
    </w:p>
    <w:p>
      <w:pPr>
        <w:spacing w:after="0" w:line="200" w:lineRule="exact"/>
        <w:rPr>
          <w:sz w:val="20"/>
          <w:szCs w:val="20"/>
          <w:color w:val="auto"/>
        </w:rPr>
      </w:pPr>
    </w:p>
    <w:p>
      <w:pPr>
        <w:sectPr>
          <w:pgSz w:w="11900" w:h="16838" w:orient="portrait"/>
          <w:cols w:equalWidth="0" w:num="2">
            <w:col w:w="6600" w:space="340"/>
            <w:col w:w="4300"/>
          </w:cols>
          <w:pgMar w:left="320" w:top="609" w:right="339" w:bottom="1440" w:gutter="0" w:footer="0" w:header="0"/>
          <w:type w:val="continuous"/>
        </w:sectPr>
      </w:pPr>
    </w:p>
    <w:p>
      <w:pPr>
        <w:spacing w:after="0" w:line="295" w:lineRule="exact"/>
        <w:rPr>
          <w:sz w:val="20"/>
          <w:szCs w:val="20"/>
          <w:color w:val="auto"/>
        </w:rPr>
      </w:pPr>
    </w:p>
    <w:p>
      <w:pPr>
        <w:ind w:left="20" w:right="60"/>
        <w:spacing w:after="0" w:line="283" w:lineRule="auto"/>
        <w:rPr>
          <w:sz w:val="20"/>
          <w:szCs w:val="20"/>
          <w:color w:val="auto"/>
        </w:rPr>
      </w:pPr>
      <w:r>
        <w:rPr>
          <w:rFonts w:ascii="Arial" w:cs="Arial" w:eastAsia="Arial" w:hAnsi="Arial"/>
          <w:sz w:val="17"/>
          <w:szCs w:val="17"/>
          <w:b w:val="1"/>
          <w:bCs w:val="1"/>
          <w:color w:val="auto"/>
        </w:rPr>
        <w:t xml:space="preserve">Proxy Access Nominee </w:t>
      </w:r>
      <w:r>
        <w:rPr>
          <w:rFonts w:ascii="Arial" w:cs="Arial" w:eastAsia="Arial" w:hAnsi="Arial"/>
          <w:sz w:val="17"/>
          <w:szCs w:val="17"/>
          <w:color w:val="auto"/>
        </w:rPr>
        <w:t>-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nomination of director to be included in our proxy statement and proxy card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Must be received between October 13, 2021 and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73660</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Must provide the information required under our Bylaws, including Section 1.11</w:t>
      </w:r>
    </w:p>
    <w:p>
      <w:pPr>
        <w:spacing w:after="0" w:line="421" w:lineRule="exact"/>
        <w:rPr>
          <w:sz w:val="20"/>
          <w:szCs w:val="20"/>
          <w:color w:val="auto"/>
        </w:rPr>
      </w:pPr>
    </w:p>
    <w:p>
      <w:pPr>
        <w:sectPr>
          <w:pgSz w:w="11900" w:h="16838" w:orient="portrait"/>
          <w:cols w:equalWidth="0" w:num="3">
            <w:col w:w="3320" w:space="720"/>
            <w:col w:w="2180" w:space="720"/>
            <w:col w:w="4300"/>
          </w:cols>
          <w:pgMar w:left="320" w:top="609" w:right="339" w:bottom="1440" w:gutter="0" w:footer="0" w:header="0"/>
          <w:type w:val="continuous"/>
        </w:sectPr>
      </w:pPr>
    </w:p>
    <w:p>
      <w:pPr>
        <w:spacing w:after="0" w:line="40" w:lineRule="exact"/>
        <w:rPr>
          <w:sz w:val="20"/>
          <w:szCs w:val="20"/>
          <w:color w:val="auto"/>
        </w:rPr>
      </w:pPr>
    </w:p>
    <w:p>
      <w:pPr>
        <w:ind w:left="20"/>
        <w:spacing w:after="0" w:line="283" w:lineRule="auto"/>
        <w:rPr>
          <w:sz w:val="20"/>
          <w:szCs w:val="20"/>
          <w:color w:val="auto"/>
        </w:rPr>
      </w:pPr>
      <w:r>
        <w:rPr>
          <w:rFonts w:ascii="Arial" w:cs="Arial" w:eastAsia="Arial" w:hAnsi="Arial"/>
          <w:sz w:val="17"/>
          <w:szCs w:val="17"/>
          <w:b w:val="1"/>
          <w:bCs w:val="1"/>
          <w:color w:val="auto"/>
        </w:rPr>
        <w:t xml:space="preserve">Stockholder Proposal or Director Nominee </w:t>
      </w:r>
      <w:r>
        <w:rPr>
          <w:rFonts w:ascii="Arial" w:cs="Arial" w:eastAsia="Arial" w:hAnsi="Arial"/>
          <w:sz w:val="17"/>
          <w:szCs w:val="17"/>
          <w:color w:val="auto"/>
        </w:rPr>
        <w:t>not intended to be included in our proxy statement and proxy card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Must be received between October 13, 2021 and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73660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Must provide the information required under our Bylaws, including Section 1.10</w:t>
      </w:r>
    </w:p>
    <w:p>
      <w:pPr>
        <w:spacing w:after="0" w:line="421" w:lineRule="exact"/>
        <w:rPr>
          <w:sz w:val="20"/>
          <w:szCs w:val="20"/>
          <w:color w:val="auto"/>
        </w:rPr>
      </w:pPr>
    </w:p>
    <w:p>
      <w:pPr>
        <w:sectPr>
          <w:pgSz w:w="11900" w:h="16838" w:orient="portrait"/>
          <w:cols w:equalWidth="0" w:num="3">
            <w:col w:w="3480" w:space="560"/>
            <w:col w:w="2180" w:space="720"/>
            <w:col w:w="4300"/>
          </w:cols>
          <w:pgMar w:left="320" w:top="609" w:right="33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29"/>
          <w:szCs w:val="29"/>
          <w:color w:val="002E6D"/>
        </w:rPr>
        <w:t>How can I contact the Corporation’s non-management directors?</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Stockholders and all interested parties may communicate with the independent Lead Director or with the non-management directors as a group. If you wish to raise a question or concern to the independent Lead Director or the non-management directors as a group, you may do so by writing to the independent Lead Director by email at </w:t>
      </w:r>
      <w:r>
        <w:rPr>
          <w:rFonts w:ascii="Arial" w:cs="Arial" w:eastAsia="Arial" w:hAnsi="Arial"/>
          <w:sz w:val="17"/>
          <w:szCs w:val="17"/>
          <w:i w:val="1"/>
          <w:iCs w:val="1"/>
          <w:color w:val="auto"/>
        </w:rPr>
        <w:t>Lead.Director@lmco.com</w:t>
      </w:r>
      <w:r>
        <w:rPr>
          <w:rFonts w:ascii="Arial" w:cs="Arial" w:eastAsia="Arial" w:hAnsi="Arial"/>
          <w:sz w:val="17"/>
          <w:szCs w:val="17"/>
          <w:color w:val="auto"/>
        </w:rPr>
        <w:t>. You also may write to the independent Lead Director or Non-Management Directors, c/o Senior Vice President, General Counsel and Corporate Secretary, Lockheed Martin Corporation, 6801 Rockledge Drive, Bethesda, MD 20817.</w:t>
      </w:r>
    </w:p>
    <w:p>
      <w:pPr>
        <w:spacing w:after="0" w:line="9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Our Senior Vice President, General Counsel and Corporate Secretary or her delegate reviews all correspondence sent to the Board. The Board has authorized our Senior Vice President, General Counsel and Corporate Secretary or her delegate to respond to correspondence regarding routine stockholder matters and services (e.g., stock transfers, dividends, etc.). Correspondence from stockholders relating to accounting, internal controls or auditing matters are brought to the attention of the Audit Committee. All other correspondence is forwarded to the independent Lead Director who determines whether distribution to a Board committee or to the full Board for review is appropriate. Any director may, at any time, review a log of all correspondence addressed to the Board and request copies of such correspondence.</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color w:val="002E6D"/>
        </w:rPr>
        <w:t>Can I find additional information on the Corporations' website?</w:t>
      </w:r>
    </w:p>
    <w:p>
      <w:pPr>
        <w:spacing w:after="0" w:line="123"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 xml:space="preserve">Yes. Although the information contained on our website is not part of this Proxy Statement, you will find information about the Corporation and our corporate governance practices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 Our website contains information about our Board, Board committees, Charter, Bylaws, Code of Conduct, Governance Guidelines and information about insider transactions. Stockholders may obtain, without charge, hard copies of the above documents by writing to Investor Relations, Lockheed Martin Corporation, 6801 Rockledge Drive, Bethesda, MD 20817.</w:t>
      </w:r>
    </w:p>
    <w:p>
      <w:pPr>
        <w:spacing w:after="0" w:line="85" w:lineRule="exact"/>
        <w:rPr>
          <w:sz w:val="20"/>
          <w:szCs w:val="20"/>
          <w:color w:val="auto"/>
        </w:rPr>
      </w:pPr>
    </w:p>
    <w:p>
      <w:pPr>
        <w:spacing w:after="0"/>
        <w:rPr>
          <w:sz w:val="20"/>
          <w:szCs w:val="20"/>
          <w:color w:val="auto"/>
        </w:rPr>
      </w:pPr>
      <w:r>
        <w:rPr>
          <w:rFonts w:ascii="Arial" w:cs="Arial" w:eastAsia="Arial" w:hAnsi="Arial"/>
          <w:sz w:val="29"/>
          <w:szCs w:val="29"/>
          <w:color w:val="002E6D"/>
        </w:rPr>
        <w:t>Can I find additional information about the stockholder proponents?</w:t>
      </w:r>
    </w:p>
    <w:p>
      <w:pPr>
        <w:spacing w:after="0" w:line="123" w:lineRule="exact"/>
        <w:rPr>
          <w:sz w:val="20"/>
          <w:szCs w:val="20"/>
          <w:color w:val="auto"/>
        </w:rPr>
      </w:pPr>
    </w:p>
    <w:p>
      <w:pPr>
        <w:jc w:val="both"/>
        <w:ind w:right="420"/>
        <w:spacing w:after="0" w:line="270" w:lineRule="auto"/>
        <w:rPr>
          <w:sz w:val="20"/>
          <w:szCs w:val="20"/>
          <w:color w:val="auto"/>
        </w:rPr>
      </w:pPr>
      <w:r>
        <w:rPr>
          <w:rFonts w:ascii="Arial" w:cs="Arial" w:eastAsia="Arial" w:hAnsi="Arial"/>
          <w:sz w:val="17"/>
          <w:szCs w:val="17"/>
          <w:color w:val="auto"/>
        </w:rPr>
        <w:t>Yes. As required by SEC regulations, upon receiving an oral or written request from a stockholder to the Corporate Secretary, Lockheed Martin Corporation, 6801 Rockledge Drive, Bethesda, MD 20817 or (301) 897-6000, we will provide the address and reported holdings of our common stock of the sponsors of the stockholders proposals included within this Proxy Statement.</w:t>
      </w:r>
    </w:p>
    <w:p>
      <w:pPr>
        <w:sectPr>
          <w:pgSz w:w="11900" w:h="16838" w:orient="portrait"/>
          <w:cols w:equalWidth="0" w:num="1">
            <w:col w:w="11240"/>
          </w:cols>
          <w:pgMar w:left="320" w:top="6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91</w:t>
      </w:r>
    </w:p>
    <w:p>
      <w:pPr>
        <w:sectPr>
          <w:pgSz w:w="11900" w:h="16838" w:orient="portrait"/>
          <w:cols w:equalWidth="0" w:num="1">
            <w:col w:w="11240"/>
          </w:cols>
          <w:pgMar w:left="320" w:top="609"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43"/>
          <w:szCs w:val="43"/>
          <w:color w:val="002E6D"/>
        </w:rPr>
        <w:t>Additional Information and Other Matters</w:t>
      </w:r>
    </w:p>
    <w:p>
      <w:pPr>
        <w:spacing w:after="0" w:line="218" w:lineRule="exact"/>
        <w:rPr>
          <w:sz w:val="20"/>
          <w:szCs w:val="20"/>
          <w:color w:val="auto"/>
        </w:rPr>
      </w:pPr>
    </w:p>
    <w:p>
      <w:pPr>
        <w:ind w:right="940"/>
        <w:spacing w:after="0" w:line="252" w:lineRule="auto"/>
        <w:rPr>
          <w:sz w:val="20"/>
          <w:szCs w:val="20"/>
          <w:color w:val="auto"/>
        </w:rPr>
      </w:pPr>
      <w:r>
        <w:rPr>
          <w:rFonts w:ascii="Arial" w:cs="Arial" w:eastAsia="Arial" w:hAnsi="Arial"/>
          <w:sz w:val="29"/>
          <w:szCs w:val="29"/>
          <w:color w:val="002E6D"/>
        </w:rPr>
        <w:t>Appendix A: Definition of Non-GAAP (Generally Accepted Accounting Principles) Measures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Proxy Statement contains Non-GAAP financial measures (as defined by SEC Regulation G). While we believe that these Non-GAAP financial measures may be useful in evaluating Lockheed Martin, this information should be considered supplemental and is not a substitute for financial information prepared in accordance with GAAP. In addition, our definitions for Non-GAAP measures may differ from similarly titled measures used by other companies or analysts.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color w:val="475C90"/>
        </w:rPr>
        <w:t>Segment Operating Profit</w:t>
      </w:r>
    </w:p>
    <w:p>
      <w:pPr>
        <w:spacing w:after="0" w:line="1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Segment Operating Profit represents operating profit from our business segments before unallocated income and expense. This measure is used by our senior management in evaluating the performance of our business segments. The caption “Total Unallocated Items” reconciles Segment Operating Profit to Consolidated Operating Profit. We use Segment Operating Profit as a performance goal in the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15175" cy="3943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15175" cy="394335"/>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Segment Operating Profit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Unallocated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2343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Operating Profit (GAAP)</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2020</w:t>
      </w:r>
    </w:p>
    <w:p>
      <w:pPr>
        <w:spacing w:after="0" w:line="78"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Profit</w:t>
      </w:r>
    </w:p>
    <w:p>
      <w:pPr>
        <w:spacing w:after="0" w:line="5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w:t>
      </w:r>
    </w:p>
    <w:p>
      <w:pPr>
        <w:spacing w:after="0" w:line="6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7,152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1,492</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8,644</w:t>
      </w:r>
    </w:p>
    <w:p>
      <w:pPr>
        <w:spacing w:after="0" w:line="200" w:lineRule="exact"/>
        <w:rPr>
          <w:sz w:val="20"/>
          <w:szCs w:val="20"/>
          <w:color w:val="auto"/>
        </w:rPr>
      </w:pPr>
    </w:p>
    <w:p>
      <w:pPr>
        <w:sectPr>
          <w:pgSz w:w="11900" w:h="16838" w:orient="portrait"/>
          <w:cols w:equalWidth="0" w:num="2">
            <w:col w:w="10060" w:space="720"/>
            <w:col w:w="440"/>
          </w:cols>
          <w:pgMar w:left="320" w:top="1340" w:right="3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25"/>
          <w:szCs w:val="25"/>
          <w:color w:val="475C90"/>
        </w:rPr>
        <w:t>Return on Invested Capital (ROIC)</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ROIC is defined as net earnings plus after-tax interest expense divided by average invested capital (total equity plus debt) after adjusting total equity by adding back adjustments related to the Corporation’s post-retirement benefit plans. We use ROIC as a performance measure for LTIP and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2317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type w:val="continuous"/>
        </w:sect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ROIC Calculation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Earnings</w:t>
      </w:r>
      <w:r>
        <w:rPr>
          <w:rFonts w:ascii="Arial" w:cs="Arial" w:eastAsia="Arial" w:hAnsi="Arial"/>
          <w:sz w:val="9"/>
          <w:szCs w:val="9"/>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Interest Expense (multiplied by 79%) </w:t>
      </w:r>
      <w:r>
        <w:rPr>
          <w:rFonts w:ascii="Arial" w:cs="Arial" w:eastAsia="Arial" w:hAnsi="Arial"/>
          <w:sz w:val="9"/>
          <w:szCs w:val="9"/>
          <w:color w:val="auto"/>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Average Debt</w:t>
      </w:r>
      <w:r>
        <w:rPr>
          <w:rFonts w:ascii="Arial" w:cs="Arial" w:eastAsia="Arial" w:hAnsi="Arial"/>
          <w:sz w:val="9"/>
          <w:szCs w:val="9"/>
          <w:color w:val="auto"/>
        </w:rPr>
        <w:t>(c)(d)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Average Equity</w:t>
      </w:r>
      <w:r>
        <w:rPr>
          <w:rFonts w:ascii="Arial" w:cs="Arial" w:eastAsia="Arial" w:hAnsi="Arial"/>
          <w:sz w:val="9"/>
          <w:szCs w:val="9"/>
          <w:color w:val="auto"/>
        </w:rPr>
        <w:t>(d)(e)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Average Benefit Plan Adjustments</w:t>
      </w:r>
      <w:r>
        <w:rPr>
          <w:rFonts w:ascii="Arial" w:cs="Arial" w:eastAsia="Arial" w:hAnsi="Arial"/>
          <w:sz w:val="9"/>
          <w:szCs w:val="9"/>
          <w:color w:val="auto"/>
        </w:rPr>
        <w:t>(d)(f)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40575" cy="2825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0575" cy="28257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Average Invested Capital</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ROIC</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436"/>
        <w:spacing w:after="0"/>
        <w:rPr>
          <w:sz w:val="20"/>
          <w:szCs w:val="20"/>
          <w:color w:val="auto"/>
        </w:rPr>
      </w:pPr>
      <w:r>
        <w:rPr>
          <w:rFonts w:ascii="Arial" w:cs="Arial" w:eastAsia="Arial" w:hAnsi="Arial"/>
          <w:sz w:val="12"/>
          <w:szCs w:val="12"/>
          <w:color w:val="auto"/>
        </w:rPr>
        <w:t>Three-Year</w:t>
      </w:r>
    </w:p>
    <w:p>
      <w:pPr>
        <w:spacing w:after="0" w:line="24" w:lineRule="exact"/>
        <w:rPr>
          <w:sz w:val="20"/>
          <w:szCs w:val="20"/>
          <w:color w:val="auto"/>
        </w:rPr>
      </w:pPr>
    </w:p>
    <w:p>
      <w:pPr>
        <w:ind w:left="436"/>
        <w:spacing w:after="0"/>
        <w:rPr>
          <w:sz w:val="20"/>
          <w:szCs w:val="20"/>
          <w:color w:val="auto"/>
        </w:rPr>
      </w:pPr>
      <w:r>
        <w:rPr>
          <w:rFonts w:ascii="Arial" w:cs="Arial" w:eastAsia="Arial" w:hAnsi="Arial"/>
          <w:sz w:val="12"/>
          <w:szCs w:val="12"/>
          <w:color w:val="auto"/>
        </w:rPr>
        <w:t>2018–2020</w:t>
      </w:r>
    </w:p>
    <w:p>
      <w:pPr>
        <w:spacing w:after="0" w:line="116" w:lineRule="exact"/>
        <w:rPr>
          <w:sz w:val="20"/>
          <w:szCs w:val="20"/>
          <w:color w:val="auto"/>
        </w:rPr>
      </w:pPr>
    </w:p>
    <w:p>
      <w:pPr>
        <w:ind w:left="536" w:hanging="536"/>
        <w:spacing w:after="0"/>
        <w:tabs>
          <w:tab w:leader="none" w:pos="536" w:val="left"/>
        </w:tabs>
        <w:numPr>
          <w:ilvl w:val="0"/>
          <w:numId w:val="127"/>
        </w:numPr>
        <w:rPr>
          <w:rFonts w:ascii="Arial" w:cs="Arial" w:eastAsia="Arial" w:hAnsi="Arial"/>
          <w:sz w:val="14"/>
          <w:szCs w:val="14"/>
          <w:color w:val="auto"/>
        </w:rPr>
      </w:pPr>
      <w:r>
        <w:rPr>
          <w:rFonts w:ascii="Arial" w:cs="Arial" w:eastAsia="Arial" w:hAnsi="Arial"/>
          <w:sz w:val="14"/>
          <w:szCs w:val="14"/>
          <w:color w:val="auto"/>
        </w:rPr>
        <w:t>6,036</w:t>
      </w:r>
    </w:p>
    <w:p>
      <w:pPr>
        <w:spacing w:after="0" w:line="82" w:lineRule="exact"/>
        <w:rPr>
          <w:sz w:val="20"/>
          <w:szCs w:val="20"/>
          <w:color w:val="auto"/>
        </w:rPr>
      </w:pPr>
    </w:p>
    <w:p>
      <w:pPr>
        <w:ind w:left="656"/>
        <w:spacing w:after="0"/>
        <w:rPr>
          <w:sz w:val="20"/>
          <w:szCs w:val="20"/>
          <w:color w:val="auto"/>
        </w:rPr>
      </w:pPr>
      <w:r>
        <w:rPr>
          <w:rFonts w:ascii="Arial" w:cs="Arial" w:eastAsia="Arial" w:hAnsi="Arial"/>
          <w:sz w:val="14"/>
          <w:szCs w:val="14"/>
          <w:color w:val="auto"/>
        </w:rPr>
        <w:t>504</w:t>
      </w:r>
    </w:p>
    <w:p>
      <w:pPr>
        <w:spacing w:after="0" w:line="37" w:lineRule="exact"/>
        <w:rPr>
          <w:sz w:val="20"/>
          <w:szCs w:val="20"/>
          <w:color w:val="auto"/>
        </w:rPr>
      </w:pPr>
    </w:p>
    <w:p>
      <w:pPr>
        <w:ind w:left="536" w:hanging="536"/>
        <w:spacing w:after="0"/>
        <w:tabs>
          <w:tab w:leader="none" w:pos="536" w:val="left"/>
        </w:tabs>
        <w:numPr>
          <w:ilvl w:val="0"/>
          <w:numId w:val="128"/>
        </w:numPr>
        <w:rPr>
          <w:rFonts w:ascii="Arial" w:cs="Arial" w:eastAsia="Arial" w:hAnsi="Arial"/>
          <w:sz w:val="14"/>
          <w:szCs w:val="14"/>
          <w:b w:val="1"/>
          <w:bCs w:val="1"/>
          <w:color w:val="auto"/>
        </w:rPr>
      </w:pPr>
      <w:r>
        <w:rPr>
          <w:rFonts w:ascii="Arial" w:cs="Arial" w:eastAsia="Arial" w:hAnsi="Arial"/>
          <w:sz w:val="14"/>
          <w:szCs w:val="14"/>
          <w:b w:val="1"/>
          <w:bCs w:val="1"/>
          <w:color w:val="auto"/>
        </w:rPr>
        <w:t>6,540</w:t>
      </w:r>
    </w:p>
    <w:p>
      <w:pPr>
        <w:spacing w:after="0" w:line="100" w:lineRule="exact"/>
        <w:rPr>
          <w:rFonts w:ascii="Arial" w:cs="Arial" w:eastAsia="Arial" w:hAnsi="Arial"/>
          <w:sz w:val="14"/>
          <w:szCs w:val="14"/>
          <w:b w:val="1"/>
          <w:bCs w:val="1"/>
          <w:color w:val="auto"/>
        </w:rPr>
      </w:pPr>
    </w:p>
    <w:p>
      <w:pPr>
        <w:ind w:left="456" w:hanging="456"/>
        <w:spacing w:after="0"/>
        <w:tabs>
          <w:tab w:leader="none" w:pos="456" w:val="left"/>
        </w:tabs>
        <w:numPr>
          <w:ilvl w:val="0"/>
          <w:numId w:val="128"/>
        </w:numPr>
        <w:rPr>
          <w:rFonts w:ascii="Arial" w:cs="Arial" w:eastAsia="Arial" w:hAnsi="Arial"/>
          <w:sz w:val="14"/>
          <w:szCs w:val="14"/>
          <w:color w:val="auto"/>
        </w:rPr>
      </w:pPr>
      <w:r>
        <w:rPr>
          <w:rFonts w:ascii="Arial" w:cs="Arial" w:eastAsia="Arial" w:hAnsi="Arial"/>
          <w:sz w:val="14"/>
          <w:szCs w:val="14"/>
          <w:color w:val="auto"/>
        </w:rPr>
        <w:t>13,463</w:t>
      </w:r>
    </w:p>
    <w:p>
      <w:pPr>
        <w:spacing w:after="0" w:line="82" w:lineRule="exact"/>
        <w:rPr>
          <w:rFonts w:ascii="Arial" w:cs="Arial" w:eastAsia="Arial" w:hAnsi="Arial"/>
          <w:sz w:val="14"/>
          <w:szCs w:val="14"/>
          <w:color w:val="auto"/>
        </w:rPr>
      </w:pPr>
    </w:p>
    <w:p>
      <w:pPr>
        <w:ind w:left="536"/>
        <w:spacing w:after="0"/>
        <w:rPr>
          <w:rFonts w:ascii="Arial" w:cs="Arial" w:eastAsia="Arial" w:hAnsi="Arial"/>
          <w:sz w:val="14"/>
          <w:szCs w:val="14"/>
          <w:color w:val="auto"/>
        </w:rPr>
      </w:pPr>
      <w:r>
        <w:rPr>
          <w:rFonts w:ascii="Arial" w:cs="Arial" w:eastAsia="Arial" w:hAnsi="Arial"/>
          <w:sz w:val="14"/>
          <w:szCs w:val="14"/>
          <w:color w:val="auto"/>
        </w:rPr>
        <w:t>2,528</w:t>
      </w:r>
    </w:p>
    <w:p>
      <w:pPr>
        <w:spacing w:after="0" w:line="82" w:lineRule="exact"/>
        <w:rPr>
          <w:rFonts w:ascii="Arial" w:cs="Arial" w:eastAsia="Arial" w:hAnsi="Arial"/>
          <w:sz w:val="14"/>
          <w:szCs w:val="14"/>
          <w:color w:val="auto"/>
        </w:rPr>
      </w:pPr>
    </w:p>
    <w:p>
      <w:pPr>
        <w:ind w:left="456"/>
        <w:spacing w:after="0"/>
        <w:rPr>
          <w:rFonts w:ascii="Arial" w:cs="Arial" w:eastAsia="Arial" w:hAnsi="Arial"/>
          <w:sz w:val="14"/>
          <w:szCs w:val="14"/>
          <w:color w:val="auto"/>
        </w:rPr>
      </w:pPr>
      <w:r>
        <w:rPr>
          <w:rFonts w:ascii="Arial" w:cs="Arial" w:eastAsia="Arial" w:hAnsi="Arial"/>
          <w:sz w:val="14"/>
          <w:szCs w:val="14"/>
          <w:color w:val="auto"/>
        </w:rPr>
        <w:t>12,349</w:t>
      </w:r>
    </w:p>
    <w:p>
      <w:pPr>
        <w:spacing w:after="0" w:line="37" w:lineRule="exact"/>
        <w:rPr>
          <w:rFonts w:ascii="Arial" w:cs="Arial" w:eastAsia="Arial" w:hAnsi="Arial"/>
          <w:sz w:val="14"/>
          <w:szCs w:val="14"/>
          <w:color w:val="auto"/>
        </w:rPr>
      </w:pPr>
    </w:p>
    <w:p>
      <w:pPr>
        <w:ind w:left="456" w:hanging="594"/>
        <w:spacing w:after="0" w:line="365" w:lineRule="auto"/>
        <w:rPr>
          <w:rFonts w:ascii="Arial" w:cs="Arial" w:eastAsia="Arial" w:hAnsi="Arial"/>
          <w:sz w:val="14"/>
          <w:szCs w:val="14"/>
          <w:color w:val="auto"/>
        </w:rPr>
      </w:pPr>
      <w:r>
        <w:rPr>
          <w:rFonts w:ascii="Arial" w:cs="Arial" w:eastAsia="Arial" w:hAnsi="Arial"/>
          <w:sz w:val="14"/>
          <w:szCs w:val="14"/>
          <w:b w:val="1"/>
          <w:bCs w:val="1"/>
          <w:color w:val="auto"/>
        </w:rPr>
        <w:t>$28,340 23.1 %</w:t>
      </w:r>
    </w:p>
    <w:p>
      <w:pPr>
        <w:spacing w:after="0" w:line="1" w:lineRule="exact"/>
        <w:rPr>
          <w:sz w:val="20"/>
          <w:szCs w:val="20"/>
          <w:color w:val="auto"/>
        </w:rPr>
      </w:pPr>
    </w:p>
    <w:p>
      <w:pPr>
        <w:sectPr>
          <w:pgSz w:w="11900" w:h="16838" w:orient="portrait"/>
          <w:cols w:equalWidth="0" w:num="2">
            <w:col w:w="9444" w:space="720"/>
            <w:col w:w="1056"/>
          </w:cols>
          <w:pgMar w:left="320" w:top="1340" w:right="359" w:bottom="1440" w:gutter="0" w:footer="0" w:header="0"/>
          <w:type w:val="continuous"/>
        </w:sectPr>
      </w:pPr>
    </w:p>
    <w:p>
      <w:pPr>
        <w:ind w:left="340" w:hanging="332"/>
        <w:spacing w:after="0" w:line="219" w:lineRule="auto"/>
        <w:tabs>
          <w:tab w:leader="none" w:pos="340" w:val="left"/>
        </w:tabs>
        <w:numPr>
          <w:ilvl w:val="0"/>
          <w:numId w:val="129"/>
        </w:numPr>
        <w:rPr>
          <w:rFonts w:ascii="Arial" w:cs="Arial" w:eastAsia="Arial" w:hAnsi="Arial"/>
          <w:sz w:val="19"/>
          <w:szCs w:val="19"/>
          <w:color w:val="auto"/>
          <w:vertAlign w:val="superscript"/>
        </w:rPr>
      </w:pPr>
      <w:r>
        <w:rPr>
          <w:rFonts w:ascii="Arial" w:cs="Arial" w:eastAsia="Arial" w:hAnsi="Arial"/>
          <w:sz w:val="14"/>
          <w:szCs w:val="14"/>
          <w:color w:val="auto"/>
        </w:rPr>
        <w:t>Three-year 2018-2020 values for Net Earnings, Interest Expense and any Return related adjustments reflect average values over the period.</w:t>
      </w:r>
    </w:p>
    <w:p>
      <w:pPr>
        <w:spacing w:after="0" w:line="17" w:lineRule="exact"/>
        <w:rPr>
          <w:rFonts w:ascii="Arial" w:cs="Arial" w:eastAsia="Arial" w:hAnsi="Arial"/>
          <w:sz w:val="19"/>
          <w:szCs w:val="19"/>
          <w:color w:val="auto"/>
          <w:vertAlign w:val="superscript"/>
        </w:rPr>
      </w:pPr>
    </w:p>
    <w:p>
      <w:pPr>
        <w:ind w:left="340" w:right="280" w:hanging="332"/>
        <w:spacing w:after="0" w:line="194" w:lineRule="auto"/>
        <w:tabs>
          <w:tab w:leader="none" w:pos="346" w:val="left"/>
        </w:tabs>
        <w:numPr>
          <w:ilvl w:val="0"/>
          <w:numId w:val="129"/>
        </w:numPr>
        <w:rPr>
          <w:rFonts w:ascii="Arial" w:cs="Arial" w:eastAsia="Arial" w:hAnsi="Arial"/>
          <w:sz w:val="19"/>
          <w:szCs w:val="19"/>
          <w:color w:val="auto"/>
          <w:vertAlign w:val="superscript"/>
        </w:rPr>
      </w:pPr>
      <w:r>
        <w:rPr>
          <w:rFonts w:ascii="Arial" w:cs="Arial" w:eastAsia="Arial" w:hAnsi="Arial"/>
          <w:sz w:val="14"/>
          <w:szCs w:val="14"/>
          <w:color w:val="auto"/>
        </w:rPr>
        <w:t>Represents after-tax interest expense utilizing the federal statutory rate of 21 percent in 2018-2020. Interest expense is added back to net earnings as it represents the return to debt holders. Debt is included as a component of average invested capital.</w:t>
      </w:r>
    </w:p>
    <w:p>
      <w:pPr>
        <w:ind w:left="340" w:hanging="332"/>
        <w:spacing w:after="0" w:line="207" w:lineRule="auto"/>
        <w:tabs>
          <w:tab w:leader="none" w:pos="340" w:val="left"/>
        </w:tabs>
        <w:numPr>
          <w:ilvl w:val="0"/>
          <w:numId w:val="129"/>
        </w:numPr>
        <w:rPr>
          <w:rFonts w:ascii="Arial" w:cs="Arial" w:eastAsia="Arial" w:hAnsi="Arial"/>
          <w:sz w:val="19"/>
          <w:szCs w:val="19"/>
          <w:color w:val="auto"/>
          <w:vertAlign w:val="superscript"/>
        </w:rPr>
      </w:pPr>
      <w:r>
        <w:rPr>
          <w:rFonts w:ascii="Arial" w:cs="Arial" w:eastAsia="Arial" w:hAnsi="Arial"/>
          <w:sz w:val="14"/>
          <w:szCs w:val="14"/>
          <w:color w:val="auto"/>
        </w:rPr>
        <w:t>Debt consists of long-term debt, including current maturities, and short-term borrowings (if any).</w:t>
      </w:r>
    </w:p>
    <w:p>
      <w:pPr>
        <w:spacing w:after="0" w:line="17" w:lineRule="exact"/>
        <w:rPr>
          <w:rFonts w:ascii="Arial" w:cs="Arial" w:eastAsia="Arial" w:hAnsi="Arial"/>
          <w:sz w:val="19"/>
          <w:szCs w:val="19"/>
          <w:color w:val="auto"/>
          <w:vertAlign w:val="superscript"/>
        </w:rPr>
      </w:pPr>
    </w:p>
    <w:p>
      <w:pPr>
        <w:ind w:left="340" w:right="360" w:hanging="332"/>
        <w:spacing w:after="0" w:line="194" w:lineRule="auto"/>
        <w:tabs>
          <w:tab w:leader="none" w:pos="346" w:val="left"/>
        </w:tabs>
        <w:numPr>
          <w:ilvl w:val="0"/>
          <w:numId w:val="129"/>
        </w:numPr>
        <w:rPr>
          <w:rFonts w:ascii="Arial" w:cs="Arial" w:eastAsia="Arial" w:hAnsi="Arial"/>
          <w:sz w:val="19"/>
          <w:szCs w:val="19"/>
          <w:color w:val="auto"/>
          <w:vertAlign w:val="superscript"/>
        </w:rPr>
      </w:pPr>
      <w:r>
        <w:rPr>
          <w:rFonts w:ascii="Arial" w:cs="Arial" w:eastAsia="Arial" w:hAnsi="Arial"/>
          <w:sz w:val="14"/>
          <w:szCs w:val="14"/>
          <w:color w:val="auto"/>
        </w:rPr>
        <w:t>The three-year averages are calculated using thirteen quarter point balances at the start of the plan performance period and at the end of each quarter for each of the three-years in the performance period.</w:t>
      </w:r>
    </w:p>
    <w:p>
      <w:pPr>
        <w:ind w:left="340" w:hanging="332"/>
        <w:spacing w:after="0" w:line="207" w:lineRule="auto"/>
        <w:tabs>
          <w:tab w:leader="none" w:pos="340" w:val="left"/>
        </w:tabs>
        <w:numPr>
          <w:ilvl w:val="0"/>
          <w:numId w:val="129"/>
        </w:numPr>
        <w:rPr>
          <w:rFonts w:ascii="Arial" w:cs="Arial" w:eastAsia="Arial" w:hAnsi="Arial"/>
          <w:sz w:val="19"/>
          <w:szCs w:val="19"/>
          <w:color w:val="auto"/>
          <w:vertAlign w:val="superscript"/>
        </w:rPr>
      </w:pPr>
      <w:r>
        <w:rPr>
          <w:rFonts w:ascii="Arial" w:cs="Arial" w:eastAsia="Arial" w:hAnsi="Arial"/>
          <w:sz w:val="14"/>
          <w:szCs w:val="14"/>
          <w:color w:val="auto"/>
        </w:rPr>
        <w:t>Equity includes non-cash adjustments, primarily to recognize the funded/unfunded status of the Corporation’s benefit plans.</w:t>
      </w:r>
    </w:p>
    <w:p>
      <w:pPr>
        <w:spacing w:after="0" w:line="17" w:lineRule="exact"/>
        <w:rPr>
          <w:rFonts w:ascii="Arial" w:cs="Arial" w:eastAsia="Arial" w:hAnsi="Arial"/>
          <w:sz w:val="19"/>
          <w:szCs w:val="19"/>
          <w:color w:val="auto"/>
          <w:vertAlign w:val="superscript"/>
        </w:rPr>
      </w:pPr>
    </w:p>
    <w:p>
      <w:pPr>
        <w:ind w:left="340" w:right="80" w:hanging="332"/>
        <w:spacing w:after="0" w:line="194" w:lineRule="auto"/>
        <w:tabs>
          <w:tab w:leader="none" w:pos="334" w:val="left"/>
        </w:tabs>
        <w:numPr>
          <w:ilvl w:val="0"/>
          <w:numId w:val="129"/>
        </w:numPr>
        <w:rPr>
          <w:rFonts w:ascii="Arial" w:cs="Arial" w:eastAsia="Arial" w:hAnsi="Arial"/>
          <w:sz w:val="19"/>
          <w:szCs w:val="19"/>
          <w:color w:val="auto"/>
          <w:vertAlign w:val="superscript"/>
        </w:rPr>
      </w:pPr>
      <w:r>
        <w:rPr>
          <w:rFonts w:ascii="Arial" w:cs="Arial" w:eastAsia="Arial" w:hAnsi="Arial"/>
          <w:sz w:val="14"/>
          <w:szCs w:val="14"/>
          <w:color w:val="auto"/>
        </w:rPr>
        <w:t>Average Benefit Plan Adjustments reflect the cumulative value of entries identified in the Corporation’s Consolidated Statements of Equity as well as adjusted to normalize for the $2,396M benefit associated with the adoption of Accounting Standards Update No. 2018-02.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1148080</wp:posOffset>
            </wp:positionV>
            <wp:extent cx="969010" cy="2228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92</w:t>
      </w:r>
    </w:p>
    <w:p>
      <w:pPr>
        <w:sectPr>
          <w:pgSz w:w="11900" w:h="16838" w:orient="portrait"/>
          <w:cols w:equalWidth="0" w:num="1">
            <w:col w:w="11220"/>
          </w:cols>
          <w:pgMar w:left="320" w:top="1340" w:right="35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5"/>
          <w:szCs w:val="15"/>
          <w:color w:val="003478"/>
        </w:rPr>
        <w:t>Additional Information and Other Matters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Performance Cash</w:t>
      </w:r>
    </w:p>
    <w:p>
      <w:pPr>
        <w:spacing w:after="0" w:line="123"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Performance Cash represents the Corporation’s Cash from Operations adjusted for items as described in the PSU and LTIP award agreements. For the 2018-2020 performance cycle award agreements, Cash from Operations was adjusted for the items in the table below to calculate Performance Cash.</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580" w:type="dxa"/>
            <w:vAlign w:val="bottom"/>
            <w:shd w:val="clear" w:color="auto" w:fill="E5E7EF"/>
          </w:tcPr>
          <w:p>
            <w:pPr>
              <w:spacing w:after="0"/>
              <w:rPr>
                <w:sz w:val="15"/>
                <w:szCs w:val="15"/>
                <w:color w:val="auto"/>
              </w:rPr>
            </w:pPr>
          </w:p>
        </w:tc>
        <w:tc>
          <w:tcPr>
            <w:tcW w:w="16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2018-2020</w:t>
            </w:r>
          </w:p>
        </w:tc>
      </w:tr>
      <w:tr>
        <w:trPr>
          <w:trHeight w:val="264"/>
        </w:trPr>
        <w:tc>
          <w:tcPr>
            <w:tcW w:w="95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Cash Flow ($M)</w:t>
            </w:r>
          </w:p>
        </w:tc>
        <w:tc>
          <w:tcPr>
            <w:tcW w:w="16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9580" w:type="dxa"/>
            <w:vAlign w:val="bottom"/>
            <w:tcBorders>
              <w:top w:val="single" w:sz="8" w:color="959595"/>
              <w:bottom w:val="single" w:sz="8" w:color="959595"/>
            </w:tcBorders>
          </w:tcPr>
          <w:p>
            <w:pPr>
              <w:ind w:left="20"/>
              <w:spacing w:after="0"/>
              <w:rPr>
                <w:sz w:val="20"/>
                <w:szCs w:val="20"/>
                <w:color w:val="auto"/>
              </w:rPr>
            </w:pPr>
            <w:r>
              <w:rPr>
                <w:rFonts w:ascii="Arial" w:cs="Arial" w:eastAsia="Arial" w:hAnsi="Arial"/>
                <w:sz w:val="14"/>
                <w:szCs w:val="14"/>
                <w:b w:val="1"/>
                <w:bCs w:val="1"/>
                <w:color w:val="auto"/>
              </w:rPr>
              <w:t>Cash from Operations (GAAP)</w:t>
            </w:r>
          </w:p>
        </w:tc>
        <w:tc>
          <w:tcPr>
            <w:tcW w:w="1660" w:type="dxa"/>
            <w:vAlign w:val="bottom"/>
            <w:tcBorders>
              <w:top w:val="single" w:sz="8" w:color="959595"/>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18,632</w:t>
            </w:r>
          </w:p>
        </w:tc>
      </w:tr>
      <w:tr>
        <w:trPr>
          <w:trHeight w:val="190"/>
        </w:trPr>
        <w:tc>
          <w:tcPr>
            <w:tcW w:w="958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Pension Funding Adjustment</w:t>
            </w:r>
          </w:p>
        </w:tc>
        <w:tc>
          <w:tcPr>
            <w:tcW w:w="1660" w:type="dxa"/>
            <w:vAlign w:val="bottom"/>
            <w:tcBorders>
              <w:bottom w:val="single" w:sz="8" w:color="959595"/>
            </w:tcBorders>
          </w:tcPr>
          <w:p>
            <w:pPr>
              <w:spacing w:after="0"/>
              <w:rPr>
                <w:sz w:val="16"/>
                <w:szCs w:val="16"/>
                <w:color w:val="auto"/>
              </w:rPr>
            </w:pPr>
          </w:p>
        </w:tc>
      </w:tr>
      <w:tr>
        <w:trPr>
          <w:trHeight w:val="202"/>
        </w:trPr>
        <w:tc>
          <w:tcPr>
            <w:tcW w:w="958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Actual Pension Funding</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7,483</w:t>
            </w:r>
          </w:p>
        </w:tc>
      </w:tr>
      <w:tr>
        <w:trPr>
          <w:trHeight w:val="196"/>
        </w:trPr>
        <w:tc>
          <w:tcPr>
            <w:tcW w:w="958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Planned Pension Funding</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5,226</w:t>
            </w:r>
          </w:p>
        </w:tc>
      </w:tr>
      <w:tr>
        <w:trPr>
          <w:trHeight w:val="196"/>
        </w:trPr>
        <w:tc>
          <w:tcPr>
            <w:tcW w:w="9580" w:type="dxa"/>
            <w:vAlign w:val="bottom"/>
            <w:tcBorders>
              <w:bottom w:val="single" w:sz="8" w:color="959595"/>
            </w:tcBorders>
          </w:tcPr>
          <w:p>
            <w:pPr>
              <w:ind w:left="360"/>
              <w:spacing w:after="0"/>
              <w:rPr>
                <w:sz w:val="20"/>
                <w:szCs w:val="20"/>
                <w:color w:val="auto"/>
              </w:rPr>
            </w:pPr>
            <w:r>
              <w:rPr>
                <w:rFonts w:ascii="Arial" w:cs="Arial" w:eastAsia="Arial" w:hAnsi="Arial"/>
                <w:sz w:val="14"/>
                <w:szCs w:val="14"/>
                <w:color w:val="auto"/>
              </w:rPr>
              <w:t>Delta</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2,257</w:t>
            </w:r>
          </w:p>
        </w:tc>
      </w:tr>
      <w:tr>
        <w:trPr>
          <w:trHeight w:val="196"/>
        </w:trPr>
        <w:tc>
          <w:tcPr>
            <w:tcW w:w="958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Adjustment for Unplanned Tax Payments / (Benefits) on Divestitures</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31</w:t>
            </w:r>
          </w:p>
        </w:tc>
      </w:tr>
      <w:tr>
        <w:trPr>
          <w:trHeight w:val="196"/>
        </w:trPr>
        <w:tc>
          <w:tcPr>
            <w:tcW w:w="958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Adjustment for Tax Payments/(Benefits) on Additional Pension Contributions</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(28)</w:t>
            </w:r>
          </w:p>
        </w:tc>
      </w:tr>
      <w:tr>
        <w:trPr>
          <w:trHeight w:val="196"/>
        </w:trPr>
        <w:tc>
          <w:tcPr>
            <w:tcW w:w="958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Net Adjusting Items</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2,260</w:t>
            </w:r>
          </w:p>
        </w:tc>
      </w:tr>
      <w:tr>
        <w:trPr>
          <w:trHeight w:val="196"/>
        </w:trPr>
        <w:tc>
          <w:tcPr>
            <w:tcW w:w="958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Performance Cash (Non-GAAP)</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20,892</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2021 Proxy Statement</w:t>
      </w:r>
      <w:r>
        <w:rPr>
          <w:sz w:val="20"/>
          <w:szCs w:val="20"/>
          <w:color w:val="auto"/>
        </w:rPr>
        <w:tab/>
      </w:r>
      <w:r>
        <w:rPr>
          <w:rFonts w:ascii="Arial" w:cs="Arial" w:eastAsia="Arial" w:hAnsi="Arial"/>
          <w:sz w:val="14"/>
          <w:szCs w:val="14"/>
          <w:b w:val="1"/>
          <w:bCs w:val="1"/>
          <w:color w:val="808080"/>
        </w:rPr>
        <w:t>93</w:t>
      </w:r>
    </w:p>
    <w:p>
      <w:pPr>
        <w:sectPr>
          <w:pgSz w:w="11900" w:h="16838" w:orient="portrait"/>
          <w:cols w:equalWidth="0" w:num="1">
            <w:col w:w="11240"/>
          </w:cols>
          <w:pgMar w:left="320" w:top="609" w:right="339" w:bottom="1440" w:gutter="0" w:footer="0" w:header="0"/>
        </w:sectPr>
      </w:pPr>
    </w:p>
    <w:bookmarkStart w:id="97" w:name="page98"/>
    <w:bookmarkEnd w:id="97"/>
    <w:p>
      <w:pPr>
        <w:spacing w:after="0"/>
        <w:rPr>
          <w:sz w:val="20"/>
          <w:szCs w:val="20"/>
          <w:color w:val="auto"/>
        </w:rPr>
      </w:pPr>
      <w:r>
        <w:rPr>
          <w:rFonts w:ascii="Arial" w:cs="Arial" w:eastAsia="Arial" w:hAnsi="Arial"/>
          <w:sz w:val="15"/>
          <w:szCs w:val="15"/>
          <w:color w:val="003478"/>
        </w:rPr>
        <w:t>Additional Information and Other Matters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475C90"/>
        </w:rPr>
        <w:t>Disclosure Regarding Forward-Looking Statements</w:t>
      </w:r>
    </w:p>
    <w:p>
      <w:pPr>
        <w:spacing w:after="0" w:line="7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This Proxy Statement contains statements that, to the extent they are not recitations of historical fact, constitute forward-looking statements within the meaning of the federal securities laws, and are based on Lockheed Martin’s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sectPr>
          <w:pgSz w:w="11900" w:h="16838" w:orient="portrait"/>
          <w:cols w:equalWidth="0" w:num="1">
            <w:col w:w="11220"/>
          </w:cols>
          <w:pgMar w:left="320" w:top="609" w:right="359" w:bottom="1440" w:gutter="0" w:footer="0" w:header="0"/>
        </w:sectPr>
      </w:pPr>
    </w:p>
    <w:p>
      <w:pPr>
        <w:spacing w:after="0" w:line="14" w:lineRule="exact"/>
        <w:rPr>
          <w:sz w:val="20"/>
          <w:szCs w:val="20"/>
          <w:color w:val="auto"/>
        </w:rPr>
      </w:pPr>
    </w:p>
    <w:p>
      <w:pPr>
        <w:ind w:left="260" w:right="60" w:hanging="153"/>
        <w:spacing w:after="0" w:line="200" w:lineRule="auto"/>
        <w:tabs>
          <w:tab w:leader="none" w:pos="235"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the impact of COVID-19 or future pandemics or epidemics on our business, including the potential for facility closures or work stoppages, supply chain disruptions, program delays, our ability to recover our costs under contracts, and changing government funding and acquisition priorities and payment policies and regulations;</w:t>
      </w:r>
    </w:p>
    <w:p>
      <w:pPr>
        <w:spacing w:after="0" w:line="2" w:lineRule="exact"/>
        <w:rPr>
          <w:rFonts w:ascii="Arial" w:cs="Arial" w:eastAsia="Arial" w:hAnsi="Arial"/>
          <w:sz w:val="16"/>
          <w:szCs w:val="16"/>
          <w:color w:val="002E6D"/>
        </w:rPr>
      </w:pPr>
    </w:p>
    <w:p>
      <w:pPr>
        <w:ind w:left="260" w:hanging="153"/>
        <w:spacing w:after="0" w:line="198" w:lineRule="auto"/>
        <w:tabs>
          <w:tab w:leader="none" w:pos="235"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the Corporation’s reliance on contracts with the U.S. Government, which are conditioned upon the availability of funding and can be terminated by the U.S. Government for convenience, and the Corporation’s ability to negotiate favorable contract terms;</w:t>
      </w:r>
    </w:p>
    <w:p>
      <w:pPr>
        <w:ind w:left="260" w:right="300" w:hanging="153"/>
        <w:spacing w:after="0" w:line="202" w:lineRule="auto"/>
        <w:tabs>
          <w:tab w:leader="none" w:pos="23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budget uncertainty, affordability initiatives or the risk of future budget cuts;</w:t>
      </w:r>
    </w:p>
    <w:p>
      <w:pPr>
        <w:ind w:left="260" w:right="20" w:hanging="153"/>
        <w:spacing w:after="0" w:line="202" w:lineRule="auto"/>
        <w:tabs>
          <w:tab w:leader="none" w:pos="235"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risks related to the development, production, sustainment, performance, schedule, cost and requirements of complex and technologically advanced programs including the Corporation’s largest, the F-35 program;</w:t>
      </w:r>
    </w:p>
    <w:p>
      <w:pPr>
        <w:spacing w:after="0" w:line="1" w:lineRule="exact"/>
        <w:rPr>
          <w:rFonts w:ascii="Arial" w:cs="Arial" w:eastAsia="Arial" w:hAnsi="Arial"/>
          <w:sz w:val="16"/>
          <w:szCs w:val="16"/>
          <w:color w:val="002E6D"/>
        </w:rPr>
      </w:pPr>
    </w:p>
    <w:p>
      <w:pPr>
        <w:ind w:left="260" w:right="240" w:hanging="153"/>
        <w:spacing w:after="0" w:line="202" w:lineRule="auto"/>
        <w:tabs>
          <w:tab w:leader="none" w:pos="235"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planned production rates for significant programs; compliance with stringent performance and reliability standards; materials availability;</w:t>
      </w:r>
    </w:p>
    <w:p>
      <w:pPr>
        <w:ind w:left="260" w:right="20" w:hanging="153"/>
        <w:spacing w:after="0" w:line="202" w:lineRule="auto"/>
        <w:tabs>
          <w:tab w:leader="none" w:pos="235"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the performance and financial viability of key suppliers, teammates, joint ventures, joint venture partners, subcontractors and customers;</w:t>
      </w:r>
    </w:p>
    <w:p>
      <w:pPr>
        <w:ind w:left="260" w:right="40" w:hanging="153"/>
        <w:spacing w:after="0" w:line="200" w:lineRule="auto"/>
        <w:tabs>
          <w:tab w:leader="none" w:pos="235"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economic, industry, business and political conditions including their effects on governmental policy and government actions that disrupt our supply chain or prevent the sale or delivery of our products (such as delays in obtaining Congressional approvals for exports requiring Congressional notification and export license delays due to COVID-19);</w:t>
      </w:r>
    </w:p>
    <w:p>
      <w:pPr>
        <w:spacing w:after="0" w:line="2" w:lineRule="exact"/>
        <w:rPr>
          <w:rFonts w:ascii="Arial" w:cs="Arial" w:eastAsia="Arial" w:hAnsi="Arial"/>
          <w:sz w:val="16"/>
          <w:szCs w:val="16"/>
          <w:color w:val="002E6D"/>
        </w:rPr>
      </w:pPr>
    </w:p>
    <w:p>
      <w:pPr>
        <w:ind w:left="260" w:right="20" w:hanging="153"/>
        <w:spacing w:after="0" w:line="193" w:lineRule="auto"/>
        <w:tabs>
          <w:tab w:leader="none" w:pos="235"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trade policies or sanctions (including potential Chinese sanctions on us or our suppliers, teammates or partners; U.S. Government sanctions on Turkey and its removal from the F-35 program and potential U.S.</w:t>
      </w:r>
    </w:p>
    <w:p>
      <w:pPr>
        <w:spacing w:after="0" w:line="1" w:lineRule="exact"/>
        <w:rPr>
          <w:rFonts w:ascii="Arial" w:cs="Arial" w:eastAsia="Arial" w:hAnsi="Arial"/>
          <w:sz w:val="16"/>
          <w:szCs w:val="16"/>
          <w:color w:val="002E6D"/>
        </w:rPr>
      </w:pPr>
    </w:p>
    <w:p>
      <w:pPr>
        <w:ind w:left="260" w:right="280"/>
        <w:spacing w:after="0" w:line="202" w:lineRule="auto"/>
        <w:rPr>
          <w:rFonts w:ascii="Arial" w:cs="Arial" w:eastAsia="Arial" w:hAnsi="Arial"/>
          <w:sz w:val="16"/>
          <w:szCs w:val="16"/>
          <w:color w:val="002E6D"/>
        </w:rPr>
      </w:pPr>
      <w:r>
        <w:rPr>
          <w:rFonts w:ascii="Arial" w:cs="Arial" w:eastAsia="Arial" w:hAnsi="Arial"/>
          <w:sz w:val="16"/>
          <w:szCs w:val="16"/>
          <w:color w:val="auto"/>
        </w:rPr>
        <w:t>Government actions to restrict sales to the Kingdom of Saudi Arabia and the United Arab Emirates);</w:t>
      </w:r>
    </w:p>
    <w:p>
      <w:pPr>
        <w:ind w:left="260" w:right="280" w:hanging="153"/>
        <w:spacing w:after="0" w:line="199" w:lineRule="auto"/>
        <w:tabs>
          <w:tab w:leader="none" w:pos="235"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the Corporation's success expanding into and doing business in adjacent markets and internationally and the differing risks posed by international sales;</w:t>
      </w:r>
    </w:p>
    <w:p>
      <w:pPr>
        <w:spacing w:after="0" w:line="1" w:lineRule="exact"/>
        <w:rPr>
          <w:rFonts w:ascii="Arial" w:cs="Arial" w:eastAsia="Arial" w:hAnsi="Arial"/>
          <w:sz w:val="16"/>
          <w:szCs w:val="16"/>
          <w:color w:val="002E6D"/>
        </w:rPr>
      </w:pPr>
    </w:p>
    <w:p>
      <w:pPr>
        <w:ind w:left="240" w:hanging="133"/>
        <w:spacing w:after="0" w:line="228" w:lineRule="auto"/>
        <w:tabs>
          <w:tab w:leader="none" w:pos="240"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changes in foreign national priorities, and foreign government budgets;</w:t>
      </w:r>
    </w:p>
    <w:p>
      <w:pPr>
        <w:ind w:left="260" w:hanging="153"/>
        <w:spacing w:after="0" w:line="198" w:lineRule="auto"/>
        <w:tabs>
          <w:tab w:leader="none" w:pos="235"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the competitive environment for the Corporation’s products and services, including increased pricing pressures, aggressive pricing in the absence of cost realism evaluation criteria, competition from outside the aerospace and defense industry, and bid protests;</w:t>
      </w:r>
    </w:p>
    <w:p>
      <w:pPr>
        <w:ind w:left="240" w:hanging="133"/>
        <w:spacing w:after="0" w:line="211" w:lineRule="auto"/>
        <w:tabs>
          <w:tab w:leader="none" w:pos="240"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the timing and customer acceptance of product deliveries;</w:t>
      </w:r>
    </w:p>
    <w:p>
      <w:pPr>
        <w:ind w:left="260" w:hanging="153"/>
        <w:spacing w:after="0" w:line="208" w:lineRule="auto"/>
        <w:tabs>
          <w:tab w:leader="none" w:pos="235" w:val="left"/>
        </w:tabs>
        <w:numPr>
          <w:ilvl w:val="0"/>
          <w:numId w:val="130"/>
        </w:numPr>
        <w:rPr>
          <w:rFonts w:ascii="Arial" w:cs="Arial" w:eastAsia="Arial" w:hAnsi="Arial"/>
          <w:sz w:val="16"/>
          <w:szCs w:val="16"/>
          <w:color w:val="002E6D"/>
        </w:rPr>
      </w:pPr>
      <w:r>
        <w:rPr>
          <w:rFonts w:ascii="Arial" w:cs="Arial" w:eastAsia="Arial" w:hAnsi="Arial"/>
          <w:sz w:val="16"/>
          <w:szCs w:val="16"/>
          <w:color w:val="auto"/>
        </w:rPr>
        <w:t>the Corporation’s ability to continue to innovate and develop new products and to attract and retain key personnel and transfer knowledge to new personnel; the impact of work stoppages or other labor disruptions;</w:t>
      </w:r>
    </w:p>
    <w:p>
      <w:pPr>
        <w:spacing w:after="0" w:line="20" w:lineRule="exact"/>
        <w:rPr>
          <w:sz w:val="20"/>
          <w:szCs w:val="20"/>
          <w:color w:val="auto"/>
        </w:rPr>
      </w:pPr>
      <w:r>
        <w:rPr>
          <w:sz w:val="20"/>
          <w:szCs w:val="20"/>
          <w:color w:val="auto"/>
        </w:rPr>
        <w:br w:type="column"/>
      </w:r>
    </w:p>
    <w:p>
      <w:pPr>
        <w:ind w:left="157" w:right="360" w:hanging="157"/>
        <w:spacing w:after="0" w:line="211"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the impact of cyber or other security threats or other disruptions to the Corporation’s businesses;</w:t>
      </w:r>
    </w:p>
    <w:p>
      <w:pPr>
        <w:ind w:left="157" w:right="340" w:hanging="157"/>
        <w:spacing w:after="0" w:line="199"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the Corporation’s ability to implement and continue and the timing and impact of capitalization changes such as share repurchases and dividend payments;</w:t>
      </w:r>
    </w:p>
    <w:p>
      <w:pPr>
        <w:spacing w:after="0" w:line="1" w:lineRule="exact"/>
        <w:rPr>
          <w:rFonts w:ascii="Arial" w:cs="Arial" w:eastAsia="Arial" w:hAnsi="Arial"/>
          <w:sz w:val="16"/>
          <w:szCs w:val="16"/>
          <w:color w:val="002E6D"/>
        </w:rPr>
      </w:pPr>
    </w:p>
    <w:p>
      <w:pPr>
        <w:ind w:left="157" w:right="720" w:hanging="157"/>
        <w:spacing w:after="0" w:line="202"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the Corporation’s ability to recover costs under U.S. Government contracts and changes in contract mix;</w:t>
      </w:r>
    </w:p>
    <w:p>
      <w:pPr>
        <w:ind w:left="157" w:right="520" w:hanging="157"/>
        <w:spacing w:after="0" w:line="211"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the accuracy of the Corporation’s estimates and projections and the potential impact of changes in U.S. or foreign tax laws;</w:t>
      </w:r>
    </w:p>
    <w:p>
      <w:pPr>
        <w:ind w:left="157" w:right="220" w:hanging="157"/>
        <w:spacing w:after="0" w:line="198"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timing and estimates regarding pension funding and movements in interest rates and other changes that may affect pension plan assumptions, stockholders' equity, the level of the FAS/CAS adjustment and actual returns on pension plan assets;</w:t>
      </w:r>
    </w:p>
    <w:p>
      <w:pPr>
        <w:ind w:left="157" w:right="240" w:hanging="157"/>
        <w:spacing w:after="0" w:line="202"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the successful operation of joint ventures that we do not control and our ability to recover our investments;</w:t>
      </w:r>
    </w:p>
    <w:p>
      <w:pPr>
        <w:ind w:left="157" w:right="540" w:hanging="157"/>
        <w:spacing w:after="0" w:line="211" w:lineRule="auto"/>
        <w:tabs>
          <w:tab w:leader="none" w:pos="13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realizing the anticipated benefits of acquisitions or divestitures, joint ventures, teaming arrangements or internal reorganizations;</w:t>
      </w:r>
    </w:p>
    <w:p>
      <w:pPr>
        <w:ind w:left="157" w:right="620" w:hanging="157"/>
        <w:spacing w:after="0" w:line="196"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risks related to our previously announced acquisition of Aerojet Rocketdyne, including the failure to obtain, delays in obtaining or adverse conditions contained in any required regulatory or other approvals and our ability to successfully and timely integrate the business and realize synergies and other expected benefits of the transaction</w:t>
      </w:r>
    </w:p>
    <w:p>
      <w:pPr>
        <w:spacing w:after="0" w:line="2" w:lineRule="exact"/>
        <w:rPr>
          <w:rFonts w:ascii="Arial" w:cs="Arial" w:eastAsia="Arial" w:hAnsi="Arial"/>
          <w:sz w:val="16"/>
          <w:szCs w:val="16"/>
          <w:color w:val="002E6D"/>
        </w:rPr>
      </w:pPr>
    </w:p>
    <w:p>
      <w:pPr>
        <w:ind w:left="157" w:right="300" w:hanging="157"/>
        <w:spacing w:after="0" w:line="202"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the Corporation’s efforts to increase the efficiency of its operations and improve the affordability of its products and services;</w:t>
      </w:r>
    </w:p>
    <w:p>
      <w:pPr>
        <w:ind w:left="157" w:right="320" w:hanging="157"/>
        <w:spacing w:after="0" w:line="205" w:lineRule="auto"/>
        <w:tabs>
          <w:tab w:leader="none" w:pos="132" w:val="left"/>
        </w:tabs>
        <w:numPr>
          <w:ilvl w:val="0"/>
          <w:numId w:val="131"/>
        </w:numPr>
        <w:rPr>
          <w:rFonts w:ascii="Arial" w:cs="Arial" w:eastAsia="Arial" w:hAnsi="Arial"/>
          <w:sz w:val="16"/>
          <w:szCs w:val="16"/>
          <w:color w:val="auto"/>
        </w:rPr>
      </w:pPr>
      <w:r>
        <w:rPr>
          <w:rFonts w:ascii="Arial" w:cs="Arial" w:eastAsia="Arial" w:hAnsi="Arial"/>
          <w:sz w:val="14"/>
          <w:szCs w:val="14"/>
          <w:color w:val="002F6C"/>
        </w:rPr>
        <w:t xml:space="preserve">the </w:t>
      </w:r>
      <w:r>
        <w:rPr>
          <w:rFonts w:ascii="Arial" w:cs="Arial" w:eastAsia="Arial" w:hAnsi="Arial"/>
          <w:sz w:val="16"/>
          <w:szCs w:val="16"/>
          <w:color w:val="000000"/>
        </w:rPr>
        <w:t>risk of an impairment of the Corporation's assets, including the</w:t>
      </w:r>
      <w:r>
        <w:rPr>
          <w:rFonts w:ascii="Arial" w:cs="Arial" w:eastAsia="Arial" w:hAnsi="Arial"/>
          <w:sz w:val="14"/>
          <w:szCs w:val="14"/>
          <w:color w:val="002F6C"/>
        </w:rPr>
        <w:t xml:space="preserve"> </w:t>
      </w:r>
      <w:r>
        <w:rPr>
          <w:rFonts w:ascii="Arial" w:cs="Arial" w:eastAsia="Arial" w:hAnsi="Arial"/>
          <w:sz w:val="16"/>
          <w:szCs w:val="16"/>
          <w:color w:val="000000"/>
        </w:rPr>
        <w:t>potential impairment of goodwill recorded as a result of the acquisition of the Sikorsky business;</w:t>
      </w:r>
    </w:p>
    <w:p>
      <w:pPr>
        <w:spacing w:after="0" w:line="1" w:lineRule="exact"/>
        <w:rPr>
          <w:rFonts w:ascii="Arial" w:cs="Arial" w:eastAsia="Arial" w:hAnsi="Arial"/>
          <w:sz w:val="16"/>
          <w:szCs w:val="16"/>
          <w:color w:val="auto"/>
        </w:rPr>
      </w:pPr>
    </w:p>
    <w:p>
      <w:pPr>
        <w:ind w:left="157" w:right="760" w:hanging="157"/>
        <w:spacing w:after="0" w:line="202"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the availability and adequacy of the Corporation’s insurance and indemnities;</w:t>
      </w:r>
    </w:p>
    <w:p>
      <w:pPr>
        <w:ind w:left="157" w:right="600" w:hanging="157"/>
        <w:spacing w:after="0" w:line="202"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our ability to benefit fully from or adequately protect our intellectual property rights;</w:t>
      </w:r>
    </w:p>
    <w:p>
      <w:pPr>
        <w:ind w:left="157" w:right="280" w:hanging="157"/>
        <w:spacing w:after="0" w:line="200"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procurement and other regulations and policies affecting our industry, export of our products, cost allowability or recovery, preferred contract type, and performance and progress payments policy, including a reversal or modification to the DoD’s increase to the progress payment rate in response to COVID-19;</w:t>
      </w:r>
    </w:p>
    <w:p>
      <w:pPr>
        <w:spacing w:after="0" w:line="2" w:lineRule="exact"/>
        <w:rPr>
          <w:rFonts w:ascii="Arial" w:cs="Arial" w:eastAsia="Arial" w:hAnsi="Arial"/>
          <w:sz w:val="16"/>
          <w:szCs w:val="16"/>
          <w:color w:val="002E6D"/>
        </w:rPr>
      </w:pPr>
    </w:p>
    <w:p>
      <w:pPr>
        <w:ind w:left="157" w:right="180" w:hanging="157"/>
        <w:spacing w:after="0" w:line="202"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the effect of changes in accounting, taxation, or export laws, regulations, and policies and their interpretation or application; and</w:t>
      </w:r>
    </w:p>
    <w:p>
      <w:pPr>
        <w:ind w:left="157" w:right="280" w:hanging="157"/>
        <w:spacing w:after="0" w:line="205" w:lineRule="auto"/>
        <w:tabs>
          <w:tab w:leader="none" w:pos="132"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the outcome of legal proceedings, bid protests, environmental remediation efforts, audits, government investigations or government allegations that the Corporation has failed to comply with law, other contingencies and U.S. Government identification of deficiencies in the Corporation’s business systems.</w:t>
      </w:r>
    </w:p>
    <w:p>
      <w:pPr>
        <w:spacing w:after="0" w:line="65" w:lineRule="exact"/>
        <w:rPr>
          <w:sz w:val="20"/>
          <w:szCs w:val="20"/>
          <w:color w:val="auto"/>
        </w:rPr>
      </w:pPr>
    </w:p>
    <w:p>
      <w:pPr>
        <w:sectPr>
          <w:pgSz w:w="11900" w:h="16838" w:orient="portrait"/>
          <w:cols w:equalWidth="0" w:num="2">
            <w:col w:w="5420" w:space="303"/>
            <w:col w:w="5497"/>
          </w:cols>
          <w:pgMar w:left="320" w:top="609" w:right="359" w:bottom="1440" w:gutter="0" w:footer="0" w:header="0"/>
          <w:type w:val="continuous"/>
        </w:sectPr>
      </w:pPr>
    </w:p>
    <w:p>
      <w:pPr>
        <w:ind w:right="120"/>
        <w:spacing w:after="0" w:line="246" w:lineRule="auto"/>
        <w:rPr>
          <w:sz w:val="20"/>
          <w:szCs w:val="20"/>
          <w:color w:val="auto"/>
        </w:rPr>
      </w:pPr>
      <w:r>
        <w:rPr>
          <w:rFonts w:ascii="Arial" w:cs="Arial" w:eastAsia="Arial" w:hAnsi="Arial"/>
          <w:sz w:val="16"/>
          <w:szCs w:val="16"/>
          <w:color w:val="auto"/>
        </w:rPr>
        <w:t xml:space="preserve">These are only some of the factors that may affect the forward-looking statements contained in this Proxy Statement. For a discussion identifying additional important factors that could cause actual results to differ materially from those anticipated in the forward-looking statements, see the Corporation’s filings with the SEC including, but not limited to, “Management’s Discussion and Analysis of Financial Condition and Results of Operations” and “Risk Factors” in the Corporation’s Annual Report on Form 10-K for the year ended Dec. 31, 2020 and subsequent quarterly reports on Form 10-Q. The Corporation’s filings may be accessed through the Investor Relations page of its website, </w:t>
      </w:r>
      <w:r>
        <w:rPr>
          <w:rFonts w:ascii="Arial" w:cs="Arial" w:eastAsia="Arial" w:hAnsi="Arial"/>
          <w:sz w:val="16"/>
          <w:szCs w:val="16"/>
          <w:i w:val="1"/>
          <w:iCs w:val="1"/>
          <w:color w:val="auto"/>
        </w:rPr>
        <w:t>www.lockheedmartin.com/investor</w:t>
      </w:r>
      <w:r>
        <w:rPr>
          <w:rFonts w:ascii="Arial" w:cs="Arial" w:eastAsia="Arial" w:hAnsi="Arial"/>
          <w:sz w:val="16"/>
          <w:szCs w:val="16"/>
          <w:color w:val="auto"/>
        </w:rPr>
        <w:t>, or through the website maintained by the SEC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5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Corporation’s actual financial results likely will be different from those projected due to the inherent nature of projections. Given these uncertainties, forward-looking statements should not be relied on in making investment decisions. The forward-looking statements contained in this Proxy Statement speak only as of the date of its filing. Except where required by applicable law, the Corporation expressly disclaims a duty to provide updates to forward-looking statements after the date of this Proxy Statement to reflect subsequent events, changed circumstances, changes in expectations, or the estimates and assumptions associated with them. The forward-looking statements in this Proxy Statement are intended to be subject to the safe harbor protection provided by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205740</wp:posOffset>
            </wp:positionV>
            <wp:extent cx="969010" cy="2228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69010" cy="2228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94</w:t>
      </w:r>
    </w:p>
    <w:p>
      <w:pPr>
        <w:sectPr>
          <w:pgSz w:w="11900" w:h="16838" w:orient="portrait"/>
          <w:cols w:equalWidth="0" w:num="1">
            <w:col w:w="11220"/>
          </w:cols>
          <w:pgMar w:left="320" w:top="609" w:right="359" w:bottom="1440" w:gutter="0" w:footer="0" w:header="0"/>
          <w:type w:val="continuous"/>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475C90"/>
        </w:rPr>
        <w:t>Lockheed Martin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475C90"/>
        </w:rPr>
        <w:t>6801 Rockledge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475C90"/>
        </w:rPr>
        <w:t>Bethesda, MD 20817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475C90"/>
        </w:rPr>
        <w:t>www.lockheedmartin.com</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475C90"/>
        </w:rPr>
        <w:t>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475C90"/>
        </w:rPr>
        <w:t>© 2021 Lockheed Martin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556895" cy="8401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6895" cy="84010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5880735" cy="76123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5880735" cy="76123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5880735" cy="76123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5880735" cy="76123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5880735" cy="76123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5880735" cy="76123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5034280</wp:posOffset>
            </wp:positionH>
            <wp:positionV relativeFrom="page">
              <wp:posOffset>885825</wp:posOffset>
            </wp:positionV>
            <wp:extent cx="2297430" cy="5740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29743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39"/>
          <w:szCs w:val="39"/>
          <w:b w:val="1"/>
          <w:bCs w:val="1"/>
          <w:i w:val="1"/>
          <w:iCs w:val="1"/>
          <w:color w:val="005FAF"/>
        </w:rPr>
        <w:t>Memorandum</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March 15, 2021</w:t>
      </w:r>
    </w:p>
    <w:p>
      <w:pPr>
        <w:spacing w:after="0" w:line="200" w:lineRule="exact"/>
        <w:rPr>
          <w:sz w:val="20"/>
          <w:szCs w:val="20"/>
          <w:color w:val="auto"/>
        </w:rPr>
      </w:pPr>
    </w:p>
    <w:p>
      <w:pPr>
        <w:sectPr>
          <w:pgSz w:w="11900" w:h="16838" w:orient="portrait"/>
          <w:cols w:equalWidth="0" w:num="2">
            <w:col w:w="580" w:space="440"/>
            <w:col w:w="10140"/>
          </w:cols>
          <w:pgMar w:left="320" w:top="1440" w:right="41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TO:</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Lockheed Martin Savings Plan Participants</w:t>
      </w:r>
    </w:p>
    <w:p>
      <w:pPr>
        <w:spacing w:after="0" w:line="211" w:lineRule="exact"/>
        <w:rPr>
          <w:sz w:val="20"/>
          <w:szCs w:val="20"/>
          <w:color w:val="auto"/>
        </w:rPr>
      </w:pPr>
    </w:p>
    <w:p>
      <w:pPr>
        <w:sectPr>
          <w:pgSz w:w="11900" w:h="16838" w:orient="portrait"/>
          <w:cols w:equalWidth="0" w:num="2">
            <w:col w:w="340" w:space="440"/>
            <w:col w:w="10380"/>
          </w:cols>
          <w:pgMar w:left="320" w:top="1440" w:right="419" w:bottom="1440" w:gutter="0" w:footer="0" w:header="0"/>
          <w:type w:val="continuous"/>
        </w:sectPr>
      </w:pPr>
    </w:p>
    <w:p>
      <w:pPr>
        <w:spacing w:after="0" w:line="70"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color w:val="auto"/>
        </w:rPr>
        <w:t>FROM:</w:t>
      </w:r>
      <w:r>
        <w:rPr>
          <w:sz w:val="20"/>
          <w:szCs w:val="20"/>
          <w:color w:val="auto"/>
        </w:rPr>
        <w:tab/>
      </w:r>
      <w:r>
        <w:rPr>
          <w:rFonts w:ascii="Arial" w:cs="Arial" w:eastAsia="Arial" w:hAnsi="Arial"/>
          <w:sz w:val="19"/>
          <w:szCs w:val="19"/>
          <w:color w:val="auto"/>
        </w:rPr>
        <w:t>Maryanne R. Lavan, Senior Vice President, General Counsel and</w:t>
      </w:r>
    </w:p>
    <w:p>
      <w:pPr>
        <w:sectPr>
          <w:pgSz w:w="11900" w:h="16838" w:orient="portrait"/>
          <w:cols w:equalWidth="0" w:num="1">
            <w:col w:w="11160"/>
          </w:cols>
          <w:pgMar w:left="320" w:top="1440" w:right="419" w:bottom="1440" w:gutter="0" w:footer="0" w:header="0"/>
          <w:type w:val="continuous"/>
        </w:sectPr>
      </w:pPr>
    </w:p>
    <w:p>
      <w:pPr>
        <w:spacing w:after="0" w:line="3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Corporate Secretary</w:t>
      </w: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SUBJECT:</w:t>
        <w:tab/>
        <w:t>Important Notice Regarding Availability of Lockheed Martin Proxy Materials</w:t>
      </w:r>
    </w:p>
    <w:p>
      <w:pPr>
        <w:spacing w:after="0" w:line="200" w:lineRule="exact"/>
        <w:rPr>
          <w:sz w:val="20"/>
          <w:szCs w:val="20"/>
          <w:color w:val="auto"/>
        </w:rPr>
      </w:pPr>
    </w:p>
    <w:p>
      <w:pPr>
        <w:spacing w:after="0" w:line="313" w:lineRule="exact"/>
        <w:rPr>
          <w:sz w:val="20"/>
          <w:szCs w:val="20"/>
          <w:color w:val="auto"/>
        </w:rPr>
      </w:pPr>
    </w:p>
    <w:p>
      <w:pPr>
        <w:ind w:right="240"/>
        <w:spacing w:after="0" w:line="270" w:lineRule="auto"/>
        <w:rPr>
          <w:sz w:val="20"/>
          <w:szCs w:val="20"/>
          <w:color w:val="auto"/>
        </w:rPr>
      </w:pPr>
      <w:r>
        <w:rPr>
          <w:rFonts w:ascii="Arial" w:cs="Arial" w:eastAsia="Arial" w:hAnsi="Arial"/>
          <w:sz w:val="20"/>
          <w:szCs w:val="20"/>
          <w:color w:val="auto"/>
        </w:rPr>
        <w:t>Lockheed Martin employees are the largest holders of our common stock (representing approximately 11 percent of our outstanding shares). As a Lockheed Martin savings plan participant, you are entitled to vote your shares held through the Lockheed Martin savings plans on the matters to be voted upon at the Corporation’s Annual Meeting of Stockholders on April 22, 2021.</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Tomorrow, you will receive an email from Computershare Trust Company, N.A. (</w:t>
      </w:r>
      <w:r>
        <w:rPr>
          <w:rFonts w:ascii="Arial" w:cs="Arial" w:eastAsia="Arial" w:hAnsi="Arial"/>
          <w:sz w:val="20"/>
          <w:szCs w:val="20"/>
          <w:u w:val="single" w:color="auto"/>
          <w:color w:val="auto"/>
        </w:rPr>
        <w:t>cpucommunications.com</w:t>
      </w:r>
      <w:r>
        <w:rPr>
          <w:rFonts w:ascii="Arial" w:cs="Arial" w:eastAsia="Arial" w:hAnsi="Arial"/>
          <w:sz w:val="20"/>
          <w:szCs w:val="20"/>
          <w:color w:val="auto"/>
        </w:rPr>
        <w:t>), our independent registrar and transfer agent, with a subject line of “Important Notice Regarding Availability of Lockheed Martin Proxy Materials.” The email will include a link to the Corporation’s 2020 Annual Report and 2021 Proxy Statement (together, the Proxy Materials). It will also contain information on how to vote your shares confidentially through the Internet or by telephone.</w:t>
      </w:r>
    </w:p>
    <w:p>
      <w:pPr>
        <w:spacing w:after="0" w:line="234" w:lineRule="exact"/>
        <w:rPr>
          <w:sz w:val="20"/>
          <w:szCs w:val="20"/>
          <w:color w:val="auto"/>
        </w:rPr>
      </w:pPr>
    </w:p>
    <w:p>
      <w:pPr>
        <w:ind w:right="240"/>
        <w:spacing w:after="0" w:line="270" w:lineRule="auto"/>
        <w:rPr>
          <w:sz w:val="20"/>
          <w:szCs w:val="20"/>
          <w:color w:val="auto"/>
        </w:rPr>
      </w:pPr>
      <w:r>
        <w:rPr>
          <w:rFonts w:ascii="Arial" w:cs="Arial" w:eastAsia="Arial" w:hAnsi="Arial"/>
          <w:sz w:val="20"/>
          <w:szCs w:val="20"/>
          <w:u w:val="single" w:color="auto"/>
          <w:color w:val="auto"/>
        </w:rPr>
        <w:t>Your vote is very important</w:t>
      </w:r>
      <w:r>
        <w:rPr>
          <w:rFonts w:ascii="Arial" w:cs="Arial" w:eastAsia="Arial" w:hAnsi="Arial"/>
          <w:sz w:val="20"/>
          <w:szCs w:val="20"/>
          <w:color w:val="auto"/>
        </w:rPr>
        <w:t>. Please look for your email from Computershare and vote promptly. Note that you may receive multiple proxy packages and voting instructions (electronically and/or by mail). These materials may not be duplicates as you may hold shares of Lockheed Martin stock in multiple accounts. Please be sure to vote all of your shares in each of your accounts in accordance with the directions on the proxy card(s) and/or voting instruction form(s) you receive.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A hard copy of the Proxy Materials can be requested by calling toll free 1-877-223-3863 or 1-267-468-0767, if outside the U.S.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Requests will be fulfilled until 3:00 p.m. Eastern Daylight Time on April 12, 2021.</w:t>
      </w:r>
    </w:p>
    <w:p>
      <w:pPr>
        <w:spacing w:after="0" w:line="270" w:lineRule="exact"/>
        <w:rPr>
          <w:sz w:val="20"/>
          <w:szCs w:val="20"/>
          <w:color w:val="auto"/>
        </w:rPr>
      </w:pPr>
    </w:p>
    <w:p>
      <w:pPr>
        <w:jc w:val="both"/>
        <w:ind w:right="300"/>
        <w:spacing w:after="0" w:line="271" w:lineRule="auto"/>
        <w:rPr>
          <w:sz w:val="20"/>
          <w:szCs w:val="20"/>
          <w:color w:val="auto"/>
        </w:rPr>
      </w:pPr>
      <w:r>
        <w:rPr>
          <w:rFonts w:ascii="Arial" w:cs="Arial" w:eastAsia="Arial" w:hAnsi="Arial"/>
          <w:sz w:val="20"/>
          <w:szCs w:val="20"/>
          <w:color w:val="auto"/>
        </w:rPr>
        <w:t>Please note: computer settings vary and unknown email addresses, such as those from Computershare, may sometimes be directed to your “Junk Email” folder. If you do not see the email from Computershare in your inbox, check your “Junk Email” folder.</w:t>
      </w:r>
    </w:p>
    <w:p>
      <w:pPr>
        <w:sectPr>
          <w:pgSz w:w="11900" w:h="16838" w:orient="portrait"/>
          <w:cols w:equalWidth="0" w:num="1">
            <w:col w:w="11160"/>
          </w:cols>
          <w:pgMar w:left="320" w:top="1440" w:right="419" w:bottom="1440" w:gutter="0" w:footer="0" w:header="0"/>
          <w:type w:val="continuous"/>
        </w:sectPr>
      </w:pPr>
    </w:p>
    <w:bookmarkStart w:id="106" w:name="page107"/>
    <w:bookmarkEnd w:id="106"/>
    <w:p>
      <w:pPr>
        <w:jc w:val="center"/>
        <w:ind w:right="-119"/>
        <w:spacing w:after="0"/>
        <w:rPr>
          <w:sz w:val="20"/>
          <w:szCs w:val="20"/>
          <w:color w:val="auto"/>
        </w:rPr>
      </w:pPr>
      <w:r>
        <w:rPr>
          <w:rFonts w:ascii="Arial" w:cs="Arial" w:eastAsia="Arial" w:hAnsi="Arial"/>
          <w:sz w:val="22"/>
          <w:szCs w:val="22"/>
          <w:b w:val="1"/>
          <w:bCs w:val="1"/>
          <w:color w:val="auto"/>
        </w:rPr>
        <w:t xml:space="preserve">Email to Employee Plan Participants </w:t>
      </w:r>
      <w:r>
        <w:rPr>
          <w:rFonts w:ascii="Arial" w:cs="Arial" w:eastAsia="Arial" w:hAnsi="Arial"/>
          <w:sz w:val="22"/>
          <w:szCs w:val="22"/>
          <w:color w:val="auto"/>
        </w:rPr>
        <w:t>(to be sent 03/16/2021)</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Email subject will be:</w:t>
      </w:r>
    </w:p>
    <w:p>
      <w:pPr>
        <w:ind w:right="5500"/>
        <w:spacing w:after="0" w:line="238" w:lineRule="auto"/>
        <w:rPr>
          <w:sz w:val="20"/>
          <w:szCs w:val="20"/>
          <w:color w:val="auto"/>
        </w:rPr>
      </w:pPr>
      <w:r>
        <w:rPr>
          <w:rFonts w:ascii="Arial" w:cs="Arial" w:eastAsia="Arial" w:hAnsi="Arial"/>
          <w:sz w:val="22"/>
          <w:szCs w:val="22"/>
          <w:color w:val="auto"/>
        </w:rPr>
        <w:t>Important Notice Regarding Availability of Lockheed Martin Proxy Materials</w:t>
      </w:r>
    </w:p>
    <w:p>
      <w:pPr>
        <w:spacing w:after="0" w:line="200" w:lineRule="exact"/>
        <w:rPr>
          <w:sz w:val="20"/>
          <w:szCs w:val="20"/>
          <w:color w:val="auto"/>
        </w:rPr>
      </w:pPr>
    </w:p>
    <w:p>
      <w:pPr>
        <w:spacing w:after="0" w:line="244" w:lineRule="exact"/>
        <w:rPr>
          <w:sz w:val="20"/>
          <w:szCs w:val="20"/>
          <w:color w:val="auto"/>
        </w:rPr>
      </w:pPr>
    </w:p>
    <w:p>
      <w:pPr>
        <w:ind w:right="740"/>
        <w:spacing w:after="0" w:line="261" w:lineRule="auto"/>
        <w:rPr>
          <w:sz w:val="20"/>
          <w:szCs w:val="20"/>
          <w:color w:val="auto"/>
        </w:rPr>
      </w:pPr>
      <w:r>
        <w:rPr>
          <w:rFonts w:ascii="Arial" w:cs="Arial" w:eastAsia="Arial" w:hAnsi="Arial"/>
          <w:sz w:val="22"/>
          <w:szCs w:val="22"/>
          <w:b w:val="1"/>
          <w:bCs w:val="1"/>
          <w:color w:val="auto"/>
        </w:rPr>
        <w:t>Annual Report, Proxy Statement and Voting Instructions for the Lockheed Martin Corporation Annual Meeting of Stockholders on April 22, 2021</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Proxy Login Control Number: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To: Lockheed Martin Corporation Savings Plan Participants</w:t>
      </w:r>
    </w:p>
    <w:p>
      <w:pPr>
        <w:spacing w:after="0" w:line="233"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 xml:space="preserve">You are receiving this email because you are a participant in a Lockheed Martin Corporation savings plan. Instead of receiving your 2020 Annual Report and 2021 Proxy Statement (Proxy Materials) by mail, you can conveniently access your Proxy Materials and vote online at </w:t>
      </w:r>
      <w:r>
        <w:rPr>
          <w:rFonts w:ascii="Arial" w:cs="Arial" w:eastAsia="Arial" w:hAnsi="Arial"/>
          <w:sz w:val="22"/>
          <w:szCs w:val="22"/>
          <w:u w:val="single" w:color="auto"/>
          <w:color w:val="0000FF"/>
        </w:rPr>
        <w:t>www.investorvote.com</w:t>
      </w:r>
      <w:r>
        <w:rPr>
          <w:rFonts w:ascii="Arial" w:cs="Arial" w:eastAsia="Arial" w:hAnsi="Arial"/>
          <w:sz w:val="22"/>
          <w:szCs w:val="22"/>
          <w:color w:val="auto"/>
        </w:rPr>
        <w:t>. To view the Proxy Materials and cast your vote, enter the Proxy Login Control Number above (without any spaces) and follow the on-screen instructions.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To obtain a hard copy of Proxy Materials (free of charge):</w:t>
      </w:r>
    </w:p>
    <w:p>
      <w:pPr>
        <w:ind w:left="640" w:hanging="308"/>
        <w:spacing w:after="0" w:line="230" w:lineRule="auto"/>
        <w:tabs>
          <w:tab w:leader="none" w:pos="640" w:val="left"/>
        </w:tabs>
        <w:numPr>
          <w:ilvl w:val="0"/>
          <w:numId w:val="132"/>
        </w:numPr>
        <w:rPr>
          <w:rFonts w:ascii="Arial" w:cs="Arial" w:eastAsia="Arial" w:hAnsi="Arial"/>
          <w:sz w:val="20"/>
          <w:szCs w:val="20"/>
          <w:color w:val="auto"/>
        </w:rPr>
      </w:pPr>
      <w:r>
        <w:rPr>
          <w:rFonts w:ascii="Arial" w:cs="Arial" w:eastAsia="Arial" w:hAnsi="Arial"/>
          <w:sz w:val="22"/>
          <w:szCs w:val="22"/>
          <w:color w:val="auto"/>
        </w:rPr>
        <w:t>Call 1-877-223-3863 within the U.S.</w:t>
      </w:r>
    </w:p>
    <w:p>
      <w:pPr>
        <w:ind w:left="640" w:hanging="308"/>
        <w:spacing w:after="0" w:line="230" w:lineRule="auto"/>
        <w:tabs>
          <w:tab w:leader="none" w:pos="640" w:val="left"/>
        </w:tabs>
        <w:numPr>
          <w:ilvl w:val="0"/>
          <w:numId w:val="132"/>
        </w:numPr>
        <w:rPr>
          <w:rFonts w:ascii="Arial" w:cs="Arial" w:eastAsia="Arial" w:hAnsi="Arial"/>
          <w:sz w:val="20"/>
          <w:szCs w:val="20"/>
          <w:color w:val="auto"/>
        </w:rPr>
      </w:pPr>
      <w:r>
        <w:rPr>
          <w:rFonts w:ascii="Arial" w:cs="Arial" w:eastAsia="Arial" w:hAnsi="Arial"/>
          <w:sz w:val="22"/>
          <w:szCs w:val="22"/>
          <w:color w:val="auto"/>
        </w:rPr>
        <w:t>Call 1-267-468-0767 from outside the U.S.</w:t>
      </w:r>
    </w:p>
    <w:p>
      <w:pPr>
        <w:ind w:left="640" w:hanging="308"/>
        <w:spacing w:after="0"/>
        <w:tabs>
          <w:tab w:leader="none" w:pos="640" w:val="left"/>
        </w:tabs>
        <w:numPr>
          <w:ilvl w:val="0"/>
          <w:numId w:val="132"/>
        </w:numPr>
        <w:rPr>
          <w:rFonts w:ascii="Arial" w:cs="Arial" w:eastAsia="Arial" w:hAnsi="Arial"/>
          <w:sz w:val="20"/>
          <w:szCs w:val="20"/>
          <w:color w:val="auto"/>
        </w:rPr>
      </w:pPr>
      <w:r>
        <w:rPr>
          <w:rFonts w:ascii="Arial" w:cs="Arial" w:eastAsia="Arial" w:hAnsi="Arial"/>
          <w:sz w:val="22"/>
          <w:szCs w:val="22"/>
          <w:color w:val="auto"/>
        </w:rPr>
        <w:t>Requests must be received by 3:00 p.m., Eastern Daylight Time, on April 12, 2021</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Voting deadline:</w:t>
      </w:r>
    </w:p>
    <w:p>
      <w:pPr>
        <w:ind w:left="640" w:hanging="308"/>
        <w:spacing w:after="0"/>
        <w:tabs>
          <w:tab w:leader="none" w:pos="640" w:val="left"/>
        </w:tabs>
        <w:numPr>
          <w:ilvl w:val="0"/>
          <w:numId w:val="133"/>
        </w:numPr>
        <w:rPr>
          <w:rFonts w:ascii="Arial" w:cs="Arial" w:eastAsia="Arial" w:hAnsi="Arial"/>
          <w:sz w:val="20"/>
          <w:szCs w:val="20"/>
          <w:color w:val="auto"/>
        </w:rPr>
      </w:pPr>
      <w:r>
        <w:rPr>
          <w:rFonts w:ascii="Arial" w:cs="Arial" w:eastAsia="Arial" w:hAnsi="Arial"/>
          <w:sz w:val="22"/>
          <w:szCs w:val="22"/>
          <w:color w:val="auto"/>
        </w:rPr>
        <w:t>11:59 p.m., Eastern Daylight Time, on Monday, April 19, 2021</w:t>
      </w:r>
    </w:p>
    <w:p>
      <w:pPr>
        <w:spacing w:after="0" w:line="233" w:lineRule="exact"/>
        <w:rPr>
          <w:sz w:val="20"/>
          <w:szCs w:val="20"/>
          <w:color w:val="auto"/>
        </w:rPr>
      </w:pPr>
    </w:p>
    <w:p>
      <w:pPr>
        <w:ind w:right="400"/>
        <w:spacing w:after="0" w:line="234" w:lineRule="auto"/>
        <w:rPr>
          <w:sz w:val="20"/>
          <w:szCs w:val="20"/>
          <w:color w:val="auto"/>
        </w:rPr>
      </w:pPr>
      <w:r>
        <w:rPr>
          <w:rFonts w:ascii="Arial" w:cs="Arial" w:eastAsia="Arial" w:hAnsi="Arial"/>
          <w:sz w:val="22"/>
          <w:szCs w:val="22"/>
          <w:color w:val="auto"/>
        </w:rPr>
        <w:t xml:space="preserve">Please note that you may receive multiple proxy packages and voting instructions (electronically and/or by mail). These materials may not be duplicates as you may hold shares of Lockheed Martin stock in multiple accounts. Please be sure to vote </w:t>
      </w:r>
      <w:r>
        <w:rPr>
          <w:rFonts w:ascii="Arial" w:cs="Arial" w:eastAsia="Arial" w:hAnsi="Arial"/>
          <w:sz w:val="22"/>
          <w:szCs w:val="22"/>
          <w:i w:val="1"/>
          <w:iCs w:val="1"/>
          <w:color w:val="auto"/>
        </w:rPr>
        <w:t>all of your shares</w:t>
      </w:r>
      <w:r>
        <w:rPr>
          <w:rFonts w:ascii="Arial" w:cs="Arial" w:eastAsia="Arial" w:hAnsi="Arial"/>
          <w:sz w:val="22"/>
          <w:szCs w:val="22"/>
          <w:color w:val="auto"/>
        </w:rPr>
        <w:t xml:space="preserve"> in each of your accounts in accordance with the directions on the proxy card(s) and/or voting instruction form(s) you receive.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Please cast your vote today!</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Computershare Trust Company, N.A.</w:t>
      </w:r>
    </w:p>
    <w:p>
      <w:pPr>
        <w:spacing w:after="0"/>
        <w:rPr>
          <w:sz w:val="20"/>
          <w:szCs w:val="20"/>
          <w:color w:val="auto"/>
        </w:rPr>
      </w:pPr>
      <w:r>
        <w:rPr>
          <w:rFonts w:ascii="Arial" w:cs="Arial" w:eastAsia="Arial" w:hAnsi="Arial"/>
          <w:sz w:val="22"/>
          <w:szCs w:val="22"/>
          <w:color w:val="auto"/>
        </w:rPr>
        <w:t>Independent Registrar and Transfer Agent for Lockheed Martin Corporation</w:t>
      </w:r>
    </w:p>
    <w:p>
      <w:pPr>
        <w:sectPr>
          <w:pgSz w:w="11900" w:h="16838" w:orient="portrait"/>
          <w:cols w:equalWidth="0" w:num="1">
            <w:col w:w="11120"/>
          </w:cols>
          <w:pgMar w:left="320" w:top="1295" w:right="459" w:bottom="1440" w:gutter="0" w:footer="0" w:header="0"/>
        </w:sectPr>
      </w:pPr>
    </w:p>
    <w:bookmarkStart w:id="107" w:name="page108"/>
    <w:bookmarkEnd w:id="107"/>
    <w:p>
      <w:pPr>
        <w:jc w:val="center"/>
        <w:ind w:right="-119"/>
        <w:spacing w:after="0"/>
        <w:rPr>
          <w:sz w:val="20"/>
          <w:szCs w:val="20"/>
          <w:color w:val="auto"/>
        </w:rPr>
      </w:pPr>
      <w:r>
        <w:rPr>
          <w:rFonts w:ascii="Arial" w:cs="Arial" w:eastAsia="Arial" w:hAnsi="Arial"/>
          <w:sz w:val="22"/>
          <w:szCs w:val="22"/>
          <w:b w:val="1"/>
          <w:bCs w:val="1"/>
          <w:color w:val="auto"/>
        </w:rPr>
        <w:t>Email Reminder to Employee Plan Participants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Email will have date when sent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Email subject will be:</w:t>
      </w:r>
    </w:p>
    <w:p>
      <w:pPr>
        <w:ind w:right="3700"/>
        <w:spacing w:after="0" w:line="238" w:lineRule="auto"/>
        <w:rPr>
          <w:sz w:val="20"/>
          <w:szCs w:val="20"/>
          <w:color w:val="auto"/>
        </w:rPr>
      </w:pPr>
      <w:r>
        <w:rPr>
          <w:rFonts w:ascii="Arial" w:cs="Arial" w:eastAsia="Arial" w:hAnsi="Arial"/>
          <w:sz w:val="22"/>
          <w:szCs w:val="22"/>
          <w:color w:val="auto"/>
        </w:rPr>
        <w:t>Reminder Notice - Important Notice Regarding Availability of Lockheed Martin Proxy Materials</w:t>
      </w:r>
    </w:p>
    <w:p>
      <w:pPr>
        <w:spacing w:after="0" w:line="200" w:lineRule="exact"/>
        <w:rPr>
          <w:sz w:val="20"/>
          <w:szCs w:val="20"/>
          <w:color w:val="auto"/>
        </w:rPr>
      </w:pPr>
    </w:p>
    <w:p>
      <w:pPr>
        <w:spacing w:after="0" w:line="244" w:lineRule="exact"/>
        <w:rPr>
          <w:sz w:val="20"/>
          <w:szCs w:val="20"/>
          <w:color w:val="auto"/>
        </w:rPr>
      </w:pPr>
    </w:p>
    <w:p>
      <w:pPr>
        <w:ind w:right="740"/>
        <w:spacing w:after="0" w:line="261" w:lineRule="auto"/>
        <w:rPr>
          <w:sz w:val="20"/>
          <w:szCs w:val="20"/>
          <w:color w:val="auto"/>
        </w:rPr>
      </w:pPr>
      <w:r>
        <w:rPr>
          <w:rFonts w:ascii="Arial" w:cs="Arial" w:eastAsia="Arial" w:hAnsi="Arial"/>
          <w:sz w:val="22"/>
          <w:szCs w:val="22"/>
          <w:b w:val="1"/>
          <w:bCs w:val="1"/>
          <w:color w:val="auto"/>
        </w:rPr>
        <w:t>Annual Report, Proxy Statement and Voting Instructions for the Lockheed Martin Corporation Annual Meeting of Stockholders on April 22, 2021</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Proxy Login Control Number: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To: Lockheed Martin Corporation Savings Plan Participants</w:t>
      </w:r>
    </w:p>
    <w:p>
      <w:pPr>
        <w:spacing w:after="0" w:line="233"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 xml:space="preserve">You are receiving this email because you are a participant in a Lockheed Martin Corporation savings plan. Instead of receiving your 2020 Annual Report and 2021 Proxy Statement (Proxy Materials) by mail, you can conveniently access your Proxy Materials and vote online at </w:t>
      </w:r>
      <w:r>
        <w:rPr>
          <w:rFonts w:ascii="Arial" w:cs="Arial" w:eastAsia="Arial" w:hAnsi="Arial"/>
          <w:sz w:val="22"/>
          <w:szCs w:val="22"/>
          <w:u w:val="single" w:color="auto"/>
          <w:color w:val="0000FF"/>
        </w:rPr>
        <w:t>www.investorvote.com</w:t>
      </w:r>
      <w:r>
        <w:rPr>
          <w:rFonts w:ascii="Arial" w:cs="Arial" w:eastAsia="Arial" w:hAnsi="Arial"/>
          <w:sz w:val="22"/>
          <w:szCs w:val="22"/>
          <w:color w:val="auto"/>
        </w:rPr>
        <w:t>. To view the Proxy Materials and cast your vote, enter the Proxy Login Control Number above (without any spaces) and follow the on-screen instructions.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To obtain a hard copy of Proxy Materials (free of charge):</w:t>
      </w:r>
    </w:p>
    <w:p>
      <w:pPr>
        <w:ind w:left="640" w:hanging="308"/>
        <w:spacing w:after="0" w:line="230" w:lineRule="auto"/>
        <w:tabs>
          <w:tab w:leader="none" w:pos="640" w:val="left"/>
        </w:tabs>
        <w:numPr>
          <w:ilvl w:val="0"/>
          <w:numId w:val="134"/>
        </w:numPr>
        <w:rPr>
          <w:rFonts w:ascii="Arial" w:cs="Arial" w:eastAsia="Arial" w:hAnsi="Arial"/>
          <w:sz w:val="20"/>
          <w:szCs w:val="20"/>
          <w:color w:val="auto"/>
        </w:rPr>
      </w:pPr>
      <w:r>
        <w:rPr>
          <w:rFonts w:ascii="Arial" w:cs="Arial" w:eastAsia="Arial" w:hAnsi="Arial"/>
          <w:sz w:val="22"/>
          <w:szCs w:val="22"/>
          <w:color w:val="auto"/>
        </w:rPr>
        <w:t>Call 1-877-223-3863 within the U.S.</w:t>
      </w:r>
    </w:p>
    <w:p>
      <w:pPr>
        <w:ind w:left="640" w:hanging="308"/>
        <w:spacing w:after="0" w:line="230" w:lineRule="auto"/>
        <w:tabs>
          <w:tab w:leader="none" w:pos="640" w:val="left"/>
        </w:tabs>
        <w:numPr>
          <w:ilvl w:val="0"/>
          <w:numId w:val="134"/>
        </w:numPr>
        <w:rPr>
          <w:rFonts w:ascii="Arial" w:cs="Arial" w:eastAsia="Arial" w:hAnsi="Arial"/>
          <w:sz w:val="20"/>
          <w:szCs w:val="20"/>
          <w:color w:val="auto"/>
        </w:rPr>
      </w:pPr>
      <w:r>
        <w:rPr>
          <w:rFonts w:ascii="Arial" w:cs="Arial" w:eastAsia="Arial" w:hAnsi="Arial"/>
          <w:sz w:val="22"/>
          <w:szCs w:val="22"/>
          <w:color w:val="auto"/>
        </w:rPr>
        <w:t>Call 1-267-468-0767 from outside the U.S.</w:t>
      </w:r>
    </w:p>
    <w:p>
      <w:pPr>
        <w:ind w:left="640" w:hanging="308"/>
        <w:spacing w:after="0"/>
        <w:tabs>
          <w:tab w:leader="none" w:pos="640" w:val="left"/>
        </w:tabs>
        <w:numPr>
          <w:ilvl w:val="0"/>
          <w:numId w:val="134"/>
        </w:numPr>
        <w:rPr>
          <w:rFonts w:ascii="Arial" w:cs="Arial" w:eastAsia="Arial" w:hAnsi="Arial"/>
          <w:sz w:val="20"/>
          <w:szCs w:val="20"/>
          <w:color w:val="auto"/>
        </w:rPr>
      </w:pPr>
      <w:r>
        <w:rPr>
          <w:rFonts w:ascii="Arial" w:cs="Arial" w:eastAsia="Arial" w:hAnsi="Arial"/>
          <w:sz w:val="22"/>
          <w:szCs w:val="22"/>
          <w:color w:val="auto"/>
        </w:rPr>
        <w:t>Requests must be received by 3:00 p.m., Eastern Daylight Time, on April 12, 2021</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Voting deadline:</w:t>
      </w:r>
    </w:p>
    <w:p>
      <w:pPr>
        <w:ind w:left="640" w:hanging="308"/>
        <w:spacing w:after="0"/>
        <w:tabs>
          <w:tab w:leader="none" w:pos="640" w:val="left"/>
        </w:tabs>
        <w:numPr>
          <w:ilvl w:val="0"/>
          <w:numId w:val="135"/>
        </w:numPr>
        <w:rPr>
          <w:rFonts w:ascii="Arial" w:cs="Arial" w:eastAsia="Arial" w:hAnsi="Arial"/>
          <w:sz w:val="20"/>
          <w:szCs w:val="20"/>
          <w:color w:val="auto"/>
        </w:rPr>
      </w:pPr>
      <w:r>
        <w:rPr>
          <w:rFonts w:ascii="Arial" w:cs="Arial" w:eastAsia="Arial" w:hAnsi="Arial"/>
          <w:sz w:val="22"/>
          <w:szCs w:val="22"/>
          <w:color w:val="auto"/>
        </w:rPr>
        <w:t>11:59 p.m., Eastern Daylight Time, on Monday, April 19, 2021</w:t>
      </w:r>
    </w:p>
    <w:p>
      <w:pPr>
        <w:spacing w:after="0" w:line="233" w:lineRule="exact"/>
        <w:rPr>
          <w:sz w:val="20"/>
          <w:szCs w:val="20"/>
          <w:color w:val="auto"/>
        </w:rPr>
      </w:pPr>
    </w:p>
    <w:p>
      <w:pPr>
        <w:ind w:right="400"/>
        <w:spacing w:after="0" w:line="234" w:lineRule="auto"/>
        <w:rPr>
          <w:sz w:val="20"/>
          <w:szCs w:val="20"/>
          <w:color w:val="auto"/>
        </w:rPr>
      </w:pPr>
      <w:r>
        <w:rPr>
          <w:rFonts w:ascii="Arial" w:cs="Arial" w:eastAsia="Arial" w:hAnsi="Arial"/>
          <w:sz w:val="22"/>
          <w:szCs w:val="22"/>
          <w:color w:val="auto"/>
        </w:rPr>
        <w:t xml:space="preserve">Please note that you may receive multiple proxy packages and voting instructions (electronically and/or by mail). These materials may not be duplicates as you may hold shares of Lockheed Martin stock in multiple accounts. Please be sure to vote </w:t>
      </w:r>
      <w:r>
        <w:rPr>
          <w:rFonts w:ascii="Arial" w:cs="Arial" w:eastAsia="Arial" w:hAnsi="Arial"/>
          <w:sz w:val="22"/>
          <w:szCs w:val="22"/>
          <w:i w:val="1"/>
          <w:iCs w:val="1"/>
          <w:color w:val="auto"/>
        </w:rPr>
        <w:t>all of your shares</w:t>
      </w:r>
      <w:r>
        <w:rPr>
          <w:rFonts w:ascii="Arial" w:cs="Arial" w:eastAsia="Arial" w:hAnsi="Arial"/>
          <w:sz w:val="22"/>
          <w:szCs w:val="22"/>
          <w:color w:val="auto"/>
        </w:rPr>
        <w:t xml:space="preserve"> in each of your accounts in accordance with the directions on the proxy card(s) and/or voting instruction form(s) you receive.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Please cast your vote today!</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Computershare Trust Company, N.A.</w:t>
      </w:r>
    </w:p>
    <w:p>
      <w:pPr>
        <w:spacing w:after="0"/>
        <w:rPr>
          <w:sz w:val="20"/>
          <w:szCs w:val="20"/>
          <w:color w:val="auto"/>
        </w:rPr>
      </w:pPr>
      <w:r>
        <w:rPr>
          <w:rFonts w:ascii="Arial" w:cs="Arial" w:eastAsia="Arial" w:hAnsi="Arial"/>
          <w:sz w:val="22"/>
          <w:szCs w:val="22"/>
          <w:color w:val="auto"/>
        </w:rPr>
        <w:t>Independent Registrar and Transfer Agent for Lockheed Martin Corporation</w:t>
      </w:r>
    </w:p>
    <w:p>
      <w:pPr>
        <w:sectPr>
          <w:pgSz w:w="11900" w:h="16838" w:orient="portrait"/>
          <w:cols w:equalWidth="0" w:num="1">
            <w:col w:w="11120"/>
          </w:cols>
          <w:pgMar w:left="320" w:top="1295" w:right="459" w:bottom="1440"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5880735" cy="76123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5880735" cy="76123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lvl w:ilvl="1">
      <w:lvlJc w:val="left"/>
      <w:lvlText w:val="%2)"/>
      <w:numFmt w:val="decimal"/>
      <w:start w:val="1"/>
    </w:lvl>
  </w:abstractNum>
  <w:abstractNum w:abstractNumId="5">
    <w:nsid w:val="98A3148"/>
    <w:multiLevelType w:val="hybridMultilevel"/>
    <w:lvl w:ilvl="0">
      <w:lvlJc w:val="left"/>
      <w:lvlText w:val="%1"/>
      <w:numFmt w:val="decimal"/>
      <w:start w:val="30"/>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1"/>
      <w:numFmt w:val="bullet"/>
      <w:start w:val="1"/>
    </w:lvl>
  </w:abstractNum>
  <w:abstractNum w:abstractNumId="9">
    <w:nsid w:val="168E121F"/>
    <w:multiLevelType w:val="hybridMultilevel"/>
    <w:lvl w:ilvl="0">
      <w:lvlJc w:val="left"/>
      <w:lvlText w:val="2"/>
      <w:numFmt w:val="bullet"/>
      <w:start w:val="1"/>
    </w:lvl>
  </w:abstractNum>
  <w:abstractNum w:abstractNumId="10">
    <w:nsid w:val="1EBA5D23"/>
    <w:multiLevelType w:val="hybridMultilevel"/>
    <w:lvl w:ilvl="0">
      <w:lvlJc w:val="left"/>
      <w:lvlText w:val="3"/>
      <w:numFmt w:val="bullet"/>
      <w:start w:val="1"/>
    </w:lvl>
  </w:abstractNum>
  <w:abstractNum w:abstractNumId="11">
    <w:nsid w:val="661E3F1E"/>
    <w:multiLevelType w:val="hybridMultilevel"/>
    <w:lvl w:ilvl="0">
      <w:lvlJc w:val="left"/>
      <w:lvlText w:val="4"/>
      <w:numFmt w:val="bullet"/>
      <w:start w:val="1"/>
    </w:lvl>
  </w:abstractNum>
  <w:abstractNum w:abstractNumId="12">
    <w:nsid w:val="5DC79EA8"/>
    <w:multiLevelType w:val="hybridMultilevel"/>
    <w:lvl w:ilvl="0">
      <w:lvlJc w:val="left"/>
      <w:lvlText w:val="5"/>
      <w:numFmt w:val="bullet"/>
      <w:start w:val="1"/>
    </w:lvl>
  </w:abstractNum>
  <w:abstractNum w:abstractNumId="13">
    <w:nsid w:val="540A471C"/>
    <w:multiLevelType w:val="hybridMultilevel"/>
    <w:lvl w:ilvl="0">
      <w:lvlJc w:val="left"/>
      <w:lvlText w:val="ü"/>
      <w:numFmt w:val="bullet"/>
      <w:start w:val="1"/>
    </w:lvl>
  </w:abstractNum>
  <w:abstractNum w:abstractNumId="14">
    <w:nsid w:val="7BD3EE7B"/>
    <w:multiLevelType w:val="hybridMultilevel"/>
    <w:lvl w:ilvl="0">
      <w:lvlJc w:val="left"/>
      <w:lvlText w:val="ü"/>
      <w:numFmt w:val="bullet"/>
      <w:start w:val="1"/>
    </w:lvl>
  </w:abstractNum>
  <w:abstractNum w:abstractNumId="15">
    <w:nsid w:val="51D9C564"/>
    <w:multiLevelType w:val="hybridMultilevel"/>
    <w:lvl w:ilvl="0">
      <w:lvlJc w:val="left"/>
      <w:lvlText w:val="ü"/>
      <w:numFmt w:val="bullet"/>
      <w:start w:val="1"/>
    </w:lvl>
  </w:abstractNum>
  <w:abstractNum w:abstractNumId="16">
    <w:nsid w:val="613EFDC5"/>
    <w:multiLevelType w:val="hybridMultilevel"/>
    <w:lvl w:ilvl="0">
      <w:lvlJc w:val="left"/>
      <w:lvlText w:val="ü"/>
      <w:numFmt w:val="bullet"/>
      <w:start w:val="1"/>
    </w:lvl>
  </w:abstractNum>
  <w:abstractNum w:abstractNumId="17">
    <w:nsid w:val="BF72B14"/>
    <w:multiLevelType w:val="hybridMultilevel"/>
    <w:lvl w:ilvl="0">
      <w:lvlJc w:val="left"/>
      <w:lvlText w:val="ü"/>
      <w:numFmt w:val="bullet"/>
      <w:start w:val="1"/>
    </w:lvl>
  </w:abstractNum>
  <w:abstractNum w:abstractNumId="18">
    <w:nsid w:val="11447B73"/>
    <w:multiLevelType w:val="hybridMultilevel"/>
    <w:lvl w:ilvl="0">
      <w:lvlJc w:val="left"/>
      <w:lvlText w:val="ü"/>
      <w:numFmt w:val="bullet"/>
      <w:start w:val="1"/>
    </w:lvl>
  </w:abstractNum>
  <w:abstractNum w:abstractNumId="19">
    <w:nsid w:val="42963E5A"/>
    <w:multiLevelType w:val="hybridMultilevel"/>
    <w:lvl w:ilvl="0">
      <w:lvlJc w:val="left"/>
      <w:lvlText w:val="ü"/>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1"/>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1"/>
      <w:numFmt w:val="bullet"/>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1"/>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
      <w:numFmt w:val="bullet"/>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3"/>
      <w:numFmt w:val="bullet"/>
      <w:start w:val="1"/>
    </w:lvl>
    <w:lvl w:ilvl="1">
      <w:lvlJc w:val="left"/>
      <w:lvlText w:val="•"/>
      <w:numFmt w:val="bullet"/>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1"/>
      <w:numFmt w:val="decimal"/>
      <w:start w:val="41"/>
    </w:lvl>
  </w:abstractNum>
  <w:abstractNum w:abstractNumId="69">
    <w:nsid w:val="555C55B5"/>
    <w:multiLevelType w:val="hybridMultilevel"/>
    <w:lvl w:ilvl="0">
      <w:lvlJc w:val="left"/>
      <w:lvlText w:val="%1"/>
      <w:numFmt w:val="decimal"/>
      <w:start w:val="43"/>
    </w:lvl>
  </w:abstractNum>
  <w:abstractNum w:abstractNumId="70">
    <w:nsid w:val="3FA62ACA"/>
    <w:multiLevelType w:val="hybridMultilevel"/>
    <w:lvl w:ilvl="0">
      <w:lvlJc w:val="left"/>
      <w:lvlText w:val="%1"/>
      <w:numFmt w:val="decimal"/>
      <w:start w:val="45"/>
    </w:lvl>
  </w:abstractNum>
  <w:abstractNum w:abstractNumId="71">
    <w:nsid w:val="14FCE74E"/>
    <w:multiLevelType w:val="hybridMultilevel"/>
    <w:lvl w:ilvl="0">
      <w:lvlJc w:val="left"/>
      <w:lvlText w:val="%1"/>
      <w:numFmt w:val="decimal"/>
      <w:start w:val="47"/>
    </w:lvl>
  </w:abstractNum>
  <w:abstractNum w:abstractNumId="72">
    <w:nsid w:val="6A3DD3E8"/>
    <w:multiLevelType w:val="hybridMultilevel"/>
    <w:lvl w:ilvl="0">
      <w:lvlJc w:val="left"/>
      <w:lvlText w:val="%1"/>
      <w:numFmt w:val="decimal"/>
      <w:start w:val="53"/>
    </w:lvl>
  </w:abstractNum>
  <w:abstractNum w:abstractNumId="73">
    <w:nsid w:val="71C91298"/>
    <w:multiLevelType w:val="hybridMultilevel"/>
    <w:lvl w:ilvl="0">
      <w:lvlJc w:val="left"/>
      <w:lvlText w:val="*"/>
      <w:numFmt w:val="bullet"/>
      <w:start w:val="1"/>
    </w:lvl>
  </w:abstractNum>
  <w:abstractNum w:abstractNumId="74">
    <w:nsid w:val="9DAF632"/>
    <w:multiLevelType w:val="hybridMultilevel"/>
    <w:lvl w:ilvl="0">
      <w:lvlJc w:val="left"/>
      <w:lvlText w:val="•"/>
      <w:numFmt w:val="bullet"/>
      <w:start w:val="1"/>
    </w:lvl>
  </w:abstractNum>
  <w:abstractNum w:abstractNumId="75">
    <w:nsid w:val="53299938"/>
    <w:multiLevelType w:val="hybridMultilevel"/>
    <w:lvl w:ilvl="0">
      <w:lvlJc w:val="left"/>
      <w:lvlText w:val="*"/>
      <w:numFmt w:val="bullet"/>
      <w:start w:val="1"/>
    </w:lvl>
  </w:abstractNum>
  <w:abstractNum w:abstractNumId="76">
    <w:nsid w:val="1FBFE8E0"/>
    <w:multiLevelType w:val="hybridMultilevel"/>
    <w:lvl w:ilvl="0">
      <w:lvlJc w:val="left"/>
      <w:lvlText w:val="•"/>
      <w:numFmt w:val="bullet"/>
      <w:start w:val="1"/>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
      <w:numFmt w:val="bullet"/>
      <w:start w:val="1"/>
    </w:lvl>
  </w:abstractNum>
  <w:abstractNum w:abstractNumId="79">
    <w:nsid w:val="59ADEA3D"/>
    <w:multiLevelType w:val="hybridMultilevel"/>
    <w:lvl w:ilvl="0">
      <w:lvlJc w:val="left"/>
      <w:lvlText w:val="**"/>
      <w:numFmt w:val="bullet"/>
      <w:start w:val="1"/>
    </w:lvl>
  </w:abstractNum>
  <w:abstractNum w:abstractNumId="80">
    <w:nsid w:val="288F1A34"/>
    <w:multiLevelType w:val="hybridMultilevel"/>
    <w:lvl w:ilvl="0">
      <w:lvlJc w:val="left"/>
      <w:lvlText w:val="•"/>
      <w:numFmt w:val="bullet"/>
      <w:start w:val="1"/>
    </w:lvl>
  </w:abstractNum>
  <w:abstractNum w:abstractNumId="81">
    <w:nsid w:val="2A155DBC"/>
    <w:multiLevelType w:val="hybridMultilevel"/>
    <w:lvl w:ilvl="0">
      <w:lvlJc w:val="left"/>
      <w:lvlText w:val="•"/>
      <w:numFmt w:val="bullet"/>
      <w:start w:val="1"/>
    </w:lvl>
  </w:abstractNum>
  <w:abstractNum w:abstractNumId="82">
    <w:nsid w:val="1D9F6E5F"/>
    <w:multiLevelType w:val="hybridMultilevel"/>
    <w:lvl w:ilvl="0">
      <w:lvlJc w:val="left"/>
      <w:lvlText w:val="*"/>
      <w:numFmt w:val="bullet"/>
      <w:start w:val="1"/>
    </w:lvl>
  </w:abstractNum>
  <w:abstractNum w:abstractNumId="83">
    <w:nsid w:val="97E1B4E"/>
    <w:multiLevelType w:val="hybridMultilevel"/>
    <w:lvl w:ilvl="0">
      <w:lvlJc w:val="left"/>
      <w:lvlText w:val="*"/>
      <w:numFmt w:val="bullet"/>
      <w:start w:val="1"/>
    </w:lvl>
  </w:abstractNum>
  <w:abstractNum w:abstractNumId="84">
    <w:nsid w:val="51088277"/>
    <w:multiLevelType w:val="hybridMultilevel"/>
    <w:lvl w:ilvl="0">
      <w:lvlJc w:val="left"/>
      <w:lvlText w:val="**"/>
      <w:numFmt w:val="bullet"/>
      <w:start w:val="1"/>
    </w:lvl>
  </w:abstractNum>
  <w:abstractNum w:abstractNumId="85">
    <w:nsid w:val="1CA0C5FA"/>
    <w:multiLevelType w:val="hybridMultilevel"/>
    <w:lvl w:ilvl="0">
      <w:lvlJc w:val="left"/>
      <w:lvlText w:val="***"/>
      <w:numFmt w:val="bullet"/>
      <w:start w:val="1"/>
    </w:lvl>
  </w:abstractNum>
  <w:abstractNum w:abstractNumId="86">
    <w:nsid w:val="53584BCB"/>
    <w:multiLevelType w:val="hybridMultilevel"/>
    <w:lvl w:ilvl="0">
      <w:lvlJc w:val="left"/>
      <w:lvlText w:val="*"/>
      <w:numFmt w:val="bullet"/>
      <w:start w:val="1"/>
    </w:lvl>
  </w:abstractNum>
  <w:abstractNum w:abstractNumId="87">
    <w:nsid w:val="415E286C"/>
    <w:multiLevelType w:val="hybridMultilevel"/>
    <w:lvl w:ilvl="0">
      <w:lvlJc w:val="left"/>
      <w:lvlText w:val="**"/>
      <w:numFmt w:val="bullet"/>
      <w:start w:val="1"/>
    </w:lvl>
  </w:abstractNum>
  <w:abstractNum w:abstractNumId="88">
    <w:nsid w:val="7C58FD05"/>
    <w:multiLevelType w:val="hybridMultilevel"/>
    <w:lvl w:ilvl="0">
      <w:lvlJc w:val="left"/>
      <w:lvlText w:val="•"/>
      <w:numFmt w:val="bullet"/>
      <w:start w:val="1"/>
    </w:lvl>
  </w:abstractNum>
  <w:abstractNum w:abstractNumId="89">
    <w:nsid w:val="23D86AAC"/>
    <w:multiLevelType w:val="hybridMultilevel"/>
    <w:lvl w:ilvl="0">
      <w:lvlJc w:val="left"/>
      <w:lvlText w:val="•"/>
      <w:numFmt w:val="bullet"/>
      <w:start w:val="1"/>
    </w:lvl>
  </w:abstractNum>
  <w:abstractNum w:abstractNumId="90">
    <w:nsid w:val="45E6D486"/>
    <w:multiLevelType w:val="hybridMultilevel"/>
    <w:lvl w:ilvl="0">
      <w:lvlJc w:val="left"/>
      <w:lvlText w:val="*"/>
      <w:numFmt w:val="bullet"/>
      <w:start w:val="1"/>
    </w:lvl>
  </w:abstractNum>
  <w:abstractNum w:abstractNumId="91">
    <w:nsid w:val="5C10FE21"/>
    <w:multiLevelType w:val="hybridMultilevel"/>
    <w:lvl w:ilvl="0">
      <w:lvlJc w:val="left"/>
      <w:lvlText w:val="*"/>
      <w:numFmt w:val="bullet"/>
      <w:start w:val="1"/>
    </w:lvl>
  </w:abstractNum>
  <w:abstractNum w:abstractNumId="92">
    <w:nsid w:val="E7FFA2B"/>
    <w:multiLevelType w:val="hybridMultilevel"/>
    <w:lvl w:ilvl="0">
      <w:lvlJc w:val="left"/>
      <w:lvlText w:val="*"/>
      <w:numFmt w:val="bullet"/>
      <w:start w:val="1"/>
    </w:lvl>
  </w:abstractNum>
  <w:abstractNum w:abstractNumId="93">
    <w:nsid w:val="3C5991AA"/>
    <w:multiLevelType w:val="hybridMultilevel"/>
    <w:lvl w:ilvl="0">
      <w:lvlJc w:val="left"/>
      <w:lvlText w:val="**"/>
      <w:numFmt w:val="bullet"/>
      <w:start w:val="1"/>
    </w:lvl>
  </w:abstractNum>
  <w:abstractNum w:abstractNumId="94">
    <w:nsid w:val="4BD8591A"/>
    <w:multiLevelType w:val="hybridMultilevel"/>
    <w:lvl w:ilvl="0">
      <w:lvlJc w:val="left"/>
      <w:lvlText w:val="*"/>
      <w:numFmt w:val="bullet"/>
      <w:start w:val="1"/>
    </w:lvl>
  </w:abstractNum>
  <w:abstractNum w:abstractNumId="95">
    <w:nsid w:val="78DF6A55"/>
    <w:multiLevelType w:val="hybridMultilevel"/>
    <w:lvl w:ilvl="0">
      <w:lvlJc w:val="left"/>
      <w:lvlText w:val="**"/>
      <w:numFmt w:val="bullet"/>
      <w:start w:val="1"/>
    </w:lvl>
  </w:abstractNum>
  <w:abstractNum w:abstractNumId="96">
    <w:nsid w:val="39B7AAA2"/>
    <w:multiLevelType w:val="hybridMultilevel"/>
    <w:lvl w:ilvl="0">
      <w:lvlJc w:val="left"/>
      <w:lvlText w:val="***"/>
      <w:numFmt w:val="bullet"/>
      <w:start w:val="1"/>
    </w:lvl>
  </w:abstractNum>
  <w:abstractNum w:abstractNumId="97">
    <w:nsid w:val="2B0D8DBE"/>
    <w:multiLevelType w:val="hybridMultilevel"/>
    <w:lvl w:ilvl="0">
      <w:lvlJc w:val="left"/>
      <w:lvlText w:val="•"/>
      <w:numFmt w:val="bullet"/>
      <w:start w:val="1"/>
    </w:lvl>
  </w:abstractNum>
  <w:abstractNum w:abstractNumId="98">
    <w:nsid w:val="6C80EC70"/>
    <w:multiLevelType w:val="hybridMultilevel"/>
    <w:lvl w:ilvl="0">
      <w:lvlJc w:val="left"/>
      <w:lvlText w:val="•"/>
      <w:numFmt w:val="bullet"/>
      <w:start w:val="1"/>
    </w:lvl>
  </w:abstractNum>
  <w:abstractNum w:abstractNumId="99">
    <w:nsid w:val="379E21B5"/>
    <w:multiLevelType w:val="hybridMultilevel"/>
    <w:lvl w:ilvl="0">
      <w:lvlJc w:val="left"/>
      <w:lvlText w:val="•"/>
      <w:numFmt w:val="bullet"/>
      <w:start w:val="1"/>
    </w:lvl>
  </w:abstractNum>
  <w:abstractNum w:abstractNumId="100">
    <w:nsid w:val="69E373"/>
    <w:multiLevelType w:val="hybridMultilevel"/>
    <w:lvl w:ilvl="0">
      <w:lvlJc w:val="left"/>
      <w:lvlText w:val="•"/>
      <w:numFmt w:val="bullet"/>
      <w:start w:val="1"/>
    </w:lvl>
  </w:abstractNum>
  <w:abstractNum w:abstractNumId="101">
    <w:nsid w:val="2C27173B"/>
    <w:multiLevelType w:val="hybridMultilevel"/>
    <w:lvl w:ilvl="0">
      <w:lvlJc w:val="left"/>
      <w:lvlText w:val="(%1)"/>
      <w:numFmt w:val="lowerLetter"/>
      <w:start w:val="10"/>
    </w:lvl>
  </w:abstractNum>
  <w:abstractNum w:abstractNumId="102">
    <w:nsid w:val="4C9B0904"/>
    <w:multiLevelType w:val="hybridMultilevel"/>
    <w:lvl w:ilvl="0">
      <w:lvlJc w:val="left"/>
      <w:lvlText w:val="(%1)"/>
      <w:numFmt w:val="decimal"/>
      <w:start w:val="1"/>
    </w:lvl>
  </w:abstractNum>
  <w:abstractNum w:abstractNumId="103">
    <w:nsid w:val="6AA7B75C"/>
    <w:multiLevelType w:val="hybridMultilevel"/>
    <w:lvl w:ilvl="0">
      <w:lvlJc w:val="left"/>
      <w:lvlText w:val="(%1)"/>
      <w:numFmt w:val="decimal"/>
      <w:start w:val="7"/>
    </w:lvl>
  </w:abstractNum>
  <w:abstractNum w:abstractNumId="104">
    <w:nsid w:val="1DF029D3"/>
    <w:multiLevelType w:val="hybridMultilevel"/>
    <w:lvl w:ilvl="0">
      <w:lvlJc w:val="left"/>
      <w:lvlText w:val="(%1)"/>
      <w:numFmt w:val="decimal"/>
      <w:start w:val="1"/>
    </w:lvl>
  </w:abstractNum>
  <w:abstractNum w:abstractNumId="105">
    <w:nsid w:val="5675FF36"/>
    <w:multiLevelType w:val="hybridMultilevel"/>
    <w:lvl w:ilvl="0">
      <w:lvlJc w:val="left"/>
      <w:lvlText w:val="(%1)"/>
      <w:numFmt w:val="decimal"/>
      <w:start w:val="1"/>
    </w:lvl>
  </w:abstractNum>
  <w:abstractNum w:abstractNumId="106">
    <w:nsid w:val="3DD15094"/>
    <w:multiLevelType w:val="hybridMultilevel"/>
    <w:lvl w:ilvl="0">
      <w:lvlJc w:val="left"/>
      <w:lvlText w:val="(%1)"/>
      <w:numFmt w:val="decimal"/>
      <w:start w:val="1"/>
    </w:lvl>
  </w:abstractNum>
  <w:abstractNum w:abstractNumId="107">
    <w:nsid w:val="3DB012B3"/>
    <w:multiLevelType w:val="hybridMultilevel"/>
    <w:lvl w:ilvl="0">
      <w:lvlJc w:val="left"/>
      <w:lvlText w:val="(%1)"/>
      <w:numFmt w:val="decimal"/>
      <w:start w:val="1"/>
    </w:lvl>
  </w:abstractNum>
  <w:abstractNum w:abstractNumId="108">
    <w:nsid w:val="2708C9AF"/>
    <w:multiLevelType w:val="hybridMultilevel"/>
    <w:lvl w:ilvl="0">
      <w:lvlJc w:val="left"/>
      <w:lvlText w:val="(%1)"/>
      <w:numFmt w:val="decimal"/>
      <w:start w:val="2"/>
    </w:lvl>
  </w:abstractNum>
  <w:abstractNum w:abstractNumId="109">
    <w:nsid w:val="5B25ACE2"/>
    <w:multiLevelType w:val="hybridMultilevel"/>
    <w:lvl w:ilvl="0">
      <w:lvlJc w:val="left"/>
      <w:lvlText w:val="(%1)"/>
      <w:numFmt w:val="decimal"/>
      <w:start w:val="3"/>
    </w:lvl>
  </w:abstractNum>
  <w:abstractNum w:abstractNumId="110">
    <w:nsid w:val="175DFCF0"/>
    <w:multiLevelType w:val="hybridMultilevel"/>
    <w:lvl w:ilvl="0">
      <w:lvlJc w:val="left"/>
      <w:lvlText w:val="(%1)"/>
      <w:numFmt w:val="decimal"/>
      <w:start w:val="4"/>
    </w:lvl>
  </w:abstractNum>
  <w:abstractNum w:abstractNumId="111">
    <w:nsid w:val="4F97E3E4"/>
    <w:multiLevelType w:val="hybridMultilevel"/>
    <w:lvl w:ilvl="0">
      <w:lvlJc w:val="left"/>
      <w:lvlText w:val="(%1)"/>
      <w:numFmt w:val="decimal"/>
      <w:start w:val="5"/>
    </w:lvl>
  </w:abstractNum>
  <w:abstractNum w:abstractNumId="112">
    <w:nsid w:val="53B0A9E"/>
    <w:multiLevelType w:val="hybridMultilevel"/>
    <w:lvl w:ilvl="0">
      <w:lvlJc w:val="left"/>
      <w:lvlText w:val="(%1)"/>
      <w:numFmt w:val="decimal"/>
      <w:start w:val="6"/>
    </w:lvl>
  </w:abstractNum>
  <w:abstractNum w:abstractNumId="113">
    <w:nsid w:val="34FD6B4F"/>
    <w:multiLevelType w:val="hybridMultilevel"/>
    <w:lvl w:ilvl="0">
      <w:lvlJc w:val="left"/>
      <w:lvlText w:val="*"/>
      <w:numFmt w:val="bullet"/>
      <w:start w:val="1"/>
    </w:lvl>
  </w:abstractNum>
  <w:abstractNum w:abstractNumId="114">
    <w:nsid w:val="5915FF32"/>
    <w:multiLevelType w:val="hybridMultilevel"/>
    <w:lvl w:ilvl="0">
      <w:lvlJc w:val="left"/>
      <w:lvlText w:val="(%1)"/>
      <w:numFmt w:val="decimal"/>
      <w:start w:val="1"/>
    </w:lvl>
  </w:abstractNum>
  <w:abstractNum w:abstractNumId="115">
    <w:nsid w:val="56438D15"/>
    <w:multiLevelType w:val="hybridMultilevel"/>
    <w:lvl w:ilvl="0">
      <w:lvlJc w:val="left"/>
      <w:lvlText w:val="(%1)"/>
      <w:numFmt w:val="decimal"/>
      <w:start w:val="7"/>
    </w:lvl>
  </w:abstractNum>
  <w:abstractNum w:abstractNumId="116">
    <w:nsid w:val="519E3149"/>
    <w:multiLevelType w:val="hybridMultilevel"/>
    <w:lvl w:ilvl="0">
      <w:lvlJc w:val="left"/>
      <w:lvlText w:val="(%1)"/>
      <w:numFmt w:val="decimal"/>
      <w:start w:val="1"/>
    </w:lvl>
  </w:abstractNum>
  <w:abstractNum w:abstractNumId="117">
    <w:nsid w:val="2C6E4AFD"/>
    <w:multiLevelType w:val="hybridMultilevel"/>
    <w:lvl w:ilvl="0">
      <w:lvlJc w:val="left"/>
      <w:lvlText w:val="4"/>
      <w:numFmt w:val="bullet"/>
      <w:start w:val="1"/>
    </w:lvl>
    <w:lvl w:ilvl="1">
      <w:lvlJc w:val="left"/>
      <w:lvlText w:val="•"/>
      <w:numFmt w:val="bullet"/>
      <w:start w:val="1"/>
    </w:lvl>
  </w:abstractNum>
  <w:abstractNum w:abstractNumId="118">
    <w:nsid w:val="17A1B582"/>
    <w:multiLevelType w:val="hybridMultilevel"/>
    <w:lvl w:ilvl="0">
      <w:lvlJc w:val="left"/>
      <w:lvlText w:val="•"/>
      <w:numFmt w:val="bullet"/>
      <w:start w:val="1"/>
    </w:lvl>
  </w:abstractNum>
  <w:abstractNum w:abstractNumId="119">
    <w:nsid w:val="4DF72E4E"/>
    <w:multiLevelType w:val="hybridMultilevel"/>
    <w:lvl w:ilvl="0">
      <w:lvlJc w:val="left"/>
      <w:lvlText w:val="5"/>
      <w:numFmt w:val="bullet"/>
      <w:start w:val="1"/>
    </w:lvl>
    <w:lvl w:ilvl="1">
      <w:lvlJc w:val="left"/>
      <w:lvlText w:val="•"/>
      <w:numFmt w:val="bullet"/>
      <w:start w:val="1"/>
    </w:lvl>
  </w:abstractNum>
  <w:abstractNum w:abstractNumId="120">
    <w:nsid w:val="5046B5A9"/>
    <w:multiLevelType w:val="hybridMultilevel"/>
    <w:lvl w:ilvl="0">
      <w:lvlJc w:val="left"/>
      <w:lvlText w:val="1"/>
      <w:numFmt w:val="bullet"/>
      <w:start w:val="1"/>
    </w:lvl>
  </w:abstractNum>
  <w:abstractNum w:abstractNumId="121">
    <w:nsid w:val="5D888A08"/>
    <w:multiLevelType w:val="hybridMultilevel"/>
    <w:lvl w:ilvl="0">
      <w:lvlJc w:val="left"/>
      <w:lvlText w:val="2"/>
      <w:numFmt w:val="bullet"/>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
      <w:numFmt w:val="bullet"/>
      <w:start w:val="1"/>
    </w:lvl>
  </w:abstractNum>
  <w:abstractNum w:abstractNumId="124">
    <w:nsid w:val="19E21BB2"/>
    <w:multiLevelType w:val="hybridMultilevel"/>
    <w:lvl w:ilvl="0">
      <w:lvlJc w:val="left"/>
      <w:lvlText w:val="•"/>
      <w:numFmt w:val="bullet"/>
      <w:start w:val="1"/>
    </w:lvl>
  </w:abstractNum>
  <w:abstractNum w:abstractNumId="125">
    <w:nsid w:val="75E0858A"/>
    <w:multiLevelType w:val="hybridMultilevel"/>
    <w:lvl w:ilvl="0">
      <w:lvlJc w:val="left"/>
      <w:lvlText w:val="•"/>
      <w:numFmt w:val="bullet"/>
      <w:start w:val="1"/>
    </w:lvl>
  </w:abstractNum>
  <w:abstractNum w:abstractNumId="126">
    <w:nsid w:val="57A61A29"/>
    <w:multiLevelType w:val="hybridMultilevel"/>
    <w:lvl w:ilvl="0">
      <w:lvlJc w:val="left"/>
      <w:lvlText w:val="$"/>
      <w:numFmt w:val="bullet"/>
      <w:start w:val="1"/>
    </w:lvl>
  </w:abstractNum>
  <w:abstractNum w:abstractNumId="127">
    <w:nsid w:val="5399C654"/>
    <w:multiLevelType w:val="hybridMultilevel"/>
    <w:lvl w:ilvl="0">
      <w:lvlJc w:val="left"/>
      <w:lvlText w:val="$"/>
      <w:numFmt w:val="bullet"/>
      <w:start w:val="1"/>
    </w:lvl>
  </w:abstractNum>
  <w:abstractNum w:abstractNumId="128">
    <w:nsid w:val="20EE1348"/>
    <w:multiLevelType w:val="hybridMultilevel"/>
    <w:lvl w:ilvl="0">
      <w:lvlJc w:val="left"/>
      <w:lvlText w:val="(%1)"/>
      <w:numFmt w:val="lowerLetter"/>
      <w:start w:val="1"/>
    </w:lvl>
  </w:abstractNum>
  <w:abstractNum w:abstractNumId="129">
    <w:nsid w:val="4427069A"/>
    <w:multiLevelType w:val="hybridMultilevel"/>
    <w:lvl w:ilvl="0">
      <w:lvlJc w:val="left"/>
      <w:lvlText w:val="•"/>
      <w:numFmt w:val="bullet"/>
      <w:start w:val="1"/>
    </w:lvl>
  </w:abstractNum>
  <w:abstractNum w:abstractNumId="130">
    <w:nsid w:val="B37E80A"/>
    <w:multiLevelType w:val="hybridMultilevel"/>
    <w:lvl w:ilvl="0">
      <w:lvlJc w:val="left"/>
      <w:lvlText w:val="•"/>
      <w:numFmt w:val="bullet"/>
      <w:start w:val="1"/>
    </w:lvl>
  </w:abstractNum>
  <w:abstractNum w:abstractNumId="131">
    <w:nsid w:val="2157F6BC"/>
    <w:multiLevelType w:val="hybridMultilevel"/>
    <w:lvl w:ilvl="0">
      <w:lvlJc w:val="left"/>
      <w:lvlText w:val="•"/>
      <w:numFmt w:val="bullet"/>
      <w:start w:val="1"/>
    </w:lvl>
  </w:abstractNum>
  <w:abstractNum w:abstractNumId="132">
    <w:nsid w:val="704E1DD5"/>
    <w:multiLevelType w:val="hybridMultilevel"/>
    <w:lvl w:ilvl="0">
      <w:lvlJc w:val="left"/>
      <w:lvlText w:val="•"/>
      <w:numFmt w:val="bullet"/>
      <w:start w:val="1"/>
    </w:lvl>
  </w:abstractNum>
  <w:abstractNum w:abstractNumId="133">
    <w:nsid w:val="57D2F10E"/>
    <w:multiLevelType w:val="hybridMultilevel"/>
    <w:lvl w:ilvl="0">
      <w:lvlJc w:val="left"/>
      <w:lvlText w:val="•"/>
      <w:numFmt w:val="bullet"/>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2021-03-12T07:07:06Z</dcterms:created>
  <dcterms:modified xsi:type="dcterms:W3CDTF">2021-03-12T07:07:06Z</dcterms:modified>
</cp:coreProperties>
</file>