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62230</wp:posOffset>
            </wp:positionV>
            <wp:extent cx="137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84455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8"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QUARTERLY REPORT PURSUANT TO SECTION 13 OR 15(d) OF THE SECURITIES EXCHANGE ACT OF 1934</w:t>
      </w:r>
    </w:p>
    <w:p>
      <w:pPr>
        <w:spacing w:after="0" w:line="88" w:lineRule="exact"/>
        <w:rPr>
          <w:rFonts w:ascii="MS PGothic" w:cs="MS PGothic" w:eastAsia="MS PGothic" w:hAnsi="MS PGothic"/>
          <w:sz w:val="18"/>
          <w:szCs w:val="18"/>
          <w:color w:val="auto"/>
        </w:rPr>
      </w:pPr>
    </w:p>
    <w:p>
      <w:pPr>
        <w:ind w:left="380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For the quarterly period ended June 30, 2024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6" w:lineRule="exact"/>
        <w:rPr>
          <w:sz w:val="24"/>
          <w:szCs w:val="24"/>
          <w:color w:val="auto"/>
        </w:rPr>
      </w:pPr>
    </w:p>
    <w:p>
      <w:pPr>
        <w:ind w:left="3820" w:right="2200" w:hanging="3751"/>
        <w:spacing w:after="0" w:line="464" w:lineRule="auto"/>
        <w:tabs>
          <w:tab w:leader="none" w:pos="315" w:val="left"/>
        </w:tabs>
        <w:numPr>
          <w:ilvl w:val="0"/>
          <w:numId w:val="2"/>
        </w:numPr>
        <w:rPr>
          <w:rFonts w:ascii="MS PGothic" w:cs="MS PGothic" w:eastAsia="MS PGothic" w:hAnsi="MS PGothic"/>
          <w:sz w:val="18"/>
          <w:szCs w:val="18"/>
          <w:color w:val="auto"/>
        </w:rPr>
      </w:pPr>
      <w:r>
        <w:rPr>
          <w:rFonts w:ascii="Arial" w:cs="Arial" w:eastAsia="Arial" w:hAnsi="Arial"/>
          <w:sz w:val="17"/>
          <w:szCs w:val="17"/>
          <w:color w:val="auto"/>
        </w:rPr>
        <w:t>TRANSITION REPORT PURSUANT TO SECTION 13 OR 15(d) OF THE SECURITIES EXCHANGE ACT OF 1934 For the transition period from ______ to 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39370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LOCKHEED MARTIN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Maryland</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879"/>
              <w:spacing w:after="0"/>
              <w:rPr>
                <w:sz w:val="20"/>
                <w:szCs w:val="20"/>
                <w:color w:val="auto"/>
              </w:rPr>
            </w:pPr>
            <w:r>
              <w:rPr>
                <w:rFonts w:ascii="Arial" w:cs="Arial" w:eastAsia="Arial" w:hAnsi="Arial"/>
                <w:sz w:val="16"/>
                <w:szCs w:val="16"/>
                <w:b w:val="1"/>
                <w:bCs w:val="1"/>
                <w:color w:val="auto"/>
              </w:rPr>
              <w:t>52-1893632</w:t>
            </w:r>
          </w:p>
        </w:tc>
      </w:tr>
      <w:tr>
        <w:trPr>
          <w:trHeight w:val="163"/>
        </w:trPr>
        <w:tc>
          <w:tcPr>
            <w:tcW w:w="3380" w:type="dxa"/>
            <w:vAlign w:val="bottom"/>
            <w:gridSpan w:val="4"/>
          </w:tcPr>
          <w:p>
            <w:pPr>
              <w:jc w:val="center"/>
              <w:ind w:left="899"/>
              <w:spacing w:after="0" w:line="163" w:lineRule="exact"/>
              <w:rPr>
                <w:sz w:val="20"/>
                <w:szCs w:val="20"/>
                <w:color w:val="auto"/>
              </w:rPr>
            </w:pPr>
            <w:r>
              <w:rPr>
                <w:rFonts w:ascii="Arial" w:cs="Arial" w:eastAsia="Arial" w:hAnsi="Arial"/>
                <w:sz w:val="16"/>
                <w:szCs w:val="16"/>
                <w:color w:val="auto"/>
              </w:rPr>
              <w:t>(State or other jurisdiction of</w:t>
            </w: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tcPr>
          <w:p>
            <w:pPr>
              <w:jc w:val="center"/>
              <w:ind w:left="339"/>
              <w:spacing w:after="0" w:line="163"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3380" w:type="dxa"/>
            <w:vAlign w:val="bottom"/>
            <w:gridSpan w:val="4"/>
          </w:tcPr>
          <w:p>
            <w:pPr>
              <w:jc w:val="center"/>
              <w:ind w:left="899"/>
              <w:spacing w:after="0"/>
              <w:rPr>
                <w:sz w:val="20"/>
                <w:szCs w:val="20"/>
                <w:color w:val="auto"/>
              </w:rPr>
            </w:pPr>
            <w:r>
              <w:rPr>
                <w:rFonts w:ascii="Arial" w:cs="Arial" w:eastAsia="Arial" w:hAnsi="Arial"/>
                <w:sz w:val="16"/>
                <w:szCs w:val="16"/>
                <w:color w:val="auto"/>
              </w:rPr>
              <w:t>incorporation or organization)</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65"/>
        </w:trPr>
        <w:tc>
          <w:tcPr>
            <w:tcW w:w="2240" w:type="dxa"/>
            <w:vAlign w:val="bottom"/>
            <w:gridSpan w:val="2"/>
          </w:tcPr>
          <w:p>
            <w:pPr>
              <w:ind w:left="300"/>
              <w:spacing w:after="0"/>
              <w:rPr>
                <w:sz w:val="20"/>
                <w:szCs w:val="20"/>
                <w:color w:val="auto"/>
              </w:rPr>
            </w:pPr>
            <w:r>
              <w:rPr>
                <w:rFonts w:ascii="Arial" w:cs="Arial" w:eastAsia="Arial" w:hAnsi="Arial"/>
                <w:sz w:val="16"/>
                <w:szCs w:val="16"/>
                <w:b w:val="1"/>
                <w:bCs w:val="1"/>
                <w:color w:val="auto"/>
              </w:rPr>
              <w:t>6801 Rockledge Drive,</w:t>
            </w:r>
          </w:p>
        </w:tc>
        <w:tc>
          <w:tcPr>
            <w:tcW w:w="1140" w:type="dxa"/>
            <w:vAlign w:val="bottom"/>
            <w:gridSpan w:val="2"/>
          </w:tcPr>
          <w:p>
            <w:pPr>
              <w:ind w:left="220"/>
              <w:spacing w:after="0"/>
              <w:rPr>
                <w:sz w:val="20"/>
                <w:szCs w:val="20"/>
                <w:color w:val="auto"/>
              </w:rPr>
            </w:pPr>
            <w:r>
              <w:rPr>
                <w:rFonts w:ascii="Arial" w:cs="Arial" w:eastAsia="Arial" w:hAnsi="Arial"/>
                <w:sz w:val="16"/>
                <w:szCs w:val="16"/>
                <w:b w:val="1"/>
                <w:bCs w:val="1"/>
                <w:color w:val="auto"/>
              </w:rPr>
              <w:t>Bethesda,</w:t>
            </w:r>
          </w:p>
        </w:tc>
        <w:tc>
          <w:tcPr>
            <w:tcW w:w="4200" w:type="dxa"/>
            <w:vAlign w:val="bottom"/>
            <w:gridSpan w:val="5"/>
          </w:tcPr>
          <w:p>
            <w:pPr>
              <w:ind w:left="140"/>
              <w:spacing w:after="0"/>
              <w:rPr>
                <w:sz w:val="20"/>
                <w:szCs w:val="20"/>
                <w:color w:val="auto"/>
              </w:rPr>
            </w:pPr>
            <w:r>
              <w:rPr>
                <w:rFonts w:ascii="Arial" w:cs="Arial" w:eastAsia="Arial" w:hAnsi="Arial"/>
                <w:sz w:val="16"/>
                <w:szCs w:val="16"/>
                <w:b w:val="1"/>
                <w:bCs w:val="1"/>
                <w:color w:val="auto"/>
              </w:rPr>
              <w:t>Maryland</w:t>
            </w:r>
          </w:p>
        </w:tc>
        <w:tc>
          <w:tcPr>
            <w:tcW w:w="3200" w:type="dxa"/>
            <w:vAlign w:val="bottom"/>
          </w:tcPr>
          <w:p>
            <w:pPr>
              <w:jc w:val="right"/>
              <w:ind w:right="1079"/>
              <w:spacing w:after="0"/>
              <w:rPr>
                <w:sz w:val="20"/>
                <w:szCs w:val="20"/>
                <w:color w:val="auto"/>
              </w:rPr>
            </w:pPr>
            <w:r>
              <w:rPr>
                <w:rFonts w:ascii="Arial" w:cs="Arial" w:eastAsia="Arial" w:hAnsi="Arial"/>
                <w:sz w:val="16"/>
                <w:szCs w:val="16"/>
                <w:b w:val="1"/>
                <w:bCs w:val="1"/>
                <w:color w:val="auto"/>
              </w:rPr>
              <w:t>20817</w:t>
            </w:r>
          </w:p>
        </w:tc>
      </w:tr>
      <w:tr>
        <w:trPr>
          <w:trHeight w:val="215"/>
        </w:trPr>
        <w:tc>
          <w:tcPr>
            <w:tcW w:w="7580" w:type="dxa"/>
            <w:vAlign w:val="bottom"/>
            <w:gridSpan w:val="9"/>
          </w:tcPr>
          <w:p>
            <w:pPr>
              <w:jc w:val="center"/>
              <w:ind w:right="3220"/>
              <w:spacing w:after="0"/>
              <w:rPr>
                <w:sz w:val="20"/>
                <w:szCs w:val="20"/>
                <w:color w:val="auto"/>
              </w:rPr>
            </w:pPr>
            <w:r>
              <w:rPr>
                <w:rFonts w:ascii="Arial" w:cs="Arial" w:eastAsia="Arial" w:hAnsi="Arial"/>
                <w:sz w:val="16"/>
                <w:szCs w:val="16"/>
                <w:color w:val="auto"/>
              </w:rPr>
              <w:t>(Address of principal executive offices)</w:t>
            </w:r>
          </w:p>
        </w:tc>
        <w:tc>
          <w:tcPr>
            <w:tcW w:w="3200" w:type="dxa"/>
            <w:vAlign w:val="bottom"/>
          </w:tcPr>
          <w:p>
            <w:pPr>
              <w:jc w:val="center"/>
              <w:ind w:left="339"/>
              <w:spacing w:after="0"/>
              <w:rPr>
                <w:sz w:val="20"/>
                <w:szCs w:val="20"/>
                <w:color w:val="auto"/>
              </w:rPr>
            </w:pPr>
            <w:r>
              <w:rPr>
                <w:rFonts w:ascii="Arial" w:cs="Arial" w:eastAsia="Arial" w:hAnsi="Arial"/>
                <w:sz w:val="16"/>
                <w:szCs w:val="16"/>
                <w:color w:val="auto"/>
              </w:rPr>
              <w:t>(Zip Code)</w:t>
            </w:r>
          </w:p>
        </w:tc>
      </w:tr>
      <w:tr>
        <w:trPr>
          <w:trHeight w:val="379"/>
        </w:trPr>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gridSpan w:val="4"/>
          </w:tcPr>
          <w:p>
            <w:pPr>
              <w:jc w:val="center"/>
              <w:ind w:left="1059"/>
              <w:spacing w:after="0"/>
              <w:rPr>
                <w:sz w:val="20"/>
                <w:szCs w:val="20"/>
                <w:color w:val="auto"/>
              </w:rPr>
            </w:pPr>
            <w:r>
              <w:rPr>
                <w:rFonts w:ascii="Arial" w:cs="Arial" w:eastAsia="Arial" w:hAnsi="Arial"/>
                <w:sz w:val="16"/>
                <w:szCs w:val="16"/>
                <w:b w:val="1"/>
                <w:bCs w:val="1"/>
                <w:color w:val="auto"/>
              </w:rPr>
              <w:t>(301) 897-6000</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5"/>
        </w:trPr>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0" w:type="dxa"/>
            <w:vAlign w:val="bottom"/>
            <w:gridSpan w:val="5"/>
          </w:tcPr>
          <w:p>
            <w:pPr>
              <w:jc w:val="center"/>
              <w:ind w:left="179"/>
              <w:spacing w:after="0"/>
              <w:rPr>
                <w:sz w:val="20"/>
                <w:szCs w:val="20"/>
                <w:color w:val="auto"/>
              </w:rPr>
            </w:pPr>
            <w:r>
              <w:rPr>
                <w:rFonts w:ascii="Arial" w:cs="Arial" w:eastAsia="Arial" w:hAnsi="Arial"/>
                <w:sz w:val="16"/>
                <w:szCs w:val="16"/>
                <w:color w:val="auto"/>
              </w:rPr>
              <w:t>(Registrant’s telephone number, including area code)</w:t>
            </w:r>
          </w:p>
        </w:tc>
        <w:tc>
          <w:tcPr>
            <w:tcW w:w="3200" w:type="dxa"/>
            <w:vAlign w:val="bottom"/>
          </w:tcPr>
          <w:p>
            <w:pPr>
              <w:spacing w:after="0"/>
              <w:rPr>
                <w:sz w:val="18"/>
                <w:szCs w:val="18"/>
                <w:color w:val="auto"/>
              </w:rPr>
            </w:pPr>
          </w:p>
        </w:tc>
      </w:tr>
      <w:tr>
        <w:trPr>
          <w:trHeight w:val="56"/>
        </w:trPr>
        <w:tc>
          <w:tcPr>
            <w:tcW w:w="142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410"/>
        </w:trPr>
        <w:tc>
          <w:tcPr>
            <w:tcW w:w="7580" w:type="dxa"/>
            <w:vAlign w:val="bottom"/>
            <w:gridSpan w:val="9"/>
          </w:tcPr>
          <w:p>
            <w:pPr>
              <w:jc w:val="center"/>
              <w:ind w:right="3460"/>
              <w:spacing w:after="0"/>
              <w:rPr>
                <w:sz w:val="20"/>
                <w:szCs w:val="20"/>
                <w:color w:val="auto"/>
              </w:rPr>
            </w:pPr>
            <w:r>
              <w:rPr>
                <w:rFonts w:ascii="Arial" w:cs="Arial" w:eastAsia="Arial" w:hAnsi="Arial"/>
                <w:sz w:val="16"/>
                <w:szCs w:val="16"/>
                <w:color w:val="auto"/>
              </w:rPr>
              <w:t>Securities registered pursuant to Section 12(b) of the Act:</w:t>
            </w:r>
          </w:p>
        </w:tc>
        <w:tc>
          <w:tcPr>
            <w:tcW w:w="3200" w:type="dxa"/>
            <w:vAlign w:val="bottom"/>
          </w:tcPr>
          <w:p>
            <w:pPr>
              <w:spacing w:after="0"/>
              <w:rPr>
                <w:sz w:val="24"/>
                <w:szCs w:val="24"/>
                <w:color w:val="auto"/>
              </w:rPr>
            </w:pPr>
          </w:p>
        </w:tc>
      </w:tr>
      <w:tr>
        <w:trPr>
          <w:trHeight w:val="191"/>
        </w:trPr>
        <w:tc>
          <w:tcPr>
            <w:tcW w:w="1420" w:type="dxa"/>
            <w:vAlign w:val="bottom"/>
          </w:tcPr>
          <w:p>
            <w:pPr>
              <w:spacing w:after="0"/>
              <w:rPr>
                <w:sz w:val="16"/>
                <w:szCs w:val="16"/>
                <w:color w:val="auto"/>
              </w:rPr>
            </w:pPr>
          </w:p>
        </w:tc>
        <w:tc>
          <w:tcPr>
            <w:tcW w:w="1960" w:type="dxa"/>
            <w:vAlign w:val="bottom"/>
            <w:gridSpan w:val="3"/>
          </w:tcPr>
          <w:p>
            <w:pPr>
              <w:jc w:val="center"/>
              <w:ind w:right="680"/>
              <w:spacing w:after="0"/>
              <w:rPr>
                <w:sz w:val="20"/>
                <w:szCs w:val="20"/>
                <w:color w:val="auto"/>
              </w:rPr>
            </w:pPr>
            <w:r>
              <w:rPr>
                <w:rFonts w:ascii="Arial" w:cs="Arial" w:eastAsia="Arial" w:hAnsi="Arial"/>
                <w:sz w:val="16"/>
                <w:szCs w:val="16"/>
                <w:color w:val="auto"/>
                <w:w w:val="99"/>
              </w:rPr>
              <w:t>Title of each class</w:t>
            </w:r>
          </w:p>
        </w:tc>
        <w:tc>
          <w:tcPr>
            <w:tcW w:w="1200" w:type="dxa"/>
            <w:vAlign w:val="bottom"/>
          </w:tcPr>
          <w:p>
            <w:pPr>
              <w:spacing w:after="0"/>
              <w:rPr>
                <w:sz w:val="16"/>
                <w:szCs w:val="16"/>
                <w:color w:val="auto"/>
              </w:rPr>
            </w:pPr>
          </w:p>
        </w:tc>
        <w:tc>
          <w:tcPr>
            <w:tcW w:w="3000" w:type="dxa"/>
            <w:vAlign w:val="bottom"/>
            <w:gridSpan w:val="4"/>
          </w:tcPr>
          <w:p>
            <w:pPr>
              <w:jc w:val="center"/>
              <w:ind w:right="940"/>
              <w:spacing w:after="0"/>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5"/>
        </w:trPr>
        <w:tc>
          <w:tcPr>
            <w:tcW w:w="3380" w:type="dxa"/>
            <w:vAlign w:val="bottom"/>
            <w:gridSpan w:val="4"/>
          </w:tcPr>
          <w:p>
            <w:pPr>
              <w:jc w:val="center"/>
              <w:ind w:left="659"/>
              <w:spacing w:after="0"/>
              <w:rPr>
                <w:sz w:val="20"/>
                <w:szCs w:val="20"/>
                <w:color w:val="auto"/>
              </w:rPr>
            </w:pPr>
            <w:r>
              <w:rPr>
                <w:rFonts w:ascii="Arial" w:cs="Arial" w:eastAsia="Arial" w:hAnsi="Arial"/>
                <w:sz w:val="16"/>
                <w:szCs w:val="16"/>
                <w:color w:val="auto"/>
              </w:rPr>
              <w:t>Common Stock, $1 par value</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gridSpan w:val="3"/>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0" w:lineRule="exact"/>
        <w:rPr>
          <w:sz w:val="24"/>
          <w:szCs w:val="24"/>
          <w:color w:val="auto"/>
        </w:rPr>
      </w:pPr>
    </w:p>
    <w:p>
      <w:pPr>
        <w:jc w:val="both"/>
        <w:ind w:right="440"/>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09" w:lineRule="exact"/>
        <w:rPr>
          <w:sz w:val="24"/>
          <w:szCs w:val="24"/>
          <w:color w:val="auto"/>
        </w:rPr>
      </w:pPr>
    </w:p>
    <w:p>
      <w:pPr>
        <w:ind w:right="46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96" w:lineRule="exact"/>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60"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214" w:lineRule="exact"/>
        <w:rPr>
          <w:sz w:val="24"/>
          <w:szCs w:val="24"/>
          <w:color w:val="auto"/>
        </w:rPr>
      </w:pPr>
    </w:p>
    <w:p>
      <w:pPr>
        <w:ind w:right="12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highlight w:val="black"/>
        </w:rPr>
        <w:t>☐</w:t>
      </w:r>
    </w:p>
    <w:p>
      <w:pPr>
        <w:spacing w:after="0" w:line="63" w:lineRule="exact"/>
        <w:rPr>
          <w:sz w:val="24"/>
          <w:szCs w:val="24"/>
          <w:color w:val="auto"/>
        </w:rPr>
      </w:pPr>
    </w:p>
    <w:p>
      <w:pPr>
        <w:ind w:right="2160"/>
        <w:spacing w:after="0" w:line="31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238,358,003 shares of our common stock, $1 par value per share, outstanding as of 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 w:lineRule="exact"/>
        <w:rPr>
          <w:sz w:val="20"/>
          <w:szCs w:val="20"/>
          <w:color w:val="auto"/>
        </w:rPr>
      </w:pPr>
    </w:p>
    <w:p>
      <w:pPr>
        <w:ind w:left="10700"/>
        <w:spacing w:after="0"/>
        <w:rPr>
          <w:sz w:val="20"/>
          <w:szCs w:val="20"/>
          <w:color w:val="auto"/>
        </w:rPr>
      </w:pPr>
      <w:r>
        <w:rPr>
          <w:rFonts w:ascii="Arial" w:cs="Arial" w:eastAsia="Arial" w:hAnsi="Arial"/>
          <w:sz w:val="18"/>
          <w:szCs w:val="18"/>
          <w:b w:val="1"/>
          <w:bCs w:val="1"/>
          <w:color w:val="2C2C2C"/>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17780</wp:posOffset>
            </wp:positionV>
            <wp:extent cx="411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 FINANCIAL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8880" w:type="dxa"/>
            <w:vAlign w:val="bottom"/>
            <w:gridSpan w:val="22"/>
          </w:tcPr>
          <w:p>
            <w:pPr>
              <w:spacing w:after="0"/>
              <w:rPr>
                <w:sz w:val="20"/>
                <w:szCs w:val="20"/>
                <w:color w:val="auto"/>
              </w:rPr>
            </w:pPr>
            <w:r>
              <w:rPr>
                <w:rFonts w:ascii="Arial" w:cs="Arial" w:eastAsia="Arial" w:hAnsi="Arial"/>
                <w:sz w:val="18"/>
                <w:szCs w:val="18"/>
                <w:color w:val="0000FF"/>
              </w:rPr>
              <w:t>Financial Statements (Unaudited)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22"/>
          </w:tcPr>
          <w:p>
            <w:pPr>
              <w:spacing w:after="0"/>
              <w:rPr>
                <w:sz w:val="20"/>
                <w:szCs w:val="20"/>
                <w:color w:val="auto"/>
              </w:rPr>
            </w:pPr>
            <w:r>
              <w:rPr>
                <w:rFonts w:ascii="Arial" w:cs="Arial" w:eastAsia="Arial" w:hAnsi="Arial"/>
                <w:sz w:val="18"/>
                <w:szCs w:val="18"/>
                <w:color w:val="0000FF"/>
              </w:rPr>
              <w:t>Consolidated Statements of Earnings for the Quarters and Six Months Ended June 30, 2024 and June 25,</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2C2C2C"/>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Borders>
              <w:top w:val="single" w:sz="8" w:color="0000FF"/>
            </w:tcBorders>
            <w:gridSpan w:val="2"/>
          </w:tcPr>
          <w:p>
            <w:pPr>
              <w:ind w:left="140"/>
              <w:spacing w:after="0" w:line="142" w:lineRule="exact"/>
              <w:rPr>
                <w:sz w:val="20"/>
                <w:szCs w:val="20"/>
                <w:color w:val="auto"/>
              </w:rPr>
            </w:pPr>
            <w:r>
              <w:rPr>
                <w:rFonts w:ascii="Arial" w:cs="Arial" w:eastAsia="Arial" w:hAnsi="Arial"/>
                <w:sz w:val="16"/>
                <w:szCs w:val="16"/>
                <w:color w:val="0000FF"/>
              </w:rPr>
              <w:t>2023</w:t>
            </w: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80" w:type="dxa"/>
            <w:vAlign w:val="bottom"/>
            <w:gridSpan w:val="22"/>
          </w:tcPr>
          <w:p>
            <w:pPr>
              <w:spacing w:after="0"/>
              <w:rPr>
                <w:sz w:val="20"/>
                <w:szCs w:val="20"/>
                <w:color w:val="auto"/>
              </w:rPr>
            </w:pPr>
            <w:r>
              <w:rPr>
                <w:rFonts w:ascii="Arial" w:cs="Arial" w:eastAsia="Arial" w:hAnsi="Arial"/>
                <w:sz w:val="18"/>
                <w:szCs w:val="18"/>
                <w:color w:val="0000FF"/>
              </w:rPr>
              <w:t>Consolidated Statements of Comprehensive Income for the Quarters and Six Months Ended June 30, 2024</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2C2C2C"/>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8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and June 25, 2023</w:t>
            </w:r>
          </w:p>
        </w:tc>
        <w:tc>
          <w:tcPr>
            <w:tcW w:w="34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gridSpan w:val="2"/>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80" w:type="dxa"/>
            <w:vAlign w:val="bottom"/>
            <w:gridSpan w:val="22"/>
          </w:tcPr>
          <w:p>
            <w:pPr>
              <w:spacing w:after="0"/>
              <w:rPr>
                <w:sz w:val="20"/>
                <w:szCs w:val="20"/>
                <w:color w:val="auto"/>
              </w:rPr>
            </w:pPr>
            <w:r>
              <w:rPr>
                <w:rFonts w:ascii="Arial" w:cs="Arial" w:eastAsia="Arial" w:hAnsi="Arial"/>
                <w:sz w:val="18"/>
                <w:szCs w:val="18"/>
                <w:color w:val="0000FF"/>
              </w:rPr>
              <w:t>Consolidated Balance Sheets as of June 30, 2024 and December 31, 2023</w:t>
            </w:r>
          </w:p>
        </w:tc>
        <w:tc>
          <w:tcPr>
            <w:tcW w:w="620" w:type="dxa"/>
            <w:vAlign w:val="bottom"/>
          </w:tcPr>
          <w:p>
            <w:pPr>
              <w:jc w:val="right"/>
              <w:spacing w:after="0"/>
              <w:rPr>
                <w:sz w:val="20"/>
                <w:szCs w:val="20"/>
                <w:color w:val="auto"/>
              </w:rPr>
            </w:pPr>
            <w:r>
              <w:rPr>
                <w:rFonts w:ascii="Arial" w:cs="Arial" w:eastAsia="Arial" w:hAnsi="Arial"/>
                <w:sz w:val="18"/>
                <w:szCs w:val="18"/>
                <w:color w:val="2C2C2C"/>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9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Consolidated Statements of Cash Flows for the Six Months Ended June 30, 2024 and June 25, 2023</w:t>
            </w:r>
          </w:p>
        </w:tc>
        <w:tc>
          <w:tcPr>
            <w:tcW w:w="900" w:type="dxa"/>
            <w:vAlign w:val="bottom"/>
            <w:gridSpan w:val="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22"/>
          </w:tcPr>
          <w:p>
            <w:pPr>
              <w:spacing w:after="0"/>
              <w:rPr>
                <w:sz w:val="20"/>
                <w:szCs w:val="20"/>
                <w:color w:val="auto"/>
              </w:rPr>
            </w:pPr>
            <w:r>
              <w:rPr>
                <w:rFonts w:ascii="Arial" w:cs="Arial" w:eastAsia="Arial" w:hAnsi="Arial"/>
                <w:sz w:val="18"/>
                <w:szCs w:val="18"/>
                <w:color w:val="0000FF"/>
              </w:rPr>
              <w:t>Consolidated Statements of Equity for the Quarters Ended June 30, 2024 and June 25, 2023</w:t>
            </w:r>
          </w:p>
        </w:tc>
        <w:tc>
          <w:tcPr>
            <w:tcW w:w="620" w:type="dxa"/>
            <w:vAlign w:val="bottom"/>
          </w:tcPr>
          <w:p>
            <w:pPr>
              <w:jc w:val="right"/>
              <w:spacing w:after="0"/>
              <w:rPr>
                <w:sz w:val="20"/>
                <w:szCs w:val="20"/>
                <w:color w:val="auto"/>
              </w:rPr>
            </w:pPr>
            <w:r>
              <w:rPr>
                <w:rFonts w:ascii="Arial" w:cs="Arial" w:eastAsia="Arial" w:hAnsi="Arial"/>
                <w:sz w:val="18"/>
                <w:szCs w:val="18"/>
                <w:color w:val="2C2C2C"/>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5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Consolidated Statements of Equity for the Six Months Ended June 30, 2024 and June 25, 2023</w:t>
            </w:r>
          </w:p>
        </w:tc>
        <w:tc>
          <w:tcPr>
            <w:tcW w:w="1340" w:type="dxa"/>
            <w:vAlign w:val="bottom"/>
            <w:gridSpan w:val="4"/>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Notes to Consolidated Financial Statements</w:t>
            </w:r>
          </w:p>
        </w:tc>
        <w:tc>
          <w:tcPr>
            <w:tcW w:w="5400" w:type="dxa"/>
            <w:vAlign w:val="bottom"/>
            <w:gridSpan w:val="11"/>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5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4300" w:type="dxa"/>
            <w:vAlign w:val="bottom"/>
            <w:gridSpan w:val="10"/>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27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70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820" w:type="dxa"/>
            <w:vAlign w:val="bottom"/>
            <w:gridSpan w:val="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3.</w:t>
            </w:r>
          </w:p>
        </w:tc>
        <w:tc>
          <w:tcPr>
            <w:tcW w:w="888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2C2C2C"/>
              </w:rPr>
              <w:t>45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4.</w:t>
            </w:r>
          </w:p>
        </w:tc>
        <w:tc>
          <w:tcPr>
            <w:tcW w:w="46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200" w:type="dxa"/>
            <w:vAlign w:val="bottom"/>
            <w:gridSpan w:val="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600" w:type="dxa"/>
            <w:vAlign w:val="bottom"/>
            <w:gridSpan w:val="24"/>
          </w:tcPr>
          <w:p>
            <w:pPr>
              <w:spacing w:after="0"/>
              <w:rPr>
                <w:sz w:val="20"/>
                <w:szCs w:val="20"/>
                <w:color w:val="auto"/>
              </w:rPr>
            </w:pPr>
            <w:r>
              <w:rPr>
                <w:rFonts w:ascii="Arial" w:cs="Arial" w:eastAsia="Arial" w:hAnsi="Arial"/>
                <w:sz w:val="18"/>
                <w:szCs w:val="18"/>
                <w:b w:val="1"/>
                <w:bCs w:val="1"/>
                <w:color w:val="0000FF"/>
              </w:rPr>
              <w:t>PART II. 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888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620" w:type="dxa"/>
            <w:vAlign w:val="bottom"/>
          </w:tcPr>
          <w:p>
            <w:pPr>
              <w:jc w:val="right"/>
              <w:spacing w:after="0"/>
              <w:rPr>
                <w:sz w:val="20"/>
                <w:szCs w:val="20"/>
                <w:color w:val="auto"/>
              </w:rPr>
            </w:pPr>
            <w:r>
              <w:rPr>
                <w:rFonts w:ascii="Arial" w:cs="Arial" w:eastAsia="Arial" w:hAnsi="Arial"/>
                <w:sz w:val="18"/>
                <w:szCs w:val="18"/>
                <w:color w:val="2C2C2C"/>
              </w:rPr>
              <w:t>46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1A.</w:t>
            </w:r>
          </w:p>
        </w:tc>
        <w:tc>
          <w:tcPr>
            <w:tcW w:w="9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5"/>
              </w:rPr>
              <w:t>Risk Factors</w:t>
            </w:r>
          </w:p>
        </w:tc>
        <w:tc>
          <w:tcPr>
            <w:tcW w:w="480" w:type="dxa"/>
            <w:vAlign w:val="bottom"/>
            <w:tcBorders>
              <w:top w:val="single" w:sz="8" w:color="0000FF"/>
            </w:tcBorders>
            <w:gridSpan w:val="2"/>
          </w:tcPr>
          <w:p>
            <w:pPr>
              <w:spacing w:after="0"/>
              <w:rPr>
                <w:sz w:val="22"/>
                <w:szCs w:val="22"/>
                <w:color w:val="auto"/>
              </w:rPr>
            </w:pPr>
          </w:p>
        </w:tc>
        <w:tc>
          <w:tcPr>
            <w:tcW w:w="7420" w:type="dxa"/>
            <w:vAlign w:val="bottom"/>
            <w:gridSpan w:val="1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47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888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color w:val="2C2C2C"/>
              </w:rPr>
              <w:t>47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5.</w:t>
            </w:r>
          </w:p>
        </w:tc>
        <w:tc>
          <w:tcPr>
            <w:tcW w:w="13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7"/>
              </w:rPr>
              <w:t>Other Information</w:t>
            </w:r>
          </w:p>
        </w:tc>
        <w:tc>
          <w:tcPr>
            <w:tcW w:w="3440" w:type="dxa"/>
            <w:vAlign w:val="bottom"/>
            <w:tcBorders>
              <w:top w:val="single" w:sz="8" w:color="0000FF"/>
            </w:tcBorders>
            <w:gridSpan w:val="8"/>
          </w:tcPr>
          <w:p>
            <w:pPr>
              <w:spacing w:after="0"/>
              <w:rPr>
                <w:sz w:val="22"/>
                <w:szCs w:val="22"/>
                <w:color w:val="auto"/>
              </w:rPr>
            </w:pPr>
          </w:p>
        </w:tc>
        <w:tc>
          <w:tcPr>
            <w:tcW w:w="4060" w:type="dxa"/>
            <w:vAlign w:val="bottom"/>
            <w:gridSpan w:val="8"/>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48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6.</w:t>
            </w:r>
          </w:p>
        </w:tc>
        <w:tc>
          <w:tcPr>
            <w:tcW w:w="888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620" w:type="dxa"/>
            <w:vAlign w:val="bottom"/>
          </w:tcPr>
          <w:p>
            <w:pPr>
              <w:jc w:val="right"/>
              <w:spacing w:after="0"/>
              <w:rPr>
                <w:sz w:val="20"/>
                <w:szCs w:val="20"/>
                <w:color w:val="auto"/>
              </w:rPr>
            </w:pPr>
            <w:r>
              <w:rPr>
                <w:rFonts w:ascii="Arial" w:cs="Arial" w:eastAsia="Arial" w:hAnsi="Arial"/>
                <w:sz w:val="18"/>
                <w:szCs w:val="18"/>
                <w:color w:val="2C2C2C"/>
              </w:rPr>
              <w:t>48</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49</w:t>
            </w:r>
          </w:p>
        </w:tc>
        <w:tc>
          <w:tcPr>
            <w:tcW w:w="0" w:type="dxa"/>
            <w:vAlign w:val="bottom"/>
          </w:tcPr>
          <w:p>
            <w:pPr>
              <w:spacing w:after="0"/>
              <w:rPr>
                <w:sz w:val="1"/>
                <w:szCs w:val="1"/>
                <w:color w:val="auto"/>
              </w:rPr>
            </w:pPr>
          </w:p>
        </w:tc>
      </w:tr>
      <w:tr>
        <w:trPr>
          <w:trHeight w:val="1890"/>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Quarters Ended</w:t>
            </w: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4"/>
                <w:szCs w:val="14"/>
                <w:color w:val="auto"/>
              </w:rPr>
            </w:pPr>
          </w:p>
        </w:tc>
        <w:tc>
          <w:tcPr>
            <w:tcW w:w="120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w w:val="99"/>
              </w:rPr>
              <w:t>June 25,</w:t>
            </w:r>
          </w:p>
        </w:tc>
        <w:tc>
          <w:tcPr>
            <w:tcW w:w="70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4"/>
                <w:szCs w:val="14"/>
                <w:color w:val="auto"/>
              </w:rPr>
            </w:pPr>
          </w:p>
        </w:tc>
        <w:tc>
          <w:tcPr>
            <w:tcW w:w="13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4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15,109</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13,758</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29,305</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26,284</w:t>
            </w:r>
          </w:p>
        </w:tc>
      </w:tr>
      <w:tr>
        <w:trPr>
          <w:trHeight w:val="229"/>
        </w:trPr>
        <w:tc>
          <w:tcPr>
            <w:tcW w:w="4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3,013</w:t>
            </w:r>
          </w:p>
        </w:tc>
        <w:tc>
          <w:tcPr>
            <w:tcW w:w="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2,935</w:t>
            </w: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6,012</w:t>
            </w: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5,535</w:t>
            </w:r>
          </w:p>
        </w:tc>
      </w:tr>
      <w:tr>
        <w:trPr>
          <w:trHeight w:val="223"/>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18,122</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16,693</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35,317</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31,819</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(13,520)</w:t>
            </w:r>
          </w:p>
        </w:tc>
        <w:tc>
          <w:tcPr>
            <w:tcW w:w="66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w w:val="98"/>
              </w:rPr>
              <w:t>(12,238)</w:t>
            </w:r>
          </w:p>
        </w:tc>
        <w:tc>
          <w:tcPr>
            <w:tcW w:w="7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(26,404)</w:t>
            </w:r>
          </w:p>
        </w:tc>
        <w:tc>
          <w:tcPr>
            <w:tcW w:w="52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(23,389)</w:t>
            </w: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(2,582)</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(2,642)</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(5,185)</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(4,926)</w:t>
            </w: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Impairment and severance charges</w:t>
            </w:r>
          </w:p>
        </w:tc>
        <w:tc>
          <w:tcPr>
            <w:tcW w:w="2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(87)</w:t>
            </w:r>
          </w:p>
        </w:tc>
        <w:tc>
          <w:tcPr>
            <w:tcW w:w="66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(87)</w:t>
            </w:r>
          </w:p>
        </w:tc>
        <w:tc>
          <w:tcPr>
            <w:tcW w:w="52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unallocated,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197</w:t>
            </w:r>
          </w:p>
        </w:tc>
        <w:tc>
          <w:tcPr>
            <w:tcW w:w="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277</w:t>
            </w: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482</w:t>
            </w: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632</w:t>
            </w:r>
          </w:p>
        </w:tc>
      </w:tr>
      <w:tr>
        <w:trPr>
          <w:trHeight w:val="223"/>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(15,992)</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8"/>
              </w:rPr>
              <w:t>(14,603)</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(31,194)</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(27,683)</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2,130</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2,090</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4,123</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4,136</w:t>
            </w: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45</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54</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36</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2,148</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2,135</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4,177</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4,172</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(261)</w:t>
            </w:r>
          </w:p>
        </w:tc>
        <w:tc>
          <w:tcPr>
            <w:tcW w:w="66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(223)</w:t>
            </w:r>
          </w:p>
        </w:tc>
        <w:tc>
          <w:tcPr>
            <w:tcW w:w="7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(516)</w:t>
            </w:r>
          </w:p>
        </w:tc>
        <w:tc>
          <w:tcPr>
            <w:tcW w:w="52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(425)</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FAS pension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221</w:t>
            </w:r>
          </w:p>
        </w:tc>
      </w:tr>
      <w:tr>
        <w:trPr>
          <w:trHeight w:val="23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46</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(17)</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91</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1,948</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2,006</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3,783</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4,000</w:t>
            </w:r>
          </w:p>
        </w:tc>
      </w:tr>
      <w:tr>
        <w:trPr>
          <w:trHeight w:val="23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(307)</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(325)</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(597)</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(630)</w:t>
            </w:r>
          </w:p>
        </w:tc>
      </w:tr>
      <w:tr>
        <w:trPr>
          <w:trHeight w:val="223"/>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1,641</w:t>
            </w:r>
          </w:p>
        </w:tc>
        <w:tc>
          <w:tcPr>
            <w:tcW w:w="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1,681</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3,186</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3,370</w:t>
            </w:r>
          </w:p>
        </w:tc>
      </w:tr>
      <w:tr>
        <w:trPr>
          <w:trHeight w:val="237"/>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6.87</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6.65</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13.29</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13.28</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6.85</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6.63</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13.24</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13.24</w:t>
            </w:r>
          </w:p>
        </w:tc>
      </w:tr>
      <w:tr>
        <w:trPr>
          <w:trHeight w:val="256"/>
        </w:trPr>
        <w:tc>
          <w:tcPr>
            <w:tcW w:w="4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dividends paid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3.15</w:t>
            </w:r>
          </w:p>
        </w:tc>
        <w:tc>
          <w:tcPr>
            <w:tcW w:w="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3.00</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6.30</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w:t>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Quarters Ended</w:t>
            </w: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2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25,</w:t>
            </w:r>
          </w:p>
        </w:tc>
        <w:tc>
          <w:tcPr>
            <w:tcW w:w="300" w:type="dxa"/>
            <w:vAlign w:val="bottom"/>
          </w:tcPr>
          <w:p>
            <w:pPr>
              <w:spacing w:after="0"/>
              <w:rPr>
                <w:sz w:val="14"/>
                <w:szCs w:val="14"/>
                <w:color w:val="auto"/>
              </w:rPr>
            </w:pPr>
          </w:p>
        </w:tc>
        <w:tc>
          <w:tcPr>
            <w:tcW w:w="12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26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25,</w:t>
            </w:r>
          </w:p>
        </w:tc>
        <w:tc>
          <w:tcPr>
            <w:tcW w:w="0" w:type="dxa"/>
            <w:vAlign w:val="bottom"/>
          </w:tcPr>
          <w:p>
            <w:pPr>
              <w:spacing w:after="0"/>
              <w:rPr>
                <w:sz w:val="1"/>
                <w:szCs w:val="1"/>
                <w:color w:val="auto"/>
              </w:rPr>
            </w:pPr>
          </w:p>
        </w:tc>
      </w:tr>
      <w:tr>
        <w:trPr>
          <w:trHeight w:val="243"/>
        </w:trPr>
        <w:tc>
          <w:tcPr>
            <w:tcW w:w="4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3,186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Postretirement benefit plans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300"/>
              <w:spacing w:after="0" w:line="176" w:lineRule="exact"/>
              <w:rPr>
                <w:sz w:val="20"/>
                <w:szCs w:val="20"/>
                <w:color w:val="auto"/>
              </w:rPr>
            </w:pPr>
            <w:r>
              <w:rPr>
                <w:rFonts w:ascii="Arial" w:cs="Arial" w:eastAsia="Arial" w:hAnsi="Arial"/>
                <w:sz w:val="18"/>
                <w:szCs w:val="18"/>
                <w:color w:val="auto"/>
              </w:rPr>
              <w:t>Amortization of actuarial losses and prior service credits,</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60" w:type="dxa"/>
            <w:vAlign w:val="bottom"/>
          </w:tcPr>
          <w:p>
            <w:pPr>
              <w:ind w:left="300"/>
              <w:spacing w:after="0" w:line="183" w:lineRule="exact"/>
              <w:rPr>
                <w:sz w:val="20"/>
                <w:szCs w:val="20"/>
                <w:color w:val="auto"/>
              </w:rPr>
            </w:pPr>
            <w:r>
              <w:rPr>
                <w:rFonts w:ascii="Arial" w:cs="Arial" w:eastAsia="Arial" w:hAnsi="Arial"/>
                <w:sz w:val="18"/>
                <w:szCs w:val="18"/>
                <w:color w:val="auto"/>
              </w:rPr>
              <w:t>net of tax of $5 million and $10 million in 2024 and $10</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5"/>
                <w:szCs w:val="15"/>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15"/>
                <w:szCs w:val="15"/>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5"/>
        </w:trPr>
        <w:tc>
          <w:tcPr>
            <w:tcW w:w="4960" w:type="dxa"/>
            <w:vAlign w:val="bottom"/>
          </w:tcPr>
          <w:p>
            <w:pPr>
              <w:ind w:left="300"/>
              <w:spacing w:after="0"/>
              <w:rPr>
                <w:sz w:val="20"/>
                <w:szCs w:val="20"/>
                <w:color w:val="auto"/>
              </w:rPr>
            </w:pPr>
            <w:r>
              <w:rPr>
                <w:rFonts w:ascii="Arial" w:cs="Arial" w:eastAsia="Arial" w:hAnsi="Arial"/>
                <w:sz w:val="18"/>
                <w:szCs w:val="18"/>
                <w:color w:val="auto"/>
              </w:rPr>
              <w:t>million and $20 million in 2023</w:t>
            </w:r>
          </w:p>
        </w:tc>
        <w:tc>
          <w:tcPr>
            <w:tcW w:w="2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Other, net, net of tax of $8 million in 2024 and $4 million and</w:t>
            </w: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$8 million in 2023</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4320" w:type="dxa"/>
            <w:vAlign w:val="bottom"/>
          </w:tcPr>
          <w:p>
            <w:pPr>
              <w:jc w:val="right"/>
              <w:ind w:right="1170"/>
              <w:spacing w:after="0"/>
              <w:rPr>
                <w:sz w:val="20"/>
                <w:szCs w:val="20"/>
                <w:color w:val="auto"/>
              </w:rPr>
            </w:pPr>
            <w:r>
              <w:rPr>
                <w:rFonts w:ascii="Arial" w:cs="Arial" w:eastAsia="Arial" w:hAnsi="Arial"/>
                <w:sz w:val="18"/>
                <w:szCs w:val="18"/>
                <w:b w:val="1"/>
                <w:bCs w:val="1"/>
                <w:color w:val="auto"/>
              </w:rPr>
              <w:t>Lockheed Martin Corporation</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20" w:type="dxa"/>
            <w:vAlign w:val="bottom"/>
          </w:tcPr>
          <w:p>
            <w:pPr>
              <w:jc w:val="right"/>
              <w:ind w:right="1170"/>
              <w:spacing w:after="0"/>
              <w:rPr>
                <w:sz w:val="20"/>
                <w:szCs w:val="20"/>
                <w:color w:val="auto"/>
              </w:rPr>
            </w:pPr>
            <w:r>
              <w:rPr>
                <w:rFonts w:ascii="Arial" w:cs="Arial" w:eastAsia="Arial" w:hAnsi="Arial"/>
                <w:sz w:val="18"/>
                <w:szCs w:val="18"/>
                <w:b w:val="1"/>
                <w:bCs w:val="1"/>
                <w:color w:val="auto"/>
              </w:rPr>
              <w:t>Consolidated Balance Sheets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20" w:type="dxa"/>
            <w:vAlign w:val="bottom"/>
          </w:tcPr>
          <w:p>
            <w:pPr>
              <w:jc w:val="right"/>
              <w:ind w:right="1170"/>
              <w:spacing w:after="0"/>
              <w:rPr>
                <w:sz w:val="20"/>
                <w:szCs w:val="20"/>
                <w:color w:val="auto"/>
              </w:rPr>
            </w:pPr>
            <w:r>
              <w:rPr>
                <w:rFonts w:ascii="Arial" w:cs="Arial" w:eastAsia="Arial" w:hAnsi="Arial"/>
                <w:sz w:val="18"/>
                <w:szCs w:val="18"/>
                <w:b w:val="1"/>
                <w:bCs w:val="1"/>
                <w:color w:val="auto"/>
              </w:rPr>
              <w:t>(in millions, except par value)</w:t>
            </w: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91"/>
        </w:trPr>
        <w:tc>
          <w:tcPr>
            <w:tcW w:w="1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80" w:type="dxa"/>
            <w:vAlign w:val="bottom"/>
          </w:tcPr>
          <w:p>
            <w:pPr>
              <w:jc w:val="center"/>
              <w:ind w:right="30"/>
              <w:spacing w:after="0" w:line="190" w:lineRule="exact"/>
              <w:rPr>
                <w:sz w:val="20"/>
                <w:szCs w:val="20"/>
                <w:color w:val="auto"/>
              </w:rPr>
            </w:pPr>
            <w:r>
              <w:rPr>
                <w:rFonts w:ascii="Arial" w:cs="Arial" w:eastAsia="Arial" w:hAnsi="Arial"/>
                <w:sz w:val="18"/>
                <w:szCs w:val="18"/>
                <w:b w:val="1"/>
                <w:bCs w:val="1"/>
                <w:color w:val="auto"/>
                <w:w w:val="99"/>
              </w:rPr>
              <w:t>June 30,</w:t>
            </w:r>
          </w:p>
        </w:tc>
        <w:tc>
          <w:tcPr>
            <w:tcW w:w="380" w:type="dxa"/>
            <w:vAlign w:val="bottom"/>
          </w:tcPr>
          <w:p>
            <w:pPr>
              <w:spacing w:after="0"/>
              <w:rPr>
                <w:sz w:val="16"/>
                <w:szCs w:val="16"/>
                <w:color w:val="auto"/>
              </w:rPr>
            </w:pPr>
          </w:p>
        </w:tc>
        <w:tc>
          <w:tcPr>
            <w:tcW w:w="1440" w:type="dxa"/>
            <w:vAlign w:val="bottom"/>
          </w:tcPr>
          <w:p>
            <w:pPr>
              <w:jc w:val="right"/>
              <w:ind w:right="130"/>
              <w:spacing w:after="0" w:line="190"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14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14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9"/>
              </w:rPr>
              <w:t>(unaudited)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2,523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1,442</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2,930</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2,132</w:t>
            </w: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Contract assets</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13,907</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13,183</w:t>
            </w:r>
          </w:p>
        </w:tc>
      </w:tr>
      <w:tr>
        <w:trPr>
          <w:trHeight w:val="229"/>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3,097</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3,132</w:t>
            </w:r>
          </w:p>
        </w:tc>
      </w:tr>
      <w:tr>
        <w:trPr>
          <w:trHeight w:val="230"/>
        </w:trPr>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current assets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510</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632</w:t>
            </w:r>
          </w:p>
        </w:tc>
      </w:tr>
      <w:tr>
        <w:trPr>
          <w:trHeight w:val="223"/>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22,967</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20,521</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8,394</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8,370</w:t>
            </w: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10,787</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10,799</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2,040</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2,212</w:t>
            </w: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3,080</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2,953</w:t>
            </w:r>
          </w:p>
        </w:tc>
      </w:tr>
      <w:tr>
        <w:trPr>
          <w:trHeight w:val="229"/>
        </w:trPr>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7,808</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7,601</w:t>
            </w:r>
          </w:p>
        </w:tc>
      </w:tr>
      <w:tr>
        <w:trPr>
          <w:trHeight w:val="223"/>
        </w:trPr>
        <w:tc>
          <w:tcPr>
            <w:tcW w:w="38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55,076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52,456</w:t>
            </w: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3,282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2,312</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Salaries, benefits and payroll taxes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2,871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3,133</w:t>
            </w: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Contract liabilities</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9,181</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9,190</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142</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168</w:t>
            </w:r>
          </w:p>
        </w:tc>
      </w:tr>
      <w:tr>
        <w:trPr>
          <w:trHeight w:val="230"/>
        </w:trPr>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3,017</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2,134</w:t>
            </w:r>
          </w:p>
        </w:tc>
      </w:tr>
      <w:tr>
        <w:trPr>
          <w:trHeight w:val="223"/>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18,493</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16,937</w:t>
            </w: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Long-term debt, net</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19,115</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17,291</w:t>
            </w: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pension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6,105</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6,162</w:t>
            </w:r>
          </w:p>
        </w:tc>
      </w:tr>
      <w:tr>
        <w:trPr>
          <w:trHeight w:val="230"/>
        </w:trPr>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5,188</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5,231</w:t>
            </w:r>
          </w:p>
        </w:tc>
      </w:tr>
      <w:tr>
        <w:trPr>
          <w:trHeight w:val="223"/>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48,901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45,621</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4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$1 par value per share</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237</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240</w:t>
            </w: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14,707</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15,398</w:t>
            </w:r>
          </w:p>
        </w:tc>
      </w:tr>
      <w:tr>
        <w:trPr>
          <w:trHeight w:val="230"/>
        </w:trPr>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(8,769)</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(8,803)</w:t>
            </w:r>
          </w:p>
        </w:tc>
      </w:tr>
      <w:tr>
        <w:trPr>
          <w:trHeight w:val="223"/>
        </w:trPr>
        <w:tc>
          <w:tcPr>
            <w:tcW w:w="38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4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6,175</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6,835</w:t>
            </w:r>
          </w:p>
        </w:tc>
      </w:tr>
      <w:tr>
        <w:trPr>
          <w:trHeight w:val="230"/>
        </w:trPr>
        <w:tc>
          <w:tcPr>
            <w:tcW w:w="38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Total liabilities and equity</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55,076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52,456</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rPr>
              <w:t>Lockheed Martin Corporation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654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(unaudited; in millions)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5"/>
        </w:trPr>
        <w:tc>
          <w:tcPr>
            <w:tcW w:w="140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1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4"/>
                <w:szCs w:val="14"/>
                <w:color w:val="auto"/>
              </w:rPr>
            </w:pPr>
          </w:p>
        </w:tc>
        <w:tc>
          <w:tcPr>
            <w:tcW w:w="13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140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3,186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3,370</w:t>
            </w: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710</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659</w:t>
            </w:r>
          </w:p>
        </w:tc>
      </w:tr>
      <w:tr>
        <w:trPr>
          <w:trHeight w:val="229"/>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154</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146</w:t>
            </w:r>
          </w:p>
        </w:tc>
      </w:tr>
      <w:tr>
        <w:trPr>
          <w:trHeight w:val="230"/>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(145)</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(234)</w:t>
            </w:r>
          </w:p>
        </w:tc>
      </w:tr>
      <w:tr>
        <w:trPr>
          <w:trHeight w:val="229"/>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 and severance charges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87</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(798)</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(922)</w:t>
            </w:r>
          </w:p>
        </w:tc>
      </w:tr>
      <w:tr>
        <w:trPr>
          <w:trHeight w:val="229"/>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(724)</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(690)</w:t>
            </w:r>
          </w:p>
        </w:tc>
      </w:tr>
      <w:tr>
        <w:trPr>
          <w:trHeight w:val="230"/>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(410)</w:t>
            </w:r>
          </w:p>
        </w:tc>
      </w:tr>
      <w:tr>
        <w:trPr>
          <w:trHeight w:val="229"/>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1,052</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1,397</w:t>
            </w:r>
          </w:p>
        </w:tc>
      </w:tr>
      <w:tr>
        <w:trPr>
          <w:trHeight w:val="229"/>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Contract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(304)</w:t>
            </w:r>
          </w:p>
        </w:tc>
      </w:tr>
      <w:tr>
        <w:trPr>
          <w:trHeight w:val="230"/>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21</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(46)</w:t>
            </w:r>
          </w:p>
        </w:tc>
      </w:tr>
      <w:tr>
        <w:trPr>
          <w:trHeight w:val="229"/>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Qualified defined benefit pension plans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(189)</w:t>
            </w:r>
          </w:p>
        </w:tc>
      </w:tr>
      <w:tr>
        <w:trPr>
          <w:trHeight w:val="230"/>
        </w:trPr>
        <w:tc>
          <w:tcPr>
            <w:tcW w:w="79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(57)</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(113)</w:t>
            </w:r>
          </w:p>
        </w:tc>
      </w:tr>
      <w:tr>
        <w:trPr>
          <w:trHeight w:val="223"/>
        </w:trPr>
        <w:tc>
          <w:tcPr>
            <w:tcW w:w="79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3,511</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2,664</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(748)</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(623)</w:t>
            </w:r>
          </w:p>
        </w:tc>
      </w:tr>
      <w:tr>
        <w:trPr>
          <w:trHeight w:val="230"/>
        </w:trPr>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w:t>
            </w:r>
          </w:p>
        </w:tc>
      </w:tr>
      <w:tr>
        <w:trPr>
          <w:trHeight w:val="223"/>
        </w:trPr>
        <w:tc>
          <w:tcPr>
            <w:tcW w:w="79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(744)</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(593)</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long-term debt, net of related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1,980</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1,975</w:t>
            </w: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Repayments of long-term debt</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(168)</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(1,850)</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(1,250)</w:t>
            </w: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(1,532)</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(1,542)</w:t>
            </w:r>
          </w:p>
        </w:tc>
      </w:tr>
      <w:tr>
        <w:trPr>
          <w:trHeight w:val="230"/>
        </w:trPr>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(116)</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(128)</w:t>
            </w:r>
          </w:p>
        </w:tc>
      </w:tr>
      <w:tr>
        <w:trPr>
          <w:trHeight w:val="223"/>
        </w:trPr>
        <w:tc>
          <w:tcPr>
            <w:tcW w:w="79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(1,686)</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(945)</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1,081</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1,126</w:t>
            </w:r>
          </w:p>
        </w:tc>
      </w:tr>
      <w:tr>
        <w:trPr>
          <w:trHeight w:val="230"/>
        </w:trPr>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1,442</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2,547</w:t>
            </w:r>
          </w:p>
        </w:tc>
      </w:tr>
      <w:tr>
        <w:trPr>
          <w:trHeight w:val="230"/>
        </w:trPr>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2,523</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3,673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32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rPr>
              <w:t>Lockheed Martin Corporation</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9"/>
              </w:rPr>
              <w:t>Consolidated Statements of Equity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80" w:type="dxa"/>
            <w:vAlign w:val="bottom"/>
            <w:gridSpan w:val="7"/>
          </w:tcPr>
          <w:p>
            <w:pPr>
              <w:jc w:val="center"/>
              <w:ind w:left="1390"/>
              <w:spacing w:after="0"/>
              <w:rPr>
                <w:sz w:val="20"/>
                <w:szCs w:val="20"/>
                <w:color w:val="auto"/>
              </w:rPr>
            </w:pPr>
            <w:r>
              <w:rPr>
                <w:rFonts w:ascii="Arial" w:cs="Arial" w:eastAsia="Arial" w:hAnsi="Arial"/>
                <w:sz w:val="18"/>
                <w:szCs w:val="18"/>
                <w:b w:val="1"/>
                <w:bCs w:val="1"/>
                <w:color w:val="auto"/>
                <w:w w:val="99"/>
              </w:rPr>
              <w:t>For the Quarters Ended June 30, 2024 and June 25, 2023</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2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9"/>
              </w:rPr>
              <w:t>(unaudited; in millions)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Common</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Other</w:t>
            </w:r>
          </w:p>
        </w:tc>
        <w:tc>
          <w:tcPr>
            <w:tcW w:w="280" w:type="dxa"/>
            <w:vAlign w:val="bottom"/>
          </w:tcPr>
          <w:p>
            <w:pPr>
              <w:spacing w:after="0"/>
              <w:rPr>
                <w:sz w:val="15"/>
                <w:szCs w:val="15"/>
                <w:color w:val="auto"/>
              </w:rPr>
            </w:pPr>
          </w:p>
        </w:tc>
        <w:tc>
          <w:tcPr>
            <w:tcW w:w="9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Paid-in</w:t>
            </w: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Comprehensive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Capital</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(8,811)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1,641</w:t>
            </w:r>
          </w:p>
        </w:tc>
        <w:tc>
          <w:tcPr>
            <w:tcW w:w="14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(1,514)</w:t>
            </w:r>
          </w:p>
        </w:tc>
        <w:tc>
          <w:tcPr>
            <w:tcW w:w="14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0"/>
              <w:spacing w:after="0"/>
              <w:rPr>
                <w:sz w:val="20"/>
                <w:szCs w:val="20"/>
                <w:color w:val="auto"/>
              </w:rPr>
            </w:pPr>
            <w:r>
              <w:rPr>
                <w:rFonts w:ascii="Arial" w:cs="Arial" w:eastAsia="Arial" w:hAnsi="Arial"/>
                <w:sz w:val="18"/>
                <w:szCs w:val="18"/>
                <w:b w:val="1"/>
                <w:bCs w:val="1"/>
                <w:color w:val="auto"/>
                <w:w w:val="99"/>
              </w:rPr>
              <w:t>(2)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Stock-based awards, ESOP activity and other</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206</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(8,769)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26, 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(8,086)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1,681</w:t>
            </w:r>
          </w:p>
        </w:tc>
        <w:tc>
          <w:tcPr>
            <w:tcW w:w="14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Stock-based awards, ESOP activity and other</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25, 2023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(8,079)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304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rPr>
              <w:t>Lockheed Martin Corporation</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8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99"/>
              </w:rPr>
              <w:t>Consolidated Statements of Equity</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7"/>
          </w:tcPr>
          <w:p>
            <w:pPr>
              <w:jc w:val="center"/>
              <w:ind w:left="1490"/>
              <w:spacing w:after="0"/>
              <w:rPr>
                <w:sz w:val="20"/>
                <w:szCs w:val="20"/>
                <w:color w:val="auto"/>
              </w:rPr>
            </w:pPr>
            <w:r>
              <w:rPr>
                <w:rFonts w:ascii="Arial" w:cs="Arial" w:eastAsia="Arial" w:hAnsi="Arial"/>
                <w:sz w:val="18"/>
                <w:szCs w:val="18"/>
                <w:b w:val="1"/>
                <w:bCs w:val="1"/>
                <w:color w:val="auto"/>
              </w:rPr>
              <w:t>For the Six Months Ended June 30, 2024 and June 25, 2023</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(unaudited; in millions)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Additional</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Common</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Retained</w:t>
            </w:r>
          </w:p>
        </w:tc>
        <w:tc>
          <w:tcPr>
            <w:tcW w:w="160" w:type="dxa"/>
            <w:vAlign w:val="bottom"/>
          </w:tcPr>
          <w:p>
            <w:pPr>
              <w:spacing w:after="0"/>
              <w:rPr>
                <w:sz w:val="15"/>
                <w:szCs w:val="15"/>
                <w:color w:val="auto"/>
              </w:rPr>
            </w:pPr>
          </w:p>
        </w:tc>
        <w:tc>
          <w:tcPr>
            <w:tcW w:w="14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Other</w:t>
            </w:r>
          </w:p>
        </w:tc>
        <w:tc>
          <w:tcPr>
            <w:tcW w:w="300" w:type="dxa"/>
            <w:vAlign w:val="bottom"/>
          </w:tcPr>
          <w:p>
            <w:pPr>
              <w:spacing w:after="0"/>
              <w:rPr>
                <w:sz w:val="15"/>
                <w:szCs w:val="15"/>
                <w:color w:val="auto"/>
              </w:rPr>
            </w:pP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Paid-in</w:t>
            </w: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Stock</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(8,803)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3,186</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(2,277)</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(246)</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Stock-based awards, ESOP activity and other</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246</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(8,769)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(8,023)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3,370</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(2,291)</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Stock-based awards, ESOP activity and other</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25 2023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(8,079)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85"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We prepared these consolidated financial statements in accordance with U.S. generally accepted accounting principles (GAAP) for interim financial information, the instructions to Form 10-Q and Article 10 of U.S. Securities and Exchange Commission (SEC) Regulation S-X. Accordingly, they do not include all of the information and notes required by GAAP for complete financial statements.</w:t>
      </w:r>
    </w:p>
    <w:p>
      <w:pPr>
        <w:spacing w:after="0" w:line="144"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the opinion of management, these consolidated financial statements reflect all adjustments that are of a normal recurring nature necessary for a fair presentation of our results of operations, financial condition, and cash flows for the interim periods presented. The preparation of these consolidated financial statements requires us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Significant estimates inherent in the preparation of our consolidated financial statements include, but are not limited to, accounting for sales and cost recognition; postretirement benefit plans; environmental liabilities and assets for the portion of environmental costs that are probable of future recovery; evaluation of goodwill, intangible assets, investments and other assets for impairment; income taxes including deferred tax assets; fair value measurements; and contingencies. The consolidated financial statements include the accounts of subsidiaries we control and variable interest entities if we are the primary beneficiary. We eliminate intercompany balances and transactions in consolidation.</w:t>
      </w:r>
    </w:p>
    <w:p>
      <w:pPr>
        <w:spacing w:after="0" w:line="149"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close our books and records on the last Sunday of the interim calendar quarter, which was on June 30 for the second quarter of 2024 and June 25 for the second quarter of 2023, to align our financial closing with our business processes. The consolidated financial statements and tables of financial information included herein are labeled based on that convention. This practice only affects interim periods as our fiscal year ends on December 31.</w:t>
      </w:r>
    </w:p>
    <w:p>
      <w:pPr>
        <w:spacing w:after="0" w:line="136"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The results of operations for the interim periods presented are not necessarily indicative of results to be expected for the full year or future periods. Unless otherwise noted, we present all per share amounts cited in these consolidated financial statements on a “per diluted share” basis. These consolidated financial statements should be read in conjunction with the audited consolidated financial statements and notes thereto included in our Annual Report on Form 10-K for the year ended December 31, 2023 (2023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COMMON SHARE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number of shares outstanding used to compute earnings per common share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spacing w:after="0"/>
              <w:rPr>
                <w:sz w:val="20"/>
                <w:szCs w:val="20"/>
                <w:color w:val="auto"/>
              </w:rPr>
            </w:pPr>
          </w:p>
        </w:tc>
        <w:tc>
          <w:tcPr>
            <w:tcW w:w="318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Quarters Ended</w:t>
            </w:r>
          </w:p>
        </w:tc>
        <w:tc>
          <w:tcPr>
            <w:tcW w:w="328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7"/>
        </w:trPr>
        <w:tc>
          <w:tcPr>
            <w:tcW w:w="4780" w:type="dxa"/>
            <w:vAlign w:val="bottom"/>
          </w:tcPr>
          <w:p>
            <w:pPr>
              <w:spacing w:after="0"/>
              <w:rPr>
                <w:sz w:val="15"/>
                <w:szCs w:val="15"/>
                <w:color w:val="auto"/>
              </w:rPr>
            </w:pPr>
          </w:p>
        </w:tc>
        <w:tc>
          <w:tcPr>
            <w:tcW w:w="156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30,</w:t>
            </w:r>
          </w:p>
        </w:tc>
        <w:tc>
          <w:tcPr>
            <w:tcW w:w="162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June 25,</w:t>
            </w:r>
          </w:p>
        </w:tc>
        <w:tc>
          <w:tcPr>
            <w:tcW w:w="1720" w:type="dxa"/>
            <w:vAlign w:val="bottom"/>
          </w:tcPr>
          <w:p>
            <w:pPr>
              <w:jc w:val="right"/>
              <w:ind w:right="450"/>
              <w:spacing w:after="0" w:line="177" w:lineRule="exact"/>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25,</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77"/>
        </w:trPr>
        <w:tc>
          <w:tcPr>
            <w:tcW w:w="47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Weighted average common shares outstanding for basic</w:t>
            </w:r>
          </w:p>
        </w:tc>
        <w:tc>
          <w:tcPr>
            <w:tcW w:w="15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238.9</w:t>
            </w:r>
          </w:p>
        </w:tc>
        <w:tc>
          <w:tcPr>
            <w:tcW w:w="162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252.8</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239.8</w:t>
            </w:r>
          </w:p>
        </w:tc>
        <w:tc>
          <w:tcPr>
            <w:tcW w:w="15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35"/>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computations</w:t>
            </w:r>
          </w:p>
        </w:tc>
        <w:tc>
          <w:tcPr>
            <w:tcW w:w="1560" w:type="dxa"/>
            <w:vAlign w:val="bottom"/>
            <w:vMerge w:val="continue"/>
            <w:shd w:val="clear" w:color="auto" w:fill="CCEEFF"/>
          </w:tcPr>
          <w:p>
            <w:pPr>
              <w:spacing w:after="0"/>
              <w:rPr>
                <w:sz w:val="20"/>
                <w:szCs w:val="20"/>
                <w:color w:val="auto"/>
              </w:rPr>
            </w:pPr>
          </w:p>
        </w:tc>
        <w:tc>
          <w:tcPr>
            <w:tcW w:w="162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dilutive effect of equity awards</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0.7</w:t>
            </w: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0.8</w:t>
            </w: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0.8</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77"/>
        </w:trPr>
        <w:tc>
          <w:tcPr>
            <w:tcW w:w="47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Weighted average common shares outstanding for diluted</w:t>
            </w:r>
          </w:p>
        </w:tc>
        <w:tc>
          <w:tcPr>
            <w:tcW w:w="15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239.6</w:t>
            </w:r>
          </w:p>
        </w:tc>
        <w:tc>
          <w:tcPr>
            <w:tcW w:w="162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253.6</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240.6</w:t>
            </w:r>
          </w:p>
        </w:tc>
        <w:tc>
          <w:tcPr>
            <w:tcW w:w="15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42"/>
        </w:trPr>
        <w:tc>
          <w:tcPr>
            <w:tcW w:w="4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computations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620" w:type="dxa"/>
            <w:vAlign w:val="bottom"/>
            <w:tcBorders>
              <w:bottom w:val="single" w:sz="8" w:color="auto"/>
            </w:tcBorders>
            <w:vMerge w:val="continue"/>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during the quarters and six months ended June 30, 2024 and June 25, 2023. Basic and diluted weighted average common shares outstanding decreased in 2024 compared to 2023 due to share repurchases. See “Note 9 - Stockholders’ Equity” for more information.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INFORMATION ON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four business segments: Aeronautics, Missiles and Fire Control (MFC), Rotary and Mission Systems (RMS) and Space.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organize our business segments based on the nature of products and services offered.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by Business Segment</w:t>
      </w:r>
    </w:p>
    <w:p>
      <w:pPr>
        <w:spacing w:after="0" w:line="198" w:lineRule="exact"/>
        <w:rPr>
          <w:sz w:val="20"/>
          <w:szCs w:val="20"/>
          <w:color w:val="auto"/>
        </w:rPr>
      </w:pPr>
    </w:p>
    <w:p>
      <w:pPr>
        <w:ind w:right="420" w:firstLine="445"/>
        <w:spacing w:after="0" w:line="262" w:lineRule="auto"/>
        <w:rPr>
          <w:sz w:val="20"/>
          <w:szCs w:val="20"/>
          <w:color w:val="auto"/>
        </w:rPr>
      </w:pPr>
      <w:r>
        <w:rPr>
          <w:rFonts w:ascii="Arial" w:cs="Arial" w:eastAsia="Arial" w:hAnsi="Arial"/>
          <w:sz w:val="18"/>
          <w:szCs w:val="18"/>
          <w:color w:val="auto"/>
        </w:rPr>
        <w:t>Net sales and operating profit of our business segments exclude intersegment sales, cost of sales and profit as these activities are eliminated in consolidation and thus are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each of our business segments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7"/>
                <w:szCs w:val="17"/>
                <w:b w:val="1"/>
                <w:bCs w:val="1"/>
                <w:color w:val="auto"/>
              </w:rPr>
              <w:t>Quarters Ended</w:t>
            </w:r>
          </w:p>
        </w:tc>
        <w:tc>
          <w:tcPr>
            <w:tcW w:w="5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7"/>
                <w:szCs w:val="17"/>
                <w:b w:val="1"/>
                <w:bCs w:val="1"/>
                <w:color w:val="auto"/>
              </w:rPr>
              <w:t>Six Months Ended</w:t>
            </w:r>
          </w:p>
        </w:tc>
      </w:tr>
      <w:tr>
        <w:trPr>
          <w:trHeight w:val="162"/>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95"/>
              <w:spacing w:after="0" w:line="162" w:lineRule="exact"/>
              <w:rPr>
                <w:sz w:val="20"/>
                <w:szCs w:val="20"/>
                <w:color w:val="auto"/>
              </w:rPr>
            </w:pPr>
            <w:r>
              <w:rPr>
                <w:rFonts w:ascii="Arial" w:cs="Arial" w:eastAsia="Arial" w:hAnsi="Arial"/>
                <w:sz w:val="17"/>
                <w:szCs w:val="17"/>
                <w:b w:val="1"/>
                <w:bCs w:val="1"/>
                <w:color w:val="auto"/>
              </w:rPr>
              <w:t>June 30,</w:t>
            </w:r>
          </w:p>
        </w:tc>
        <w:tc>
          <w:tcPr>
            <w:tcW w:w="560" w:type="dxa"/>
            <w:vAlign w:val="bottom"/>
          </w:tcPr>
          <w:p>
            <w:pPr>
              <w:spacing w:after="0"/>
              <w:rPr>
                <w:sz w:val="14"/>
                <w:szCs w:val="14"/>
                <w:color w:val="auto"/>
              </w:rPr>
            </w:pPr>
          </w:p>
        </w:tc>
        <w:tc>
          <w:tcPr>
            <w:tcW w:w="1060" w:type="dxa"/>
            <w:vAlign w:val="bottom"/>
          </w:tcPr>
          <w:p>
            <w:pPr>
              <w:jc w:val="right"/>
              <w:ind w:right="135"/>
              <w:spacing w:after="0" w:line="162" w:lineRule="exact"/>
              <w:rPr>
                <w:sz w:val="20"/>
                <w:szCs w:val="20"/>
                <w:color w:val="auto"/>
              </w:rPr>
            </w:pPr>
            <w:r>
              <w:rPr>
                <w:rFonts w:ascii="Arial" w:cs="Arial" w:eastAsia="Arial" w:hAnsi="Arial"/>
                <w:sz w:val="17"/>
                <w:szCs w:val="17"/>
                <w:b w:val="1"/>
                <w:bCs w:val="1"/>
                <w:color w:val="auto"/>
              </w:rPr>
              <w:t>June 25,</w:t>
            </w:r>
          </w:p>
        </w:tc>
        <w:tc>
          <w:tcPr>
            <w:tcW w:w="500" w:type="dxa"/>
            <w:vAlign w:val="bottom"/>
          </w:tcPr>
          <w:p>
            <w:pPr>
              <w:spacing w:after="0"/>
              <w:rPr>
                <w:sz w:val="14"/>
                <w:szCs w:val="14"/>
                <w:color w:val="auto"/>
              </w:rPr>
            </w:pPr>
          </w:p>
        </w:tc>
        <w:tc>
          <w:tcPr>
            <w:tcW w:w="1140" w:type="dxa"/>
            <w:vAlign w:val="bottom"/>
          </w:tcPr>
          <w:p>
            <w:pPr>
              <w:jc w:val="right"/>
              <w:ind w:right="195"/>
              <w:spacing w:after="0" w:line="162" w:lineRule="exact"/>
              <w:rPr>
                <w:sz w:val="20"/>
                <w:szCs w:val="20"/>
                <w:color w:val="auto"/>
              </w:rPr>
            </w:pPr>
            <w:r>
              <w:rPr>
                <w:rFonts w:ascii="Arial" w:cs="Arial" w:eastAsia="Arial" w:hAnsi="Arial"/>
                <w:sz w:val="17"/>
                <w:szCs w:val="17"/>
                <w:b w:val="1"/>
                <w:bCs w:val="1"/>
                <w:color w:val="auto"/>
              </w:rPr>
              <w:t>June 30,</w:t>
            </w:r>
          </w:p>
        </w:tc>
        <w:tc>
          <w:tcPr>
            <w:tcW w:w="560" w:type="dxa"/>
            <w:vAlign w:val="bottom"/>
          </w:tcPr>
          <w:p>
            <w:pPr>
              <w:spacing w:after="0"/>
              <w:rPr>
                <w:sz w:val="14"/>
                <w:szCs w:val="14"/>
                <w:color w:val="auto"/>
              </w:rPr>
            </w:pPr>
          </w:p>
        </w:tc>
        <w:tc>
          <w:tcPr>
            <w:tcW w:w="1340" w:type="dxa"/>
            <w:vAlign w:val="bottom"/>
          </w:tcPr>
          <w:p>
            <w:pPr>
              <w:jc w:val="right"/>
              <w:ind w:right="395"/>
              <w:spacing w:after="0" w:line="162" w:lineRule="exact"/>
              <w:rPr>
                <w:sz w:val="20"/>
                <w:szCs w:val="20"/>
                <w:color w:val="auto"/>
              </w:rPr>
            </w:pPr>
            <w:r>
              <w:rPr>
                <w:rFonts w:ascii="Arial" w:cs="Arial" w:eastAsia="Arial" w:hAnsi="Arial"/>
                <w:sz w:val="17"/>
                <w:szCs w:val="17"/>
                <w:b w:val="1"/>
                <w:bCs w:val="1"/>
                <w:color w:val="auto"/>
              </w:rPr>
              <w:t>June 25,</w:t>
            </w:r>
          </w:p>
        </w:tc>
      </w:tr>
      <w:tr>
        <w:trPr>
          <w:trHeight w:val="225"/>
        </w:trPr>
        <w:tc>
          <w:tcPr>
            <w:tcW w:w="4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2024</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2024</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2023</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7"/>
                <w:szCs w:val="17"/>
                <w:color w:val="auto"/>
              </w:rPr>
              <w:t>Aeronautics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7,277</w:t>
            </w:r>
          </w:p>
        </w:tc>
        <w:tc>
          <w:tcPr>
            <w:tcW w:w="5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6,875</w:t>
            </w:r>
          </w:p>
        </w:tc>
        <w:tc>
          <w:tcPr>
            <w:tcW w:w="50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15"/>
              <w:spacing w:after="0"/>
              <w:rPr>
                <w:sz w:val="20"/>
                <w:szCs w:val="20"/>
                <w:color w:val="auto"/>
              </w:rPr>
            </w:pPr>
            <w:r>
              <w:rPr>
                <w:rFonts w:ascii="Arial" w:cs="Arial" w:eastAsia="Arial" w:hAnsi="Arial"/>
                <w:sz w:val="17"/>
                <w:szCs w:val="17"/>
                <w:b w:val="1"/>
                <w:bCs w:val="1"/>
                <w:color w:val="auto"/>
              </w:rPr>
              <w:t>14,122</w:t>
            </w:r>
          </w:p>
        </w:tc>
        <w:tc>
          <w:tcPr>
            <w:tcW w:w="5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13,144</w:t>
            </w: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Missiles and Fire Control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3,102</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2,755</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6,095</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5,143</w:t>
            </w:r>
          </w:p>
        </w:tc>
      </w:tr>
      <w:tr>
        <w:trPr>
          <w:trHeight w:val="230"/>
        </w:trPr>
        <w:tc>
          <w:tcPr>
            <w:tcW w:w="4680" w:type="dxa"/>
            <w:vAlign w:val="bottom"/>
          </w:tcPr>
          <w:p>
            <w:pPr>
              <w:ind w:left="220"/>
              <w:spacing w:after="0"/>
              <w:rPr>
                <w:sz w:val="20"/>
                <w:szCs w:val="20"/>
                <w:color w:val="auto"/>
              </w:rPr>
            </w:pPr>
            <w:r>
              <w:rPr>
                <w:rFonts w:ascii="Arial" w:cs="Arial" w:eastAsia="Arial" w:hAnsi="Arial"/>
                <w:sz w:val="17"/>
                <w:szCs w:val="17"/>
                <w:color w:val="auto"/>
              </w:rPr>
              <w:t>Rotary and Mission Systems</w:t>
            </w:r>
          </w:p>
        </w:tc>
        <w:tc>
          <w:tcPr>
            <w:tcW w:w="28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4,548</w:t>
            </w:r>
          </w:p>
        </w:tc>
        <w:tc>
          <w:tcPr>
            <w:tcW w:w="56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3,897</w:t>
            </w:r>
          </w:p>
        </w:tc>
        <w:tc>
          <w:tcPr>
            <w:tcW w:w="500" w:type="dxa"/>
            <w:vAlign w:val="bottom"/>
          </w:tcPr>
          <w:p>
            <w:pPr>
              <w:spacing w:after="0"/>
              <w:rPr>
                <w:sz w:val="19"/>
                <w:szCs w:val="19"/>
                <w:color w:val="auto"/>
              </w:rPr>
            </w:pPr>
          </w:p>
        </w:tc>
        <w:tc>
          <w:tcPr>
            <w:tcW w:w="1140" w:type="dxa"/>
            <w:vAlign w:val="bottom"/>
          </w:tcPr>
          <w:p>
            <w:pPr>
              <w:jc w:val="right"/>
              <w:ind w:right="315"/>
              <w:spacing w:after="0"/>
              <w:rPr>
                <w:sz w:val="20"/>
                <w:szCs w:val="20"/>
                <w:color w:val="auto"/>
              </w:rPr>
            </w:pPr>
            <w:r>
              <w:rPr>
                <w:rFonts w:ascii="Arial" w:cs="Arial" w:eastAsia="Arial" w:hAnsi="Arial"/>
                <w:sz w:val="17"/>
                <w:szCs w:val="17"/>
                <w:b w:val="1"/>
                <w:bCs w:val="1"/>
                <w:color w:val="auto"/>
              </w:rPr>
              <w:t>8,636</w:t>
            </w:r>
          </w:p>
        </w:tc>
        <w:tc>
          <w:tcPr>
            <w:tcW w:w="56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7,407</w:t>
            </w:r>
          </w:p>
        </w:tc>
      </w:tr>
      <w:tr>
        <w:trPr>
          <w:trHeight w:val="229"/>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Space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3,195</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3,166</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6,464</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6,125</w:t>
            </w:r>
          </w:p>
        </w:tc>
      </w:tr>
      <w:tr>
        <w:trPr>
          <w:trHeight w:val="223"/>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18,122</w:t>
            </w: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16,693</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35,317</w:t>
            </w: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31,819</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profit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7"/>
                <w:szCs w:val="17"/>
                <w:color w:val="auto"/>
              </w:rPr>
              <w:t>Aeronautics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751</w:t>
            </w:r>
          </w:p>
        </w:tc>
        <w:tc>
          <w:tcPr>
            <w:tcW w:w="5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718</w:t>
            </w:r>
          </w:p>
        </w:tc>
        <w:tc>
          <w:tcPr>
            <w:tcW w:w="50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15"/>
              <w:spacing w:after="0"/>
              <w:rPr>
                <w:sz w:val="20"/>
                <w:szCs w:val="20"/>
                <w:color w:val="auto"/>
              </w:rPr>
            </w:pPr>
            <w:r>
              <w:rPr>
                <w:rFonts w:ascii="Arial" w:cs="Arial" w:eastAsia="Arial" w:hAnsi="Arial"/>
                <w:sz w:val="17"/>
                <w:szCs w:val="17"/>
                <w:b w:val="1"/>
                <w:bCs w:val="1"/>
                <w:color w:val="auto"/>
              </w:rPr>
              <w:t>1,430</w:t>
            </w:r>
          </w:p>
        </w:tc>
        <w:tc>
          <w:tcPr>
            <w:tcW w:w="5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1,393</w:t>
            </w: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Missiles and Fire Control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450</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371</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761</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748</w:t>
            </w:r>
          </w:p>
        </w:tc>
      </w:tr>
      <w:tr>
        <w:trPr>
          <w:trHeight w:val="230"/>
        </w:trPr>
        <w:tc>
          <w:tcPr>
            <w:tcW w:w="4680" w:type="dxa"/>
            <w:vAlign w:val="bottom"/>
          </w:tcPr>
          <w:p>
            <w:pPr>
              <w:ind w:left="220"/>
              <w:spacing w:after="0"/>
              <w:rPr>
                <w:sz w:val="20"/>
                <w:szCs w:val="20"/>
                <w:color w:val="auto"/>
              </w:rPr>
            </w:pPr>
            <w:r>
              <w:rPr>
                <w:rFonts w:ascii="Arial" w:cs="Arial" w:eastAsia="Arial" w:hAnsi="Arial"/>
                <w:sz w:val="17"/>
                <w:szCs w:val="17"/>
                <w:color w:val="auto"/>
              </w:rPr>
              <w:t>Rotary and Mission Systems</w:t>
            </w:r>
          </w:p>
        </w:tc>
        <w:tc>
          <w:tcPr>
            <w:tcW w:w="28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495</w:t>
            </w:r>
          </w:p>
        </w:tc>
        <w:tc>
          <w:tcPr>
            <w:tcW w:w="56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454</w:t>
            </w:r>
          </w:p>
        </w:tc>
        <w:tc>
          <w:tcPr>
            <w:tcW w:w="500" w:type="dxa"/>
            <w:vAlign w:val="bottom"/>
          </w:tcPr>
          <w:p>
            <w:pPr>
              <w:spacing w:after="0"/>
              <w:rPr>
                <w:sz w:val="19"/>
                <w:szCs w:val="19"/>
                <w:color w:val="auto"/>
              </w:rPr>
            </w:pPr>
          </w:p>
        </w:tc>
        <w:tc>
          <w:tcPr>
            <w:tcW w:w="1140" w:type="dxa"/>
            <w:vAlign w:val="bottom"/>
          </w:tcPr>
          <w:p>
            <w:pPr>
              <w:jc w:val="right"/>
              <w:ind w:right="315"/>
              <w:spacing w:after="0"/>
              <w:rPr>
                <w:sz w:val="20"/>
                <w:szCs w:val="20"/>
                <w:color w:val="auto"/>
              </w:rPr>
            </w:pPr>
            <w:r>
              <w:rPr>
                <w:rFonts w:ascii="Arial" w:cs="Arial" w:eastAsia="Arial" w:hAnsi="Arial"/>
                <w:sz w:val="17"/>
                <w:szCs w:val="17"/>
                <w:b w:val="1"/>
                <w:bCs w:val="1"/>
                <w:color w:val="auto"/>
              </w:rPr>
              <w:t>925</w:t>
            </w:r>
          </w:p>
        </w:tc>
        <w:tc>
          <w:tcPr>
            <w:tcW w:w="56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804</w:t>
            </w:r>
          </w:p>
        </w:tc>
      </w:tr>
      <w:tr>
        <w:trPr>
          <w:trHeight w:val="229"/>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Space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346</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312</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671</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592</w:t>
            </w:r>
          </w:p>
        </w:tc>
      </w:tr>
      <w:tr>
        <w:trPr>
          <w:trHeight w:val="223"/>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business segment operating profit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2,042</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1,855</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3,787</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3,537</w:t>
            </w:r>
          </w:p>
        </w:tc>
      </w:tr>
      <w:tr>
        <w:trPr>
          <w:trHeight w:val="223"/>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Unallocated items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680" w:type="dxa"/>
            <w:vAlign w:val="bottom"/>
          </w:tcPr>
          <w:p>
            <w:pPr>
              <w:ind w:left="360"/>
              <w:spacing w:after="0"/>
              <w:rPr>
                <w:sz w:val="20"/>
                <w:szCs w:val="20"/>
                <w:color w:val="auto"/>
              </w:rPr>
            </w:pPr>
            <w:r>
              <w:rPr>
                <w:rFonts w:ascii="Arial" w:cs="Arial" w:eastAsia="Arial" w:hAnsi="Arial"/>
                <w:sz w:val="17"/>
                <w:szCs w:val="17"/>
                <w:color w:val="auto"/>
              </w:rPr>
              <w:t>FAS/CAS pension operating adjustment</w:t>
            </w:r>
          </w:p>
        </w:tc>
        <w:tc>
          <w:tcPr>
            <w:tcW w:w="28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406</w:t>
            </w:r>
          </w:p>
        </w:tc>
        <w:tc>
          <w:tcPr>
            <w:tcW w:w="56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416</w:t>
            </w:r>
          </w:p>
        </w:tc>
        <w:tc>
          <w:tcPr>
            <w:tcW w:w="500" w:type="dxa"/>
            <w:vAlign w:val="bottom"/>
          </w:tcPr>
          <w:p>
            <w:pPr>
              <w:spacing w:after="0"/>
              <w:rPr>
                <w:sz w:val="19"/>
                <w:szCs w:val="19"/>
                <w:color w:val="auto"/>
              </w:rPr>
            </w:pPr>
          </w:p>
        </w:tc>
        <w:tc>
          <w:tcPr>
            <w:tcW w:w="1140" w:type="dxa"/>
            <w:vAlign w:val="bottom"/>
          </w:tcPr>
          <w:p>
            <w:pPr>
              <w:jc w:val="right"/>
              <w:ind w:right="315"/>
              <w:spacing w:after="0"/>
              <w:rPr>
                <w:sz w:val="20"/>
                <w:szCs w:val="20"/>
                <w:color w:val="auto"/>
              </w:rPr>
            </w:pPr>
            <w:r>
              <w:rPr>
                <w:rFonts w:ascii="Arial" w:cs="Arial" w:eastAsia="Arial" w:hAnsi="Arial"/>
                <w:sz w:val="17"/>
                <w:szCs w:val="17"/>
                <w:b w:val="1"/>
                <w:bCs w:val="1"/>
                <w:color w:val="auto"/>
              </w:rPr>
              <w:t>812</w:t>
            </w:r>
          </w:p>
        </w:tc>
        <w:tc>
          <w:tcPr>
            <w:tcW w:w="56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831</w:t>
            </w:r>
          </w:p>
        </w:tc>
      </w:tr>
      <w:tr>
        <w:trPr>
          <w:trHeight w:val="230"/>
        </w:trPr>
        <w:tc>
          <w:tcPr>
            <w:tcW w:w="4680" w:type="dxa"/>
            <w:vAlign w:val="bottom"/>
            <w:shd w:val="clear" w:color="auto" w:fill="CCEEFF"/>
          </w:tcPr>
          <w:p>
            <w:pPr>
              <w:ind w:left="360"/>
              <w:spacing w:after="0" w:line="229" w:lineRule="exact"/>
              <w:rPr>
                <w:sz w:val="20"/>
                <w:szCs w:val="20"/>
                <w:color w:val="auto"/>
              </w:rPr>
            </w:pPr>
            <w:r>
              <w:rPr>
                <w:rFonts w:ascii="Arial" w:cs="Arial" w:eastAsia="Arial" w:hAnsi="Arial"/>
                <w:sz w:val="17"/>
                <w:szCs w:val="17"/>
                <w:color w:val="auto"/>
              </w:rPr>
              <w:t xml:space="preserve">Impairment and severance charges </w:t>
            </w:r>
            <w:r>
              <w:rPr>
                <w:rFonts w:ascii="Arial" w:cs="Arial" w:eastAsia="Arial" w:hAnsi="Arial"/>
                <w:sz w:val="22"/>
                <w:szCs w:val="22"/>
                <w:color w:val="auto"/>
                <w:vertAlign w:val="superscript"/>
              </w:rPr>
              <w:t>(a)</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(87)</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(87)</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30"/>
        </w:trPr>
        <w:tc>
          <w:tcPr>
            <w:tcW w:w="4680" w:type="dxa"/>
            <w:vAlign w:val="bottom"/>
          </w:tcPr>
          <w:p>
            <w:pPr>
              <w:ind w:left="360"/>
              <w:spacing w:after="0"/>
              <w:rPr>
                <w:sz w:val="20"/>
                <w:szCs w:val="20"/>
                <w:color w:val="auto"/>
              </w:rPr>
            </w:pPr>
            <w:r>
              <w:rPr>
                <w:rFonts w:ascii="Arial" w:cs="Arial" w:eastAsia="Arial" w:hAnsi="Arial"/>
                <w:sz w:val="17"/>
                <w:szCs w:val="17"/>
                <w:color w:val="auto"/>
              </w:rPr>
              <w:t>Intangible asset amortization expense</w:t>
            </w:r>
          </w:p>
        </w:tc>
        <w:tc>
          <w:tcPr>
            <w:tcW w:w="280" w:type="dxa"/>
            <w:vAlign w:val="bottom"/>
          </w:tcPr>
          <w:p>
            <w:pPr>
              <w:spacing w:after="0"/>
              <w:rPr>
                <w:sz w:val="19"/>
                <w:szCs w:val="19"/>
                <w:color w:val="auto"/>
              </w:rPr>
            </w:pPr>
          </w:p>
        </w:tc>
        <w:tc>
          <w:tcPr>
            <w:tcW w:w="1120" w:type="dxa"/>
            <w:vAlign w:val="bottom"/>
          </w:tcPr>
          <w:p>
            <w:pPr>
              <w:jc w:val="right"/>
              <w:ind w:right="255"/>
              <w:spacing w:after="0"/>
              <w:rPr>
                <w:sz w:val="20"/>
                <w:szCs w:val="20"/>
                <w:color w:val="auto"/>
              </w:rPr>
            </w:pPr>
            <w:r>
              <w:rPr>
                <w:rFonts w:ascii="Arial" w:cs="Arial" w:eastAsia="Arial" w:hAnsi="Arial"/>
                <w:sz w:val="17"/>
                <w:szCs w:val="17"/>
                <w:b w:val="1"/>
                <w:bCs w:val="1"/>
                <w:color w:val="auto"/>
              </w:rPr>
              <w:t>(61)</w:t>
            </w:r>
          </w:p>
        </w:tc>
        <w:tc>
          <w:tcPr>
            <w:tcW w:w="560" w:type="dxa"/>
            <w:vAlign w:val="bottom"/>
          </w:tcPr>
          <w:p>
            <w:pPr>
              <w:spacing w:after="0"/>
              <w:rPr>
                <w:sz w:val="19"/>
                <w:szCs w:val="19"/>
                <w:color w:val="auto"/>
              </w:rPr>
            </w:pPr>
          </w:p>
        </w:tc>
        <w:tc>
          <w:tcPr>
            <w:tcW w:w="1060" w:type="dxa"/>
            <w:vAlign w:val="bottom"/>
          </w:tcPr>
          <w:p>
            <w:pPr>
              <w:jc w:val="right"/>
              <w:ind w:right="215"/>
              <w:spacing w:after="0"/>
              <w:rPr>
                <w:sz w:val="20"/>
                <w:szCs w:val="20"/>
                <w:color w:val="auto"/>
              </w:rPr>
            </w:pPr>
            <w:r>
              <w:rPr>
                <w:rFonts w:ascii="Arial" w:cs="Arial" w:eastAsia="Arial" w:hAnsi="Arial"/>
                <w:sz w:val="17"/>
                <w:szCs w:val="17"/>
                <w:color w:val="auto"/>
              </w:rPr>
              <w:t>(62)</w:t>
            </w:r>
          </w:p>
        </w:tc>
        <w:tc>
          <w:tcPr>
            <w:tcW w:w="500" w:type="dxa"/>
            <w:vAlign w:val="bottom"/>
          </w:tcPr>
          <w:p>
            <w:pPr>
              <w:spacing w:after="0"/>
              <w:rPr>
                <w:sz w:val="19"/>
                <w:szCs w:val="19"/>
                <w:color w:val="auto"/>
              </w:rPr>
            </w:pPr>
          </w:p>
        </w:tc>
        <w:tc>
          <w:tcPr>
            <w:tcW w:w="1140" w:type="dxa"/>
            <w:vAlign w:val="bottom"/>
          </w:tcPr>
          <w:p>
            <w:pPr>
              <w:jc w:val="right"/>
              <w:ind w:right="275"/>
              <w:spacing w:after="0"/>
              <w:rPr>
                <w:sz w:val="20"/>
                <w:szCs w:val="20"/>
                <w:color w:val="auto"/>
              </w:rPr>
            </w:pPr>
            <w:r>
              <w:rPr>
                <w:rFonts w:ascii="Arial" w:cs="Arial" w:eastAsia="Arial" w:hAnsi="Arial"/>
                <w:sz w:val="17"/>
                <w:szCs w:val="17"/>
                <w:b w:val="1"/>
                <w:bCs w:val="1"/>
                <w:color w:val="auto"/>
              </w:rPr>
              <w:t>(122)</w:t>
            </w:r>
          </w:p>
        </w:tc>
        <w:tc>
          <w:tcPr>
            <w:tcW w:w="5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(124)</w:t>
            </w:r>
          </w:p>
        </w:tc>
      </w:tr>
      <w:tr>
        <w:trPr>
          <w:trHeight w:val="230"/>
        </w:trPr>
        <w:tc>
          <w:tcPr>
            <w:tcW w:w="4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(152)</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(74)</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(213)</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r>
      <w:tr>
        <w:trPr>
          <w:trHeight w:val="223"/>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unallocated items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106</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280</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390</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635</w:t>
            </w:r>
          </w:p>
        </w:tc>
      </w:tr>
      <w:tr>
        <w:trPr>
          <w:trHeight w:val="223"/>
        </w:trPr>
        <w:tc>
          <w:tcPr>
            <w:tcW w:w="4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consolidated operating profit</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2,148</w:t>
            </w: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2,135</w:t>
            </w:r>
          </w:p>
        </w:tc>
        <w:tc>
          <w:tcPr>
            <w:tcW w:w="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4,177</w:t>
            </w: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4,172</w:t>
            </w: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b w:val="1"/>
                <w:bCs w:val="1"/>
                <w:color w:val="auto"/>
              </w:rPr>
              <w:t>Intersegment sales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Aeronautics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67</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71</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137</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124</w:t>
            </w:r>
          </w:p>
        </w:tc>
      </w:tr>
      <w:tr>
        <w:trPr>
          <w:trHeight w:val="230"/>
        </w:trPr>
        <w:tc>
          <w:tcPr>
            <w:tcW w:w="4680" w:type="dxa"/>
            <w:vAlign w:val="bottom"/>
          </w:tcPr>
          <w:p>
            <w:pPr>
              <w:ind w:left="220"/>
              <w:spacing w:after="0"/>
              <w:rPr>
                <w:sz w:val="20"/>
                <w:szCs w:val="20"/>
                <w:color w:val="auto"/>
              </w:rPr>
            </w:pPr>
            <w:r>
              <w:rPr>
                <w:rFonts w:ascii="Arial" w:cs="Arial" w:eastAsia="Arial" w:hAnsi="Arial"/>
                <w:sz w:val="17"/>
                <w:szCs w:val="17"/>
                <w:color w:val="auto"/>
              </w:rPr>
              <w:t>Missiles and Fire Control</w:t>
            </w:r>
          </w:p>
        </w:tc>
        <w:tc>
          <w:tcPr>
            <w:tcW w:w="28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204</w:t>
            </w:r>
          </w:p>
        </w:tc>
        <w:tc>
          <w:tcPr>
            <w:tcW w:w="56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159</w:t>
            </w:r>
          </w:p>
        </w:tc>
        <w:tc>
          <w:tcPr>
            <w:tcW w:w="500" w:type="dxa"/>
            <w:vAlign w:val="bottom"/>
          </w:tcPr>
          <w:p>
            <w:pPr>
              <w:spacing w:after="0"/>
              <w:rPr>
                <w:sz w:val="19"/>
                <w:szCs w:val="19"/>
                <w:color w:val="auto"/>
              </w:rPr>
            </w:pPr>
          </w:p>
        </w:tc>
        <w:tc>
          <w:tcPr>
            <w:tcW w:w="1140" w:type="dxa"/>
            <w:vAlign w:val="bottom"/>
          </w:tcPr>
          <w:p>
            <w:pPr>
              <w:jc w:val="right"/>
              <w:ind w:right="315"/>
              <w:spacing w:after="0"/>
              <w:rPr>
                <w:sz w:val="20"/>
                <w:szCs w:val="20"/>
                <w:color w:val="auto"/>
              </w:rPr>
            </w:pPr>
            <w:r>
              <w:rPr>
                <w:rFonts w:ascii="Arial" w:cs="Arial" w:eastAsia="Arial" w:hAnsi="Arial"/>
                <w:sz w:val="17"/>
                <w:szCs w:val="17"/>
                <w:b w:val="1"/>
                <w:bCs w:val="1"/>
                <w:color w:val="auto"/>
              </w:rPr>
              <w:t>406</w:t>
            </w:r>
          </w:p>
        </w:tc>
        <w:tc>
          <w:tcPr>
            <w:tcW w:w="56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305</w:t>
            </w: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Rotary and Mission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574</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505</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1,160</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994</w:t>
            </w:r>
          </w:p>
        </w:tc>
      </w:tr>
      <w:tr>
        <w:trPr>
          <w:trHeight w:val="230"/>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Space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99</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92</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206</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178</w:t>
            </w:r>
          </w:p>
        </w:tc>
      </w:tr>
      <w:tr>
        <w:trPr>
          <w:trHeight w:val="230"/>
        </w:trPr>
        <w:tc>
          <w:tcPr>
            <w:tcW w:w="4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intersegment sales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944</w:t>
            </w: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827</w:t>
            </w:r>
          </w:p>
        </w:tc>
        <w:tc>
          <w:tcPr>
            <w:tcW w:w="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1,909</w:t>
            </w: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1,601</w:t>
            </w:r>
          </w:p>
        </w:tc>
      </w:tr>
    </w:tbl>
    <w:p>
      <w:pPr>
        <w:spacing w:after="0" w:line="80" w:lineRule="exact"/>
        <w:rPr>
          <w:sz w:val="20"/>
          <w:szCs w:val="20"/>
          <w:color w:val="auto"/>
        </w:rPr>
      </w:pPr>
    </w:p>
    <w:p>
      <w:pPr>
        <w:ind w:left="420" w:right="120" w:hanging="412"/>
        <w:spacing w:after="0" w:line="227" w:lineRule="auto"/>
        <w:tabs>
          <w:tab w:leader="none" w:pos="413"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Impairment and severance charges of $87 million ($69 million, or $0.29 per share, after-tax) include trademark and fixed asset impairments as well as severance costs. See “Note 10 - Other” below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Items</w:t>
      </w:r>
    </w:p>
    <w:p>
      <w:pPr>
        <w:spacing w:after="0" w:line="183" w:lineRule="exact"/>
        <w:rPr>
          <w:sz w:val="20"/>
          <w:szCs w:val="20"/>
          <w:color w:val="auto"/>
        </w:rPr>
      </w:pPr>
    </w:p>
    <w:p>
      <w:pPr>
        <w:jc w:val="both"/>
        <w:ind w:right="400" w:firstLine="324"/>
        <w:spacing w:after="0" w:line="268" w:lineRule="auto"/>
        <w:rPr>
          <w:sz w:val="20"/>
          <w:szCs w:val="20"/>
          <w:color w:val="auto"/>
        </w:rPr>
      </w:pPr>
      <w:r>
        <w:rPr>
          <w:rFonts w:ascii="Arial" w:cs="Arial" w:eastAsia="Arial" w:hAnsi="Arial"/>
          <w:sz w:val="18"/>
          <w:szCs w:val="18"/>
          <w:color w:val="auto"/>
        </w:rPr>
        <w:t>Business segment operating profit excludes the FAS/CAS pension operating adjustment, a portion of corporate costs not considered allowable or allocable to contracts with the U.S. Government under the applicable U.S. Government cost accounting standards (CAS) or federal acquisition regulations (FAR), and other items not considered part of</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management’s evaluation of segment operating performance such as a portion of management and administration costs, legal fees and settlements, stock-based compensation expense, changes in the fair value of assets and liabilities for deferred compensation plans, retiree benefits, significant severance charges, significant asset impairments, gains or losses from divestitures, intangible asset amortization expense, and other miscellaneous corporate activities. Excluded items are included in the reconciling item “Unallocated items” between operating profit from our business segments and our consolidated operating profit. See “Note 10 - Other” for a discussion related to certain factors that may impact the comparability of net sales and operating profit of our business segments.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FAS/CAS Pension Operating Adjustment</w:t>
      </w:r>
    </w:p>
    <w:p>
      <w:pPr>
        <w:spacing w:after="0" w:line="18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business segments’ results of operations include pension expense only as calculated under U.S. Government Cost Accounting Standards (CAS), which we refer to as CAS pension cost. 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Financial Accounting Standards (FAS) requirements under U.S. GAAP. The operating portion of the total FAS/CAS pension adjustment represents the difference between the service cost component of FAS pension income (expense) and total CAS pension cost. The non-service FAS pension income components are included in non-service FAS pension income in our consolidated statements of earnings. As a result, to the extent that CAS pension cost exceeds the service cost component of FAS pension income (expense) we have a favorable FAS/CAS pension operating adjustment.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Net Sales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products and services, contract type, customer, and geographic region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7"/>
                <w:szCs w:val="17"/>
                <w:b w:val="1"/>
                <w:bCs w:val="1"/>
                <w:color w:val="auto"/>
              </w:rPr>
              <w:t>Quarter Ended June 30, 2024</w:t>
            </w: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4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Aeronautics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MFC</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RMS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w w:val="95"/>
              </w:rPr>
              <w:t>Space</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Total</w:t>
            </w:r>
          </w:p>
        </w:tc>
        <w:tc>
          <w:tcPr>
            <w:tcW w:w="60" w:type="dxa"/>
            <w:vAlign w:val="bottom"/>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Products</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5,971</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2,742</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3,705</w:t>
            </w:r>
          </w:p>
        </w:tc>
        <w:tc>
          <w:tcPr>
            <w:tcW w:w="52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2,691</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15,109</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Services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843</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504</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3,013</w:t>
            </w:r>
          </w:p>
        </w:tc>
        <w:tc>
          <w:tcPr>
            <w:tcW w:w="60" w:type="dxa"/>
            <w:vAlign w:val="bottom"/>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7,277</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3,102</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4,548</w:t>
            </w:r>
          </w:p>
        </w:tc>
        <w:tc>
          <w:tcPr>
            <w:tcW w:w="5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3,195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18,122</w:t>
            </w:r>
          </w:p>
        </w:tc>
        <w:tc>
          <w:tcPr>
            <w:tcW w:w="60" w:type="dxa"/>
            <w:vAlign w:val="bottom"/>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contract type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Fixed-price</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4,945</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2,124</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2,812</w:t>
            </w:r>
          </w:p>
        </w:tc>
        <w:tc>
          <w:tcPr>
            <w:tcW w:w="52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925</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10,806</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Cost-reimbursable</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2,332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978</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1,736</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2,270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7,316</w:t>
            </w:r>
          </w:p>
        </w:tc>
        <w:tc>
          <w:tcPr>
            <w:tcW w:w="60" w:type="dxa"/>
            <w:vAlign w:val="bottom"/>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7,277</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3,102</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4,548</w:t>
            </w:r>
          </w:p>
        </w:tc>
        <w:tc>
          <w:tcPr>
            <w:tcW w:w="5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3,195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18,122</w:t>
            </w:r>
          </w:p>
        </w:tc>
        <w:tc>
          <w:tcPr>
            <w:tcW w:w="60" w:type="dxa"/>
            <w:vAlign w:val="bottom"/>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customer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U.S. Government</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4,941</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2,241</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2,999</w:t>
            </w:r>
          </w:p>
        </w:tc>
        <w:tc>
          <w:tcPr>
            <w:tcW w:w="52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3,107</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13,288</w:t>
            </w:r>
          </w:p>
        </w:tc>
        <w:tc>
          <w:tcPr>
            <w:tcW w:w="60" w:type="dxa"/>
            <w:vAlign w:val="bottom"/>
          </w:tcPr>
          <w:p>
            <w:pPr>
              <w:spacing w:after="0"/>
              <w:rPr>
                <w:sz w:val="19"/>
                <w:szCs w:val="19"/>
                <w:color w:val="auto"/>
              </w:rPr>
            </w:pPr>
          </w:p>
        </w:tc>
      </w:tr>
      <w:tr>
        <w:trPr>
          <w:trHeight w:val="229"/>
        </w:trPr>
        <w:tc>
          <w:tcPr>
            <w:tcW w:w="4080" w:type="dxa"/>
            <w:vAlign w:val="bottom"/>
            <w:shd w:val="clear" w:color="auto" w:fill="CCEEFF"/>
          </w:tcPr>
          <w:p>
            <w:pPr>
              <w:ind w:left="220"/>
              <w:spacing w:after="0" w:line="229"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2,297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1,470</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45</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4,668</w:t>
            </w:r>
          </w:p>
        </w:tc>
        <w:tc>
          <w:tcPr>
            <w:tcW w:w="60" w:type="dxa"/>
            <w:vAlign w:val="bottom"/>
          </w:tcPr>
          <w:p>
            <w:pPr>
              <w:spacing w:after="0"/>
              <w:rPr>
                <w:sz w:val="19"/>
                <w:szCs w:val="19"/>
                <w:color w:val="auto"/>
              </w:rPr>
            </w:pPr>
          </w:p>
        </w:tc>
      </w:tr>
      <w:tr>
        <w:trPr>
          <w:trHeight w:val="230"/>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U.S. commercial and other</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166</w:t>
            </w:r>
          </w:p>
        </w:tc>
        <w:tc>
          <w:tcPr>
            <w:tcW w:w="60" w:type="dxa"/>
            <w:vAlign w:val="bottom"/>
          </w:tcPr>
          <w:p>
            <w:pPr>
              <w:spacing w:after="0"/>
              <w:rPr>
                <w:sz w:val="19"/>
                <w:szCs w:val="19"/>
                <w:color w:val="auto"/>
              </w:rPr>
            </w:pPr>
          </w:p>
        </w:tc>
      </w:tr>
      <w:tr>
        <w:trPr>
          <w:trHeight w:val="223"/>
        </w:trPr>
        <w:tc>
          <w:tcPr>
            <w:tcW w:w="4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7,277</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3,102</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4,548</w:t>
            </w:r>
          </w:p>
        </w:tc>
        <w:tc>
          <w:tcPr>
            <w:tcW w:w="5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3,195</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18,122</w:t>
            </w:r>
          </w:p>
        </w:tc>
        <w:tc>
          <w:tcPr>
            <w:tcW w:w="60" w:type="dxa"/>
            <w:vAlign w:val="bottom"/>
          </w:tcPr>
          <w:p>
            <w:pPr>
              <w:spacing w:after="0"/>
              <w:rPr>
                <w:sz w:val="19"/>
                <w:szCs w:val="19"/>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Net sales by geographic region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4,980</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2,246</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3,078</w:t>
            </w:r>
          </w:p>
        </w:tc>
        <w:tc>
          <w:tcPr>
            <w:tcW w:w="52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3,150</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13,454</w:t>
            </w:r>
          </w:p>
        </w:tc>
        <w:tc>
          <w:tcPr>
            <w:tcW w:w="60" w:type="dxa"/>
            <w:vAlign w:val="bottom"/>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Europe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1,270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52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1,780</w:t>
            </w:r>
          </w:p>
        </w:tc>
        <w:tc>
          <w:tcPr>
            <w:tcW w:w="60" w:type="dxa"/>
            <w:vAlign w:val="bottom"/>
          </w:tcPr>
          <w:p>
            <w:pPr>
              <w:spacing w:after="0"/>
              <w:rPr>
                <w:sz w:val="19"/>
                <w:szCs w:val="19"/>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Asia Pacific</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750</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25</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1,640</w:t>
            </w:r>
          </w:p>
        </w:tc>
        <w:tc>
          <w:tcPr>
            <w:tcW w:w="60" w:type="dxa"/>
            <w:vAlign w:val="bottom"/>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194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450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200</w:t>
            </w:r>
          </w:p>
        </w:tc>
        <w:tc>
          <w:tcPr>
            <w:tcW w:w="52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845</w:t>
            </w:r>
          </w:p>
        </w:tc>
        <w:tc>
          <w:tcPr>
            <w:tcW w:w="60" w:type="dxa"/>
            <w:vAlign w:val="bottom"/>
          </w:tcPr>
          <w:p>
            <w:pPr>
              <w:spacing w:after="0"/>
              <w:rPr>
                <w:sz w:val="19"/>
                <w:szCs w:val="19"/>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238</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403</w:t>
            </w:r>
          </w:p>
        </w:tc>
        <w:tc>
          <w:tcPr>
            <w:tcW w:w="60" w:type="dxa"/>
            <w:vAlign w:val="bottom"/>
          </w:tcPr>
          <w:p>
            <w:pPr>
              <w:spacing w:after="0"/>
              <w:rPr>
                <w:sz w:val="19"/>
                <w:szCs w:val="19"/>
                <w:color w:val="auto"/>
              </w:rPr>
            </w:pPr>
          </w:p>
        </w:tc>
      </w:tr>
      <w:tr>
        <w:trPr>
          <w:trHeight w:val="230"/>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7,277</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3,102</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4,548</w:t>
            </w:r>
          </w:p>
        </w:tc>
        <w:tc>
          <w:tcPr>
            <w:tcW w:w="5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3,195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18,122</w:t>
            </w:r>
          </w:p>
        </w:tc>
        <w:tc>
          <w:tcPr>
            <w:tcW w:w="60" w:type="dxa"/>
            <w:vAlign w:val="bottom"/>
          </w:tcPr>
          <w:p>
            <w:pPr>
              <w:spacing w:after="0"/>
              <w:rPr>
                <w:sz w:val="20"/>
                <w:szCs w:val="20"/>
                <w:color w:val="auto"/>
              </w:rPr>
            </w:pPr>
          </w:p>
        </w:tc>
      </w:tr>
      <w:tr>
        <w:trPr>
          <w:trHeight w:val="376"/>
        </w:trPr>
        <w:tc>
          <w:tcPr>
            <w:tcW w:w="4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jc w:val="center"/>
              <w:ind w:right="235"/>
              <w:spacing w:after="0"/>
              <w:rPr>
                <w:sz w:val="20"/>
                <w:szCs w:val="20"/>
                <w:color w:val="auto"/>
              </w:rPr>
            </w:pPr>
            <w:r>
              <w:rPr>
                <w:rFonts w:ascii="Arial" w:cs="Arial" w:eastAsia="Arial" w:hAnsi="Arial"/>
                <w:sz w:val="17"/>
                <w:szCs w:val="17"/>
                <w:b w:val="1"/>
                <w:bCs w:val="1"/>
                <w:color w:val="auto"/>
              </w:rPr>
              <w:t>Six Months Ended June 30, 2024</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25"/>
        </w:trPr>
        <w:tc>
          <w:tcPr>
            <w:tcW w:w="4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9"/>
              </w:rPr>
              <w:t>Aeronautics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MFC</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RMS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w w:val="95"/>
              </w:rPr>
              <w:t>Space</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Total</w:t>
            </w:r>
          </w:p>
        </w:tc>
        <w:tc>
          <w:tcPr>
            <w:tcW w:w="6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Products</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11,563</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5,406</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6,946</w:t>
            </w:r>
          </w:p>
        </w:tc>
        <w:tc>
          <w:tcPr>
            <w:tcW w:w="52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5,390</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29,305</w:t>
            </w:r>
          </w:p>
        </w:tc>
        <w:tc>
          <w:tcPr>
            <w:tcW w:w="60" w:type="dxa"/>
            <w:vAlign w:val="bottom"/>
          </w:tcPr>
          <w:p>
            <w:pPr>
              <w:spacing w:after="0"/>
              <w:rPr>
                <w:sz w:val="19"/>
                <w:szCs w:val="19"/>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Services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2,559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689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1,690</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1,074</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6,012</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14,122</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6,095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8,636</w:t>
            </w:r>
          </w:p>
        </w:tc>
        <w:tc>
          <w:tcPr>
            <w:tcW w:w="5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6,464</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35,317</w:t>
            </w:r>
          </w:p>
        </w:tc>
        <w:tc>
          <w:tcPr>
            <w:tcW w:w="6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contract type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Fixed-price</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9,529</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4,120</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5,289</w:t>
            </w:r>
          </w:p>
        </w:tc>
        <w:tc>
          <w:tcPr>
            <w:tcW w:w="52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1,825</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20,763</w:t>
            </w:r>
          </w:p>
        </w:tc>
        <w:tc>
          <w:tcPr>
            <w:tcW w:w="60" w:type="dxa"/>
            <w:vAlign w:val="bottom"/>
          </w:tcPr>
          <w:p>
            <w:pPr>
              <w:spacing w:after="0"/>
              <w:rPr>
                <w:sz w:val="19"/>
                <w:szCs w:val="19"/>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Cost-reimbursable</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4,593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1,975</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3,347</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4,639</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14,554</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14,122</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6,095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8,636</w:t>
            </w:r>
          </w:p>
        </w:tc>
        <w:tc>
          <w:tcPr>
            <w:tcW w:w="5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6,464</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35,317</w:t>
            </w:r>
          </w:p>
        </w:tc>
        <w:tc>
          <w:tcPr>
            <w:tcW w:w="6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customer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U.S. Government</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9,607</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4,408</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5,839</w:t>
            </w:r>
          </w:p>
        </w:tc>
        <w:tc>
          <w:tcPr>
            <w:tcW w:w="52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6,269</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26,123</w:t>
            </w:r>
          </w:p>
        </w:tc>
        <w:tc>
          <w:tcPr>
            <w:tcW w:w="60" w:type="dxa"/>
            <w:vAlign w:val="bottom"/>
          </w:tcPr>
          <w:p>
            <w:pPr>
              <w:spacing w:after="0"/>
              <w:rPr>
                <w:sz w:val="19"/>
                <w:szCs w:val="19"/>
                <w:color w:val="auto"/>
              </w:rPr>
            </w:pPr>
          </w:p>
        </w:tc>
      </w:tr>
      <w:tr>
        <w:trPr>
          <w:trHeight w:val="230"/>
        </w:trPr>
        <w:tc>
          <w:tcPr>
            <w:tcW w:w="4080" w:type="dxa"/>
            <w:vAlign w:val="bottom"/>
            <w:shd w:val="clear" w:color="auto" w:fill="CCEEFF"/>
          </w:tcPr>
          <w:p>
            <w:pPr>
              <w:ind w:left="220"/>
              <w:spacing w:after="0" w:line="229"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4,449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1,680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2,632</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8,874</w:t>
            </w:r>
          </w:p>
        </w:tc>
        <w:tc>
          <w:tcPr>
            <w:tcW w:w="60" w:type="dxa"/>
            <w:vAlign w:val="bottom"/>
            <w:shd w:val="clear" w:color="auto" w:fill="CCEEFF"/>
          </w:tcPr>
          <w:p>
            <w:pPr>
              <w:spacing w:after="0"/>
              <w:rPr>
                <w:sz w:val="19"/>
                <w:szCs w:val="19"/>
                <w:color w:val="auto"/>
              </w:rPr>
            </w:pPr>
          </w:p>
        </w:tc>
      </w:tr>
      <w:tr>
        <w:trPr>
          <w:trHeight w:val="229"/>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U.S. commercial and other</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165</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320</w:t>
            </w:r>
          </w:p>
        </w:tc>
        <w:tc>
          <w:tcPr>
            <w:tcW w:w="60" w:type="dxa"/>
            <w:vAlign w:val="bottom"/>
            <w:tcBorders>
              <w:bottom w:val="single" w:sz="8" w:color="auto"/>
            </w:tcBorders>
          </w:tcPr>
          <w:p>
            <w:pPr>
              <w:spacing w:after="0"/>
              <w:rPr>
                <w:sz w:val="19"/>
                <w:szCs w:val="19"/>
                <w:color w:val="auto"/>
              </w:rPr>
            </w:pPr>
          </w:p>
        </w:tc>
      </w:tr>
      <w:tr>
        <w:trPr>
          <w:trHeight w:val="223"/>
        </w:trPr>
        <w:tc>
          <w:tcPr>
            <w:tcW w:w="4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14,122</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6,095</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8,636</w:t>
            </w:r>
          </w:p>
        </w:tc>
        <w:tc>
          <w:tcPr>
            <w:tcW w:w="5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6,464</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35,317</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Net sales by geographic region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9,673</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4,415</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6,004</w:t>
            </w:r>
          </w:p>
        </w:tc>
        <w:tc>
          <w:tcPr>
            <w:tcW w:w="52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6,351</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26,443</w:t>
            </w:r>
          </w:p>
        </w:tc>
        <w:tc>
          <w:tcPr>
            <w:tcW w:w="60" w:type="dxa"/>
            <w:vAlign w:val="bottom"/>
            <w:shd w:val="clear" w:color="auto" w:fill="CCEEFF"/>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Europe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2,481</w:t>
            </w:r>
          </w:p>
        </w:tc>
        <w:tc>
          <w:tcPr>
            <w:tcW w:w="3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454</w:t>
            </w:r>
          </w:p>
        </w:tc>
        <w:tc>
          <w:tcPr>
            <w:tcW w:w="38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551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3,523</w:t>
            </w:r>
          </w:p>
        </w:tc>
        <w:tc>
          <w:tcPr>
            <w:tcW w:w="60" w:type="dxa"/>
            <w:vAlign w:val="bottom"/>
          </w:tcPr>
          <w:p>
            <w:pPr>
              <w:spacing w:after="0"/>
              <w:rPr>
                <w:sz w:val="19"/>
                <w:szCs w:val="19"/>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Asia Pacific</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1,290</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3,049</w:t>
            </w:r>
          </w:p>
        </w:tc>
        <w:tc>
          <w:tcPr>
            <w:tcW w:w="6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397</w:t>
            </w:r>
          </w:p>
        </w:tc>
        <w:tc>
          <w:tcPr>
            <w:tcW w:w="3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820</w:t>
            </w:r>
          </w:p>
        </w:tc>
        <w:tc>
          <w:tcPr>
            <w:tcW w:w="38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362</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1,584</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250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429</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718</w:t>
            </w:r>
          </w:p>
        </w:tc>
        <w:tc>
          <w:tcPr>
            <w:tcW w:w="60" w:type="dxa"/>
            <w:vAlign w:val="bottom"/>
            <w:tcBorders>
              <w:bottom w:val="single" w:sz="8" w:color="auto"/>
            </w:tcBorders>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14,122</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6,095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8,636</w:t>
            </w:r>
          </w:p>
        </w:tc>
        <w:tc>
          <w:tcPr>
            <w:tcW w:w="5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6,464</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35,317</w:t>
            </w:r>
          </w:p>
        </w:tc>
        <w:tc>
          <w:tcPr>
            <w:tcW w:w="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Quarter Ended June 25, 2023</w:t>
            </w: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5"/>
        </w:trPr>
        <w:tc>
          <w:tcPr>
            <w:tcW w:w="4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Aeronautics</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RMS</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99"/>
              </w:rPr>
              <w:t>Space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Total</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Products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5,645</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2,412</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3,041</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2,660</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13,758</w:t>
            </w:r>
          </w:p>
        </w:tc>
      </w:tr>
      <w:tr>
        <w:trPr>
          <w:trHeight w:val="229"/>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1,230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343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856</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506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2,935</w:t>
            </w: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6,875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2,755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3,897</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3,166</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16,693</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contract type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Fixed-price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4,656</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1,863</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2,451</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799</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9,769</w:t>
            </w:r>
          </w:p>
        </w:tc>
      </w:tr>
      <w:tr>
        <w:trPr>
          <w:trHeight w:val="229"/>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2,219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1,446</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2,367</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6,924</w:t>
            </w: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6,875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2,755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3,897</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3,166</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16,693</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customer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U.S. Government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4,621</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1,911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2,754</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3,121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12,407</w:t>
            </w:r>
          </w:p>
        </w:tc>
      </w:tr>
      <w:tr>
        <w:trPr>
          <w:trHeight w:val="232"/>
        </w:trPr>
        <w:tc>
          <w:tcPr>
            <w:tcW w:w="4120" w:type="dxa"/>
            <w:vAlign w:val="bottom"/>
            <w:shd w:val="clear" w:color="auto" w:fill="CCEEFF"/>
          </w:tcPr>
          <w:p>
            <w:pPr>
              <w:ind w:left="220"/>
              <w:spacing w:after="0" w:line="23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(a)</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2,169</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841</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1,075</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4,126</w:t>
            </w:r>
          </w:p>
        </w:tc>
      </w:tr>
      <w:tr>
        <w:trPr>
          <w:trHeight w:val="22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U.S. commercial and other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r>
      <w:tr>
        <w:trPr>
          <w:trHeight w:val="223"/>
        </w:trPr>
        <w:tc>
          <w:tcPr>
            <w:tcW w:w="4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6,875</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2,755</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3,897</w:t>
            </w:r>
          </w:p>
        </w:tc>
        <w:tc>
          <w:tcPr>
            <w:tcW w:w="4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3,166</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16,693</w:t>
            </w: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Net sales by geographic region</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4,706</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1,914</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2,822</w:t>
            </w:r>
          </w:p>
        </w:tc>
        <w:tc>
          <w:tcPr>
            <w:tcW w:w="4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3,125</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12,567</w:t>
            </w: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Europe</w:t>
            </w:r>
          </w:p>
        </w:tc>
        <w:tc>
          <w:tcPr>
            <w:tcW w:w="14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1,146</w:t>
            </w:r>
          </w:p>
        </w:tc>
        <w:tc>
          <w:tcPr>
            <w:tcW w:w="38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174</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212</w:t>
            </w:r>
          </w:p>
        </w:tc>
        <w:tc>
          <w:tcPr>
            <w:tcW w:w="4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1,556</w:t>
            </w:r>
          </w:p>
        </w:tc>
      </w:tr>
      <w:tr>
        <w:trPr>
          <w:trHeight w:val="232"/>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Asia Pacific</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690</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215</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554</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14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226</w:t>
            </w:r>
          </w:p>
        </w:tc>
        <w:tc>
          <w:tcPr>
            <w:tcW w:w="38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411</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155</w:t>
            </w:r>
          </w:p>
        </w:tc>
        <w:tc>
          <w:tcPr>
            <w:tcW w:w="4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29"/>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107</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154</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32"/>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6,875</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2,755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3,897</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3,166</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16,693</w:t>
            </w: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jc w:val="right"/>
              <w:ind w:right="715"/>
              <w:spacing w:after="0"/>
              <w:rPr>
                <w:sz w:val="20"/>
                <w:szCs w:val="20"/>
                <w:color w:val="auto"/>
              </w:rPr>
            </w:pPr>
            <w:r>
              <w:rPr>
                <w:rFonts w:ascii="Arial" w:cs="Arial" w:eastAsia="Arial" w:hAnsi="Arial"/>
                <w:sz w:val="17"/>
                <w:szCs w:val="17"/>
                <w:b w:val="1"/>
                <w:bCs w:val="1"/>
                <w:color w:val="auto"/>
              </w:rPr>
              <w:t>Six Months Ended June 25, 2023</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5"/>
        </w:trPr>
        <w:tc>
          <w:tcPr>
            <w:tcW w:w="4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Aeronautics</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RMS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Total</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Products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10,801</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4,501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5,833</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5,149</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26,284</w:t>
            </w:r>
          </w:p>
        </w:tc>
      </w:tr>
      <w:tr>
        <w:trPr>
          <w:trHeight w:val="230"/>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2,343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642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1,574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976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5,535</w:t>
            </w: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13,144</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5,143</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7,407</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6,125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31,819</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contract type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Fixed-price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8,968</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3,481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4,659</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1,563</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18,671</w:t>
            </w:r>
          </w:p>
        </w:tc>
      </w:tr>
      <w:tr>
        <w:trPr>
          <w:trHeight w:val="230"/>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4,176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1,662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2,748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4,562</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13,148</w:t>
            </w: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13,144</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5,143</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7,407</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6,125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31,819</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 by customer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U.S. Government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8,738</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3,492</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5,177</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6,029</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23,436</w:t>
            </w:r>
          </w:p>
        </w:tc>
      </w:tr>
      <w:tr>
        <w:trPr>
          <w:trHeight w:val="232"/>
        </w:trPr>
        <w:tc>
          <w:tcPr>
            <w:tcW w:w="4120" w:type="dxa"/>
            <w:vAlign w:val="bottom"/>
            <w:shd w:val="clear" w:color="auto" w:fill="CCEEFF"/>
          </w:tcPr>
          <w:p>
            <w:pPr>
              <w:ind w:left="220"/>
              <w:spacing w:after="0" w:line="23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(a)</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4,283</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1,646</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2,095</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8,110</w:t>
            </w:r>
          </w:p>
        </w:tc>
      </w:tr>
      <w:tr>
        <w:trPr>
          <w:trHeight w:val="22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U.S. commercial and other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r>
      <w:tr>
        <w:trPr>
          <w:trHeight w:val="223"/>
        </w:trPr>
        <w:tc>
          <w:tcPr>
            <w:tcW w:w="4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13,144</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5,143</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7,407</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6,125</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31,819</w:t>
            </w: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Net sales by geographic region</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8,861</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3,497</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5,312</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6,039</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23,709</w:t>
            </w: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Europe</w:t>
            </w:r>
          </w:p>
        </w:tc>
        <w:tc>
          <w:tcPr>
            <w:tcW w:w="14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2,276</w:t>
            </w:r>
          </w:p>
        </w:tc>
        <w:tc>
          <w:tcPr>
            <w:tcW w:w="38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385</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437</w:t>
            </w:r>
          </w:p>
        </w:tc>
        <w:tc>
          <w:tcPr>
            <w:tcW w:w="3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3,145</w:t>
            </w:r>
          </w:p>
        </w:tc>
      </w:tr>
      <w:tr>
        <w:trPr>
          <w:trHeight w:val="232"/>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Asia Pacific</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1,365</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317</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992</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r>
      <w:tr>
        <w:trPr>
          <w:trHeight w:val="227"/>
        </w:trPr>
        <w:tc>
          <w:tcPr>
            <w:tcW w:w="412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14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451</w:t>
            </w:r>
          </w:p>
        </w:tc>
        <w:tc>
          <w:tcPr>
            <w:tcW w:w="38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866</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341</w:t>
            </w:r>
          </w:p>
        </w:tc>
        <w:tc>
          <w:tcPr>
            <w:tcW w:w="3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1,659</w:t>
            </w:r>
          </w:p>
        </w:tc>
      </w:tr>
      <w:tr>
        <w:trPr>
          <w:trHeight w:val="229"/>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325</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r>
      <w:tr>
        <w:trPr>
          <w:trHeight w:val="232"/>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13,144</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5,143</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7,407</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6,125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31,819</w:t>
            </w:r>
          </w:p>
        </w:tc>
      </w:tr>
    </w:tbl>
    <w:p>
      <w:pPr>
        <w:spacing w:after="0" w:line="107" w:lineRule="exact"/>
        <w:rPr>
          <w:sz w:val="20"/>
          <w:szCs w:val="20"/>
          <w:color w:val="auto"/>
        </w:rPr>
      </w:pPr>
    </w:p>
    <w:p>
      <w:pPr>
        <w:ind w:left="420" w:right="760" w:hanging="412"/>
        <w:spacing w:after="0" w:line="235" w:lineRule="auto"/>
        <w:tabs>
          <w:tab w:leader="none" w:pos="41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foreign military sales (FMS) contracted through the U.S. Government and direct commercial sales to international governments and other international customers.</w:t>
      </w:r>
    </w:p>
    <w:p>
      <w:pPr>
        <w:spacing w:after="0" w:line="146"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Our Aeronautics business segment includes our largest program, the F-35 Lightning II, an international multi-role, multi-variant, stealth fighter aircraft. Net sales for the F-35 program represented approximately 26% and 25% of our total</w:t>
      </w: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consolidated net sales for the quarter and six months ended June 30, 2024 and 26% of our total consolidated net sales for both the quarter and six months ended June 25,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Assets</w:t>
            </w: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84"/>
        </w:trPr>
        <w:tc>
          <w:tcPr>
            <w:tcW w:w="7200" w:type="dxa"/>
            <w:vAlign w:val="bottom"/>
          </w:tcPr>
          <w:p>
            <w:pPr>
              <w:ind w:left="420"/>
              <w:spacing w:after="0"/>
              <w:rPr>
                <w:sz w:val="20"/>
                <w:szCs w:val="20"/>
                <w:color w:val="auto"/>
              </w:rPr>
            </w:pPr>
            <w:r>
              <w:rPr>
                <w:rFonts w:ascii="Arial" w:cs="Arial" w:eastAsia="Arial" w:hAnsi="Arial"/>
                <w:sz w:val="18"/>
                <w:szCs w:val="18"/>
                <w:color w:val="auto"/>
              </w:rPr>
              <w:t>Total assets for each of our business segments were as follows (in millions):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8"/>
        </w:trPr>
        <w:tc>
          <w:tcPr>
            <w:tcW w:w="7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jc w:val="right"/>
              <w:ind w:right="190"/>
              <w:spacing w:after="0" w:line="199" w:lineRule="exact"/>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7"/>
                <w:szCs w:val="17"/>
                <w:color w:val="auto"/>
              </w:rPr>
            </w:pPr>
          </w:p>
        </w:tc>
        <w:tc>
          <w:tcPr>
            <w:tcW w:w="1420" w:type="dxa"/>
            <w:vAlign w:val="bottom"/>
          </w:tcPr>
          <w:p>
            <w:pPr>
              <w:jc w:val="right"/>
              <w:ind w:right="13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7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Aeronautics</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13,913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13,167</w:t>
            </w:r>
          </w:p>
        </w:tc>
      </w:tr>
      <w:tr>
        <w:trPr>
          <w:trHeight w:val="229"/>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Missiles and Fire Control</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5,938</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5,703</w:t>
            </w: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Rotary and Mission Systems</w:t>
            </w:r>
          </w:p>
        </w:tc>
        <w:tc>
          <w:tcPr>
            <w:tcW w:w="10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17,612</w:t>
            </w:r>
          </w:p>
        </w:tc>
        <w:tc>
          <w:tcPr>
            <w:tcW w:w="4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17,521</w:t>
            </w:r>
          </w:p>
        </w:tc>
      </w:tr>
      <w:tr>
        <w:trPr>
          <w:trHeight w:val="230"/>
        </w:trPr>
        <w:tc>
          <w:tcPr>
            <w:tcW w:w="7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w:t>
            </w:r>
          </w:p>
        </w:tc>
        <w:tc>
          <w:tcPr>
            <w:tcW w:w="1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6,717</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6,560</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 business segment assets</w:t>
            </w:r>
          </w:p>
        </w:tc>
        <w:tc>
          <w:tcPr>
            <w:tcW w:w="10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44,180</w:t>
            </w:r>
          </w:p>
        </w:tc>
        <w:tc>
          <w:tcPr>
            <w:tcW w:w="4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42,951</w:t>
            </w:r>
          </w:p>
        </w:tc>
      </w:tr>
      <w:tr>
        <w:trPr>
          <w:trHeight w:val="230"/>
        </w:trPr>
        <w:tc>
          <w:tcPr>
            <w:tcW w:w="7200" w:type="dxa"/>
            <w:vAlign w:val="bottom"/>
            <w:tcBorders>
              <w:bottom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Corporate assets </w:t>
            </w:r>
            <w:r>
              <w:rPr>
                <w:rFonts w:ascii="Arial" w:cs="Arial" w:eastAsia="Arial" w:hAnsi="Arial"/>
                <w:sz w:val="23"/>
                <w:szCs w:val="23"/>
                <w:color w:val="auto"/>
                <w:vertAlign w:val="superscript"/>
              </w:rPr>
              <w:t>(a)</w:t>
            </w:r>
          </w:p>
        </w:tc>
        <w:tc>
          <w:tcPr>
            <w:tcW w:w="1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10,896</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9,505</w:t>
            </w:r>
          </w:p>
        </w:tc>
      </w:tr>
      <w:tr>
        <w:trPr>
          <w:trHeight w:val="230"/>
        </w:trPr>
        <w:tc>
          <w:tcPr>
            <w:tcW w:w="7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55,076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52,456</w:t>
            </w:r>
          </w:p>
        </w:tc>
      </w:tr>
    </w:tbl>
    <w:p>
      <w:pPr>
        <w:spacing w:after="0" w:line="134" w:lineRule="exact"/>
        <w:rPr>
          <w:sz w:val="20"/>
          <w:szCs w:val="20"/>
          <w:color w:val="auto"/>
        </w:rPr>
      </w:pPr>
    </w:p>
    <w:p>
      <w:pPr>
        <w:ind w:left="420" w:hanging="412"/>
        <w:spacing w:after="0" w:line="233" w:lineRule="auto"/>
        <w:tabs>
          <w:tab w:leader="none" w:pos="41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Corporate assets primarily include cash and cash equivalents, deferred income taxes, assets for the portion of environmental costs that are probable of future recovery, property, plant and equipment used in our corporate operations, assets held in a trust for deferred compensation plans, and investments in early-stage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CONTRACT ASSETS AND LIABILITIES</w:t>
      </w:r>
    </w:p>
    <w:p>
      <w:pPr>
        <w:spacing w:after="0" w:line="185" w:lineRule="exact"/>
        <w:rPr>
          <w:sz w:val="20"/>
          <w:szCs w:val="20"/>
          <w:color w:val="auto"/>
        </w:rPr>
      </w:pPr>
    </w:p>
    <w:p>
      <w:pPr>
        <w:ind w:right="80" w:firstLine="405"/>
        <w:spacing w:after="0" w:line="266" w:lineRule="auto"/>
        <w:rPr>
          <w:sz w:val="20"/>
          <w:szCs w:val="20"/>
          <w:color w:val="auto"/>
        </w:rPr>
      </w:pPr>
      <w:r>
        <w:rPr>
          <w:rFonts w:ascii="Arial" w:cs="Arial" w:eastAsia="Arial" w:hAnsi="Arial"/>
          <w:sz w:val="18"/>
          <w:szCs w:val="18"/>
          <w:color w:val="auto"/>
        </w:rPr>
        <w:t>Contract assets include unbilled amounts typically resulting from sales under contracts when the percentage-of-completion cost-to-cost method of revenue recognition is utilized and revenue recognized exceeds the amount billed to the customer. Contract liabilities include advance payments and billings in excess of revenue recognized. Contract assets and contract liabilities were as follows (in millions):</w:t>
      </w: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6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6"/>
                <w:szCs w:val="16"/>
                <w:color w:val="auto"/>
              </w:rPr>
            </w:pPr>
          </w:p>
        </w:tc>
        <w:tc>
          <w:tcPr>
            <w:tcW w:w="142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December 31,</w:t>
            </w:r>
          </w:p>
        </w:tc>
      </w:tr>
      <w:tr>
        <w:trPr>
          <w:trHeight w:val="235"/>
        </w:trPr>
        <w:tc>
          <w:tcPr>
            <w:tcW w:w="47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5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13,907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13,183</w:t>
            </w:r>
          </w:p>
        </w:tc>
      </w:tr>
      <w:tr>
        <w:trPr>
          <w:trHeight w:val="23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9,181</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9,190</w:t>
            </w:r>
          </w:p>
        </w:tc>
      </w:tr>
    </w:tbl>
    <w:p>
      <w:pPr>
        <w:spacing w:after="0" w:line="251"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Contract assets increased $ 724 million during the six months ended June 30, 2024, due to the recognition of revenue related to the satisfaction or partial satisfaction of performance obligations during the six months ended June 30, 2024 for which we have not yet billed our customers. There were no significant credit or impairment losses related to our contract assets during the quarters and six months ended June 30, 2024 and June 25, 2023.</w:t>
      </w:r>
    </w:p>
    <w:p>
      <w:pPr>
        <w:spacing w:after="0" w:line="149"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Contract liabilities decreased $9 million during the six months ended June 30, 2024, primarily due to revenue recognized in excess of payments received on these performance obligations. During the quarter and six months ended June 30, 2024, we recognized $1.7 billion and $4.1 billion of our contract liabilities at December 31, 2023 as revenue. During the quarter and six months ended June 25, 2023, we recognized $1.1 billion and $3.3 billion of our contract liabilities at December 31, 2022 as revenue.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8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97"/>
        </w:trPr>
        <w:tc>
          <w:tcPr>
            <w:tcW w:w="6180" w:type="dxa"/>
            <w:vAlign w:val="bottom"/>
          </w:tcPr>
          <w:p>
            <w:pPr>
              <w:ind w:left="460"/>
              <w:spacing w:after="0"/>
              <w:rPr>
                <w:sz w:val="20"/>
                <w:szCs w:val="20"/>
                <w:color w:val="auto"/>
              </w:rPr>
            </w:pPr>
            <w:r>
              <w:rPr>
                <w:rFonts w:ascii="Arial" w:cs="Arial" w:eastAsia="Arial" w:hAnsi="Arial"/>
                <w:sz w:val="18"/>
                <w:szCs w:val="18"/>
                <w:color w:val="auto"/>
              </w:rPr>
              <w:t>Inventories consisted of the following (in millions):</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8"/>
        </w:trPr>
        <w:tc>
          <w:tcPr>
            <w:tcW w:w="6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60" w:type="dxa"/>
            <w:vAlign w:val="bottom"/>
          </w:tcPr>
          <w:p>
            <w:pPr>
              <w:jc w:val="right"/>
              <w:ind w:right="190"/>
              <w:spacing w:after="0" w:line="199" w:lineRule="exact"/>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7"/>
                <w:szCs w:val="17"/>
                <w:color w:val="auto"/>
              </w:rPr>
            </w:pPr>
          </w:p>
        </w:tc>
        <w:tc>
          <w:tcPr>
            <w:tcW w:w="1420" w:type="dxa"/>
            <w:vAlign w:val="bottom"/>
          </w:tcPr>
          <w:p>
            <w:pPr>
              <w:jc w:val="right"/>
              <w:ind w:right="13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spares and supplies</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651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606</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4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2,259</w:t>
            </w:r>
          </w:p>
        </w:tc>
        <w:tc>
          <w:tcPr>
            <w:tcW w:w="4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2,338</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187</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188</w:t>
            </w:r>
          </w:p>
        </w:tc>
      </w:tr>
      <w:tr>
        <w:trPr>
          <w:trHeight w:val="230"/>
        </w:trPr>
        <w:tc>
          <w:tcPr>
            <w:tcW w:w="6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inventories</w:t>
            </w:r>
          </w:p>
        </w:tc>
        <w:tc>
          <w:tcPr>
            <w:tcW w:w="2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3,097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3,132</w:t>
            </w:r>
          </w:p>
        </w:tc>
      </w:tr>
    </w:tbl>
    <w:p>
      <w:pPr>
        <w:spacing w:after="0" w:line="25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Costs incurred to fulfill a contract in advance of the contract being awarded are included in inventories as work-in-process if we determine that those costs relate directly to a contract or to an anticipated contract that we can specifically identify and determine that contract award is probable, the costs generate or enhance resources that will be used in satisfying performance obligations, and the costs are recoverable (referred to as pre-contract costs). These advanced procurement costs are generally incurred in order to enhance our ability to achieve schedule and certain customer milestones. Pre-contract costs that are initially capitalized in inventory are generally recognized as cost of sales consistent with the transfer of products and services to the customer upon the receipt of the anticipated contract. All other pre-contract costs, including start-up costs, are expensed as incurred. As of June 30, 2024 and December 31, 2023, $1.2 billion and $989 million of pre-contract costs (primarily the F-35 program and classified contracts at our Aeronautics business segment) were included in inventories.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POSTRETIREMENT BENEFIT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 income</w:t>
      </w:r>
    </w:p>
    <w:p>
      <w:pPr>
        <w:spacing w:after="0" w:line="185"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The pretax FAS income related to our qualified defined benefit pension plans and retiree medical and life insurance plans consisted of the following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Quarters Ended</w:t>
            </w:r>
          </w:p>
        </w:tc>
        <w:tc>
          <w:tcPr>
            <w:tcW w:w="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4"/>
                <w:szCs w:val="14"/>
                <w:color w:val="auto"/>
              </w:rPr>
            </w:pPr>
          </w:p>
        </w:tc>
        <w:tc>
          <w:tcPr>
            <w:tcW w:w="112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25</w:t>
            </w:r>
          </w:p>
        </w:tc>
        <w:tc>
          <w:tcPr>
            <w:tcW w:w="440" w:type="dxa"/>
            <w:vAlign w:val="bottom"/>
          </w:tcPr>
          <w:p>
            <w:pPr>
              <w:spacing w:after="0"/>
              <w:rPr>
                <w:sz w:val="14"/>
                <w:szCs w:val="14"/>
                <w:color w:val="auto"/>
              </w:rPr>
            </w:pPr>
          </w:p>
        </w:tc>
        <w:tc>
          <w:tcPr>
            <w:tcW w:w="118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4"/>
                <w:szCs w:val="14"/>
                <w:color w:val="auto"/>
              </w:rPr>
            </w:pPr>
          </w:p>
        </w:tc>
        <w:tc>
          <w:tcPr>
            <w:tcW w:w="128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4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Qualified defined benefit pension plans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6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r>
      <w:tr>
        <w:trPr>
          <w:trHeight w:val="230"/>
        </w:trPr>
        <w:tc>
          <w:tcPr>
            <w:tcW w:w="4760" w:type="dxa"/>
            <w:vAlign w:val="bottom"/>
          </w:tcPr>
          <w:p>
            <w:pPr>
              <w:ind w:left="120"/>
              <w:spacing w:after="0"/>
              <w:rPr>
                <w:sz w:val="20"/>
                <w:szCs w:val="20"/>
                <w:color w:val="auto"/>
              </w:rPr>
            </w:pPr>
            <w:r>
              <w:rPr>
                <w:rFonts w:ascii="Arial" w:cs="Arial" w:eastAsia="Arial" w:hAnsi="Arial"/>
                <w:sz w:val="18"/>
                <w:szCs w:val="18"/>
                <w:color w:val="auto"/>
              </w:rPr>
              <w:t>Non-operating:</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(350)</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(699)</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(730)</w:t>
            </w: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393</w:t>
            </w:r>
          </w:p>
        </w:tc>
        <w:tc>
          <w:tcPr>
            <w:tcW w:w="5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431</w:t>
            </w:r>
          </w:p>
        </w:tc>
        <w:tc>
          <w:tcPr>
            <w:tcW w:w="44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786</w:t>
            </w:r>
          </w:p>
        </w:tc>
        <w:tc>
          <w:tcPr>
            <w:tcW w:w="50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861</w:t>
            </w: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actuarial losses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(130)</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w:t>
            </w:r>
          </w:p>
        </w:tc>
      </w:tr>
      <w:tr>
        <w:trPr>
          <w:trHeight w:val="229"/>
        </w:trPr>
        <w:tc>
          <w:tcPr>
            <w:tcW w:w="4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 of prior service credits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37</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74</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174</w:t>
            </w:r>
          </w:p>
        </w:tc>
      </w:tr>
      <w:tr>
        <w:trPr>
          <w:trHeight w:val="223"/>
        </w:trPr>
        <w:tc>
          <w:tcPr>
            <w:tcW w:w="4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Non-service FAS pension income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111</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w:t>
            </w:r>
          </w:p>
        </w:tc>
        <w:tc>
          <w:tcPr>
            <w:tcW w:w="5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221</w:t>
            </w:r>
          </w:p>
        </w:tc>
      </w:tr>
      <w:tr>
        <w:trPr>
          <w:trHeight w:val="230"/>
        </w:trPr>
        <w:tc>
          <w:tcPr>
            <w:tcW w:w="4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FAS pension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189</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Retiree medical and life insurance plans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6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r>
      <w:tr>
        <w:trPr>
          <w:trHeight w:val="230"/>
        </w:trPr>
        <w:tc>
          <w:tcPr>
            <w:tcW w:w="4760" w:type="dxa"/>
            <w:vAlign w:val="bottom"/>
          </w:tcPr>
          <w:p>
            <w:pPr>
              <w:ind w:left="120"/>
              <w:spacing w:after="0"/>
              <w:rPr>
                <w:sz w:val="20"/>
                <w:szCs w:val="20"/>
                <w:color w:val="auto"/>
              </w:rPr>
            </w:pPr>
            <w:r>
              <w:rPr>
                <w:rFonts w:ascii="Arial" w:cs="Arial" w:eastAsia="Arial" w:hAnsi="Arial"/>
                <w:sz w:val="18"/>
                <w:szCs w:val="18"/>
                <w:color w:val="auto"/>
              </w:rPr>
              <w:t>Non-operating:</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(32)</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27</w:t>
            </w:r>
          </w:p>
        </w:tc>
        <w:tc>
          <w:tcPr>
            <w:tcW w:w="5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54</w:t>
            </w:r>
          </w:p>
        </w:tc>
        <w:tc>
          <w:tcPr>
            <w:tcW w:w="50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52</w:t>
            </w: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actuarial gains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w:t>
            </w:r>
          </w:p>
        </w:tc>
      </w:tr>
      <w:tr>
        <w:trPr>
          <w:trHeight w:val="230"/>
        </w:trPr>
        <w:tc>
          <w:tcPr>
            <w:tcW w:w="4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w:t>
            </w:r>
          </w:p>
        </w:tc>
      </w:tr>
      <w:tr>
        <w:trPr>
          <w:trHeight w:val="223"/>
        </w:trPr>
        <w:tc>
          <w:tcPr>
            <w:tcW w:w="4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Non-service FAS retiree medical and life income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38</w:t>
            </w:r>
          </w:p>
        </w:tc>
        <w:tc>
          <w:tcPr>
            <w:tcW w:w="5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29</w:t>
            </w:r>
          </w:p>
        </w:tc>
      </w:tr>
      <w:tr>
        <w:trPr>
          <w:trHeight w:val="230"/>
        </w:trPr>
        <w:tc>
          <w:tcPr>
            <w:tcW w:w="4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FAS retiree medical and life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18</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36</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w:t>
            </w:r>
          </w:p>
        </w:tc>
      </w:tr>
    </w:tbl>
    <w:p>
      <w:pPr>
        <w:spacing w:after="0" w:line="251"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We record the service cost component of FAS income for our qualified defined benefit pension plans and retiree medical and life insurance plans in the cost of sales accounts; the non-service components of our FAS income for our qualified defined benefit pension plans in the non-service FAS pension income account; and the non-service components of our FAS income for our retiree medical and life insurance plans as part of the other non-operating income, net account on our consolidated statements of earnings.</w:t>
      </w:r>
    </w:p>
    <w:p>
      <w:pPr>
        <w:spacing w:after="0" w:line="136" w:lineRule="exact"/>
        <w:rPr>
          <w:sz w:val="20"/>
          <w:szCs w:val="20"/>
          <w:color w:val="auto"/>
        </w:rPr>
      </w:pPr>
    </w:p>
    <w:p>
      <w:pPr>
        <w:jc w:val="both"/>
        <w:ind w:right="140" w:firstLine="405"/>
        <w:spacing w:after="0" w:line="260" w:lineRule="auto"/>
        <w:rPr>
          <w:sz w:val="20"/>
          <w:szCs w:val="20"/>
          <w:color w:val="auto"/>
        </w:rPr>
      </w:pPr>
      <w:r>
        <w:rPr>
          <w:rFonts w:ascii="Arial" w:cs="Arial" w:eastAsia="Arial" w:hAnsi="Arial"/>
          <w:sz w:val="18"/>
          <w:szCs w:val="18"/>
          <w:color w:val="auto"/>
        </w:rPr>
        <w:t>The amortization of net actuarial losses or gains and prior service credits or costs in the table above, along with similar costs related to our other postretirement benefit plans ($4 million and $8 million for the quarter and six months ended June 30, 2024 and $4 million and</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$7 million for the quarter and six months ended June 25, 2023) were reclassified from accumulated other comprehensive loss (AOCL) and recorded as a component of FAS income for the periods presented. These costs totaled $24 million ($19 million, net of tax) and $48 million, ($38 million, net of tax) during the quarter and six months ended June 30, 2024, and $(47) million ($(37) million, net of tax) and $(94) million ($(74) million, net of tax) during the quarter and six months ended June 25,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5" w:lineRule="exact"/>
        <w:rPr>
          <w:sz w:val="20"/>
          <w:szCs w:val="20"/>
          <w:color w:val="auto"/>
        </w:rPr>
      </w:pPr>
    </w:p>
    <w:p>
      <w:pPr>
        <w:jc w:val="both"/>
        <w:ind w:right="100" w:firstLine="405"/>
        <w:spacing w:after="0" w:line="268" w:lineRule="auto"/>
        <w:rPr>
          <w:sz w:val="20"/>
          <w:szCs w:val="20"/>
          <w:color w:val="auto"/>
        </w:rPr>
      </w:pPr>
      <w:r>
        <w:rPr>
          <w:rFonts w:ascii="Arial" w:cs="Arial" w:eastAsia="Arial" w:hAnsi="Arial"/>
          <w:sz w:val="18"/>
          <w:szCs w:val="18"/>
          <w:color w:val="auto"/>
        </w:rPr>
        <w:t>The required funding of our qualified defined benefit pension plans is determined in accordance with the Employee Retirement Income Security Act of 1974 (ERISA), as amended, along with consideration of CAS and Internal Revenue Code rules. We made no contributions to our qualified defined benefit pension plans during the quarters and six months ended June 30, 2024 and June 25,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LEGAL PROCEEDINGS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company as a whole, notwithstanding that the unfavorable resolution of any matter may have a material effect on our net earnings and cash flows in any particular interim reporting period.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spacing w:after="0" w:line="14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Although we cannot predict the outcome of legal or other proceedings with certainty, where there is at least a reasonable possibility that a loss may have been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of America, ex rel. Patzer; Cimma v. Sikorsky Aircraft Corp., et al.</w:t>
      </w:r>
    </w:p>
    <w:p>
      <w:pPr>
        <w:spacing w:after="0" w:line="1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a result of our acquisition of Sikorsky Aircraft Corporation (Sikorsky) in 2015, we assumed the defense of and any potential liability for two civil False Claims Act lawsuits pending in the U.S. District Court for the Eastern District of Wisconsin. In October 2014, the U.S. Government filed a complaint in intervention in the first suit, which was brought by qui tam relator Mary Patzer, a former Derco Aerospace (Derco) employee. In May 2017, the U.S. Government filed a complaint in intervention in a second suit, which was brought by qui tam relator Peter Cimma, a former Sikorsky Support Services, Inc. (SSSI) employee. In November 2017, the Court consolidated the cases into a single action for discovery and trial.</w:t>
      </w:r>
    </w:p>
    <w:p>
      <w:pPr>
        <w:spacing w:after="0" w:line="15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U.S. Government alleged that Sikorsky and two of its wholly-owned subsidiaries, Derco and SSSI, violated the civil False Claims Act and the Truth in Negotiations Act in connection with a contract the U.S. Navy awarded to SSSI in June 2006 to support the Navy’s T-34 and T-44 fixed-wing turboprop training aircraft. SSSI subcontracted with Derco, primarily to procure and manage spare parts for the training aircraft. The U.S. Government contended that SSSI overbilled the Navy on the contract as the result of Derco’s use of prohibited cost-plus-percentage-of-cost (CPPC) pricing to add profit and overhead costs as a percentage of the price of the spare parts that Derco procured and then sold to SSSI. The U.S. Government also alleged that Derco’s claims to SSSI, SSSI’s claims to the Navy, and SSSI’s yearly Certificates of Final Indirect Costs from 2006 through 2012 were false and that SSSI submitted inaccurate cost or pricing data in violation of the Truth in Negotiations Act for a sole-sourced, follow-on “bridge” contract. The U.S. Government’s complaints asserted common law claims for breach of contract and unjust enrichment. On November 29, 2021, the District Court granted the U.S. Government’s motion for partial summary judgment, finding that the Derco-SSSI agreement was a CPPC contract. On October 17, 2023, the District Court ruled on the parties’ cross motions for summary judgment, granting some motions and denying others.</w:t>
      </w:r>
    </w:p>
    <w:p>
      <w:pPr>
        <w:spacing w:after="0" w:line="14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Trial on the U.S. Government’s remaining claims was scheduled for May 6, 2024 before being stayed pending negotiation of a settlement agreement. On June 21, 2024, SSSI and Derco settled with the U.S. Government and relator to avoid the delay, uncertainty, inconvenience and expense of further protracted litigation. Under the terms of the settlement, we paid $70 million to the U.S. Government with no admission of liability or finding of wrongdoing, resulting in an immaterial charge to earnings in the quarter ending June 30, 2024 for the portion of the settlement payment in excess of the previously estimated liability. The alleged conduct at issue in the lawsuit occurred between 2006 and 2012, prior to our acquisition of Sikorsky. The case was dismissed on July 3, 2024, as a result of the settlement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Lockheed Martin v. Metropolitan Transportation Authority</w:t>
      </w:r>
    </w:p>
    <w:p>
      <w:pPr>
        <w:spacing w:after="0" w:line="18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 -week bench trial and the filing of post-trial pleadings by the parties. We continue to await a decision from the District Court. Although this matter relates to our former Information Systems &amp; Global Solutions (IS&amp;GS) business, we retained responsibility for the litigation when we divested IS&amp;GS in 2016.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are involved in proceedings and potential proceedings relating to soil, sediment, surface water, and groundwater contamination, disposal of hazardous substances, and other environmental matters at several of our current or former facilities, facilities for which we may have contractual responsibility, and at third-party sites where we have been designated as a potentially responsible party (PRP). A substantial portion of environmental costs will be included in our net sales and cost of sales in future periods pursuant to U.S. Government regulations.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and our history of receiving reimbursement of such costs. We include the portions of those environmental costs expected to be allocated to our non-U.S. government contracts, or determined not to be recoverable under U.S. Government contracts, in our cost of sales at the time the liability is established or adjusted.</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2024 and December 31, 2023, the aggregate amount of liabilities recorded relative to environmental matters was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$687 million and $680 million, most of which are recorded in other noncurrent liabilities on our consolidated balance sheets. We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assets for the portion of environmental costs that are probable of future recovery totaling $620 million and $613 million at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 and December 31, 2023, most of which are recorded in other noncurrent assets on our consolidated balance sheets.</w:t>
      </w:r>
    </w:p>
    <w:p>
      <w:pPr>
        <w:spacing w:after="0" w:line="16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Environmental remediation activities usually span many years, which makes estimating liabilities a matter of judgment because of uncertainties with respect to assessing the extent of the contamination as well as such factors as changing remediation technologies and changing regulatory environmental standards. We are monitoring or investigating a number of former and present operating facilities for potential future remediation. We perform quarterly reviews of the status of our environmental remediation sites and the related liabilities and receivables. Additionally, in our quarterly reviews, we consider these and other factors in estimating the timing and amount of any future costs that may be required for remediation activities, and we record a liability when it is probable that a loss has occurred or will occur for a particular site and the loss can be reasonably estimated. The amount of liability recorded is based on our estimate of the costs to be incurred for remediation for that site. We do not discount the recorded liabilities, as the amount and timing of future cash payments are not fixed or cannot be reliably determined. We cannot reasonably determine the extent of our financial exposure in all cases as, although a loss may be probable or reasonably possible, in some cases it is not possible at this time to estimate the reasonably possible loss or range of loss. We project costs and recovery of costs over approximately 20 years.</w:t>
      </w:r>
    </w:p>
    <w:p>
      <w:pPr>
        <w:spacing w:after="0" w:line="142"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We also pursue claims for recovery of costs incurred or for contribution to site remediation costs against other PRPs, including the U.S. Government, and are conducting remediation activities under various consent decrees, orders,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agreements relating to soil, groundwater, sediment, or surface water contamination at certain sites of former or current operations. Under agreements related to certain sites in California, New York, United States Virgin Islands and Washington, the U.S. Government and/or a private party reimburses us an amount equal to a percentage, specific to each site, of expenditures for certain remediation activities in their capacity as PRPs under the Comprehensive Environmental Response, Compensation and Liability Act (CERCLA).</w:t>
      </w:r>
    </w:p>
    <w:p>
      <w:pPr>
        <w:spacing w:after="0" w:line="14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addition to the proceedings and potential proceedings discussed above, potential new regulations concerning perchlorate and hexavalent chromium at the federal and state level could increase our cleanup costs. If substantially lower cleanup standards are adopted for perchlorate or for hexavalent chromium, we expect a material increase in both our estimates for environmental liabilities and the related assets for the portion of costs that are probable of future recovery. The amount that would be allocable to our non-U.S. government contracts or that is determined not to be recoverable under U.S. Government contracts would be expensed, which may have a material effect on our earnings in any particular interim reporting period.</w:t>
      </w:r>
    </w:p>
    <w:p>
      <w:pPr>
        <w:spacing w:after="0" w:line="142"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We also are evaluating the potential impact of new, existing, and contemplated requirements addressing a class of chemicals known generally as per- and polyfluoroalkyl substances (PFAS). PFAS are common and appear in products such as fire-fighting foams and stain-and stick-resistant products (e.g., Teflon, stain-resistant fabrics) and have been used in manufacturing processes. Regulations requiring very low PFAS contaminant levels in drinking water could eventually lead to increased cleanup costs at a number of our environmental remediation sites.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Surety Bonds and Third-Party Guarantees</w:t>
      </w:r>
    </w:p>
    <w:p>
      <w:pPr>
        <w:spacing w:after="0" w:line="198"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We had total outstanding letters of credit and surety bonds aggregating $2.8 billion and $2.9 billion at June 30, 2024 and December 31, 2023.</w:t>
      </w:r>
    </w:p>
    <w:p>
      <w:pPr>
        <w:spacing w:after="0" w:line="136"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Additionally, we may guarantee the contractual performance of third parties such as joint venture partners. At June 30, 2024 and December 31, 2023, third-party guarantees totaled $ 347 million and $ 1.0 billion, of which approximately 26% and 75%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 Third-party guarantees do not include guarantees issued on behalf of subsidiaries and other consolidated entities.</w:t>
      </w:r>
    </w:p>
    <w:p>
      <w:pPr>
        <w:spacing w:after="0" w:line="128"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June 30, 2024 and December 31, 2023, there were no material amounts recorded in our financial statements related to third-party guarantees or novation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5"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On April 22, 2024, the Armed Services Board of Contract Appeals (ASBCA) sustained our appeal associated with a contract to modernize and install new engines in C-5 Galaxy aircraft. The ASBCA ruled that we are entitled to $132 million for impacts due to excessive “over and above” work performed under the contract plus interest on the amount since the date of our claim in October 2018. We have not recognized the impacts resulting from the ASBCA decision through June 30, 2024, given the matter may be appealed by the Government until August 21, 2024, and the uncertain grounds for any potential appeal.</w:t>
      </w:r>
    </w:p>
    <w:p>
      <w:pPr>
        <w:spacing w:after="0" w:line="13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Independent of this matter and as a U.S. Government contractor, we are subject to various audits and investigations by the U.S. Government to determine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many result in no adverse action against us. We also provide products and services to customers outside of the U.S., which are subject to U.S. and foreign laws and regulations and foreign procurement policies and practices. Our compliance with local regulations or applicable U.S. Government regulations also may be audited or investigated.</w:t>
      </w:r>
    </w:p>
    <w:p>
      <w:pPr>
        <w:spacing w:after="0" w:line="144" w:lineRule="exact"/>
        <w:rPr>
          <w:sz w:val="20"/>
          <w:szCs w:val="20"/>
          <w:color w:val="auto"/>
        </w:rPr>
      </w:pPr>
    </w:p>
    <w:p>
      <w:pPr>
        <w:ind w:right="40" w:firstLine="445"/>
        <w:spacing w:after="0" w:line="282" w:lineRule="auto"/>
        <w:rPr>
          <w:sz w:val="20"/>
          <w:szCs w:val="20"/>
          <w:color w:val="auto"/>
        </w:rPr>
      </w:pPr>
      <w:r>
        <w:rPr>
          <w:rFonts w:ascii="Arial" w:cs="Arial" w:eastAsia="Arial" w:hAnsi="Arial"/>
          <w:sz w:val="17"/>
          <w:szCs w:val="17"/>
          <w:color w:val="auto"/>
        </w:rPr>
        <w:t>Additionally, 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and recorded at fair value on a recurring basis consisted of the following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 2024</w:t>
            </w:r>
          </w:p>
        </w:tc>
        <w:tc>
          <w:tcPr>
            <w:tcW w:w="10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December 31, 2023</w:t>
            </w:r>
          </w:p>
        </w:tc>
        <w:tc>
          <w:tcPr>
            <w:tcW w:w="800" w:type="dxa"/>
            <w:vAlign w:val="bottom"/>
            <w:tcBorders>
              <w:bottom w:val="single" w:sz="8" w:color="auto"/>
            </w:tcBorders>
          </w:tcPr>
          <w:p>
            <w:pPr>
              <w:spacing w:after="0"/>
              <w:rPr>
                <w:sz w:val="20"/>
                <w:szCs w:val="20"/>
                <w:color w:val="auto"/>
              </w:rPr>
            </w:pPr>
          </w:p>
        </w:tc>
      </w:tr>
      <w:tr>
        <w:trPr>
          <w:trHeight w:val="223"/>
        </w:trPr>
        <w:tc>
          <w:tcPr>
            <w:tcW w:w="3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8"/>
              </w:rPr>
              <w:t>Level 3</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Level 2</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1,002</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1,002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101</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333</w:t>
            </w: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319</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43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301</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6"/>
        </w:trPr>
        <w:tc>
          <w:tcPr>
            <w:tcW w:w="3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178</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Substantially all assets measured at fair value, other than derivatives, represent assets held in a trust to fund certain of our non-qualified deferred compensation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spacing w:after="0" w:line="154"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also make investments in early-stage companies that we believe are advancing or developing new technologies applicable to our business. Investments that have quoted market prices in active markets (Level 1) are recorded at fair value and reflected in other securities while certain investments are categorized as Level 3 when valuations using observable inputs are unavailable. See “Note 10 - Other - Investments” for more information.</w:t>
      </w:r>
    </w:p>
    <w:p>
      <w:pPr>
        <w:spacing w:after="0" w:line="130" w:lineRule="exact"/>
        <w:rPr>
          <w:sz w:val="20"/>
          <w:szCs w:val="20"/>
          <w:color w:val="auto"/>
        </w:rPr>
      </w:pPr>
    </w:p>
    <w:p>
      <w:pPr>
        <w:ind w:right="40" w:firstLine="405"/>
        <w:spacing w:after="0" w:line="243" w:lineRule="auto"/>
        <w:rPr>
          <w:sz w:val="20"/>
          <w:szCs w:val="20"/>
          <w:color w:val="auto"/>
        </w:rPr>
      </w:pPr>
      <w:r>
        <w:rPr>
          <w:rFonts w:ascii="Arial" w:cs="Arial" w:eastAsia="Arial" w:hAnsi="Arial"/>
          <w:sz w:val="18"/>
          <w:szCs w:val="18"/>
          <w:color w:val="auto"/>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color w:val="auto"/>
        </w:rPr>
        <w:t>The aggregate notional amount of our outstanding interest rate swaps was $1.3 billion at both June 30, 2024 and December 31, 2023. The aggregate notional amount of our outstanding foreign currency hedges was $6.1 billion and $6.5 billion at June 30, 2024 and December 31, 2023. The fair values of our outstanding interest rate swaps and foreign currency hedges at June 30, 2024 and December 31, 2023 were not significant. Derivative instruments did not have a material impact on net earnings and comprehensive income during the quarters and six months ended June 30, 2024 and June 25, 2023. The impact of derivative instruments on our consolidated statements of cash flows is included in net cash provided by operating activities. Substantially all of our derivatives are designated for hedge accounting.</w:t>
      </w:r>
    </w:p>
    <w:p>
      <w:pPr>
        <w:spacing w:after="0" w:line="14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$19.3 billion and $18.5 billion at June 30, 2024 and December 31, 2023. The outstanding principal amount of debt, including short-term and long-term debt, was $20.6 billion and $18.7 billion at June 30, 2024 and December 31, 2023, excluding $1.3 billion of unamortized discounts and issuance costs at both June 30, 2024 and December 31, 2023. The estimated fair values of our outstanding debt were determined based on the present value of future cash flows using model-derived valuations that use observable inputs such as interest rates and credit spreads (Level 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9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During the six months ended June 30, 2024, we repurchased 4.2 million shares of our common stock for $ 1.9 billion in open market purchases. The total remaining authorization for future common stock repurchases under our share repurchase program was $8.2 billion as of June 30, 2024. As we repurchase our common shares, we reduce common stock for the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paid cash dividends of $1.5 billion ($6.30 per share) during the six months ended June 30, 2024. Additionally, we declared a third quarter 2024 dividend totaling approximately $751 million ($3.15 per share), which will be paid in September 2024. The total amount of dividends declared may differ from the total amount of dividends paid during a period due to the timing of dividend-equivalents paid on RSUs and PSUs. These dividend-equivalents are accrued during the vesting period and are paid upon the vesting of the RSUs and PSUs, which primarily occurs in the first quarter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balance of AOCL, net of tax, consisted of the following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Postretirement</w:t>
            </w:r>
          </w:p>
        </w:tc>
        <w:tc>
          <w:tcPr>
            <w:tcW w:w="20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8"/>
              </w:rPr>
              <w:t>Other, net</w:t>
            </w:r>
          </w:p>
        </w:tc>
        <w:tc>
          <w:tcPr>
            <w:tcW w:w="300" w:type="dxa"/>
            <w:vAlign w:val="bottom"/>
          </w:tcPr>
          <w:p>
            <w:pPr>
              <w:spacing w:after="0"/>
              <w:rPr>
                <w:sz w:val="17"/>
                <w:szCs w:val="17"/>
                <w:color w:val="auto"/>
              </w:rPr>
            </w:pPr>
          </w:p>
        </w:tc>
        <w:tc>
          <w:tcPr>
            <w:tcW w:w="10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AOCL</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Benefit Plans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(8,803)</w:t>
            </w:r>
          </w:p>
        </w:tc>
        <w:tc>
          <w:tcPr>
            <w:tcW w:w="0" w:type="dxa"/>
            <w:vAlign w:val="bottom"/>
          </w:tcPr>
          <w:p>
            <w:pPr>
              <w:spacing w:after="0"/>
              <w:rPr>
                <w:sz w:val="1"/>
                <w:szCs w:val="1"/>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1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AOCL</w:t>
            </w: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Amortization of net actuarial losses </w:t>
            </w:r>
            <w:r>
              <w:rPr>
                <w:rFonts w:ascii="Arial" w:cs="Arial" w:eastAsia="Arial" w:hAnsi="Arial"/>
                <w:sz w:val="23"/>
                <w:szCs w:val="23"/>
                <w:color w:val="auto"/>
                <w:vertAlign w:val="superscript"/>
              </w:rPr>
              <w:t>(a)</w:t>
            </w:r>
          </w:p>
        </w:tc>
        <w:tc>
          <w:tcPr>
            <w:tcW w:w="11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94</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Amortization of net prior service credits </w:t>
            </w:r>
            <w:r>
              <w:rPr>
                <w:rFonts w:ascii="Arial" w:cs="Arial" w:eastAsia="Arial" w:hAnsi="Arial"/>
                <w:sz w:val="23"/>
                <w:szCs w:val="23"/>
                <w:color w:val="auto"/>
                <w:vertAlign w:val="superscript"/>
              </w:rPr>
              <w:t>(a)</w:t>
            </w: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reclassified from AOCL</w:t>
            </w:r>
          </w:p>
        </w:tc>
        <w:tc>
          <w:tcPr>
            <w:tcW w:w="1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other comprehensive income (loss)</w:t>
            </w:r>
          </w:p>
        </w:tc>
        <w:tc>
          <w:tcPr>
            <w:tcW w:w="1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(8,769)</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1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AOCL</w:t>
            </w: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Amortization of net actuarial losses </w:t>
            </w:r>
            <w:r>
              <w:rPr>
                <w:rFonts w:ascii="Arial" w:cs="Arial" w:eastAsia="Arial" w:hAnsi="Arial"/>
                <w:sz w:val="23"/>
                <w:szCs w:val="23"/>
                <w:color w:val="auto"/>
                <w:vertAlign w:val="superscript"/>
              </w:rPr>
              <w:t>(a)</w:t>
            </w:r>
          </w:p>
        </w:tc>
        <w:tc>
          <w:tcPr>
            <w:tcW w:w="11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Amortization of net prior service credits </w:t>
            </w:r>
            <w:r>
              <w:rPr>
                <w:rFonts w:ascii="Arial" w:cs="Arial" w:eastAsia="Arial" w:hAnsi="Arial"/>
                <w:sz w:val="23"/>
                <w:szCs w:val="23"/>
                <w:color w:val="auto"/>
                <w:vertAlign w:val="superscript"/>
              </w:rPr>
              <w:t>(a)</w:t>
            </w: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reclassified from AOCL</w:t>
            </w:r>
          </w:p>
        </w:tc>
        <w:tc>
          <w:tcPr>
            <w:tcW w:w="1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other comprehensive income (loss)</w:t>
            </w:r>
          </w:p>
        </w:tc>
        <w:tc>
          <w:tcPr>
            <w:tcW w:w="1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25,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20" w:right="120" w:hanging="412"/>
        <w:spacing w:after="0" w:line="259" w:lineRule="auto"/>
        <w:tabs>
          <w:tab w:leader="none" w:pos="413" w:val="left"/>
        </w:tabs>
        <w:numPr>
          <w:ilvl w:val="0"/>
          <w:numId w:val="6"/>
        </w:numPr>
        <w:rPr>
          <w:rFonts w:ascii="Arial" w:cs="Arial" w:eastAsia="Arial" w:hAnsi="Arial"/>
          <w:sz w:val="11"/>
          <w:szCs w:val="11"/>
          <w:color w:val="auto"/>
        </w:rPr>
      </w:pPr>
      <w:r>
        <w:rPr>
          <w:rFonts w:ascii="Arial" w:cs="Arial" w:eastAsia="Arial" w:hAnsi="Arial"/>
          <w:sz w:val="18"/>
          <w:szCs w:val="18"/>
          <w:color w:val="auto"/>
        </w:rPr>
        <w:t>Reclassifications from AOCL related to postretirement benefit plans were recorded as a component of FAS income for each period presented. These amounts include $19 million and $(37) million, net of tax, for the quarters ended June 30, 2024 and June 25, 2023, which are comprised of the amortization of net actuarial losses of $47 million and $29 million for the quarters ended June 30, 2024 and June 25, 2023, and the amortization of net prior service credits of $28 million and $66 million for the quarters ended June 30, 2024 and June 25, 2023. See “Note 6 - Postretirement Benefit Plans”.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Estimates</w:t>
      </w:r>
    </w:p>
    <w:p>
      <w:pPr>
        <w:spacing w:after="0" w:line="18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Significant estimates and assumptions are made in estimating contract sales, costs, and profit. We estimate profit as the difference between estimated revenues and total estimated costs to complete the contract. At the outset of a long-term contract,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related to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provision for the entire loss is determined at the contract level and is recorded in the period in which the loss is evident, which we refer to as a reach-forward loss.</w:t>
      </w:r>
    </w:p>
    <w:p>
      <w:pPr>
        <w:spacing w:after="0" w:line="12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Comparability of our segment sales, operating profit and operating margin may be impacted favorably or unfavorably by changes in profit booking rates on our contracts. Increases in the profit booking rates, typically referred to as favorable profit booking rate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booking rate adjustments. Increases or decreases in profit booking rates are recognized in the current period they are determined and reflect the inception-to-date effect of such changes. Segment operating profit and margin can be impacted favorably or unfavorably by, for example, certain items listed below, which may or may not impact sales. Favorable items include the positive resolution of contractual matters, cost recoveries on severance and restructuring, insurance recoveries and gains on sales of assets. Unfavorable items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spacing w:after="0" w:line="14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consolidated net profit booking rate adjustments increased sales by $ 383 million and $655 million during the quarter and six months ended June 30, 2024 and $359 million and $792 million during the quarter and six months ended June 25, 2023. These adjustments increased segment operating profit by approximately $420 million ($332 million, or $1.39 per share, after tax) and $615 million ($486 million, or $2.02 per share, after tax) during the quarter and six months ended June 30, 2024, and $365 million ($288 million, or $1.14 per share, after tax) and $780 million ($616 million, or $2.42 per share, after tax) during the quarter and six months ended June 25, 2023. During the three months ended March 31, 2024, we recognized a reach-forward loss of $100 million on a classified program at our MFC business segment described below. During the three months ended June 25, 2023, we recognized a favorable profit adjustment of $65 million on an international surveillance and control program due to the positive resolution of a contractual matter, and a reach-forward loss of $100 million on the Canadian Maritime Helicopter Program (CMHP) as a result of increased costs and lower than planned revenues described below.</w:t>
      </w:r>
    </w:p>
    <w:p>
      <w:pPr>
        <w:spacing w:after="0" w:line="14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have various development programs for new and upgraded products, services, and related technologies which have complex design and technical challenges. This development work is inherently uncertain and subject to significant variability in estimates of the cost and time required to complete the work by us and our suppliers. Many of these programs have cost-type contracting arrangements (e.g. cost-reimbursable or cost-plus-fee). In such cases, the associated financial risks are primarily in reduced fees, lower profit rates, or program cancellation if cost, schedule, or technical performance issues arise.</w:t>
      </w:r>
    </w:p>
    <w:p>
      <w:pPr>
        <w:spacing w:after="0" w:line="15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However, some of our existing development programs are contracted on a fixed-price basis or include cost-type contracting for the development phase with fixed-price production options and our customers still continue to implement procurement strategies such as these that shift risk to contractors. Competitively bid programs with fixed-price development work or fixed-price production options increase the risk of a reach-forward loss upon contract award and during the period of contract performance. Due to the complex and often experimental nature of development programs, we may experience (and have experienced in the past) technical and quality issues during the development of new products or technologies for a variety of reasons. Our development programs are ongoing, and while we believe the cost and fee estimates incorporated in the financial statements are appropriate, the technical complexity of these programs and fixed-price contract structure creates financial risk as estimated completion costs may exceed the current contract value, which could trigger earnings charges, termination provisions, or other financially significant exposures. These programs have risk for reach-forward losses if our estimated costs exceed our estimated contract revenues, and such losses could be significant to our financial results, cash flows, or financial condition. Any such losses are recorded in the period in which the loss is evident.</w:t>
      </w:r>
    </w:p>
    <w:p>
      <w:pPr>
        <w:spacing w:after="0" w:line="14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have experienced performance issues on a classified fixed-price incentive fee contract at our Aeronautics business segment. Phases within the contract involve highly complex design and systems integration and we have periodically recognized reach-forward losses. During the second quarter of 2024, we recognized losses of $ 45 million related to higher than anticipated costs to maintain program objectives, increasing the cumulative losses to approximately $335 million. We will continue to monitor the technical requirements and our performance, the remaining work and any future changes in scope or schedule, and estimated costs to complete the program and may have to record additional losses in future periods if we experience further performance issues, increases in scope, or cost growth, which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material to our financial results. Additionally, we will continue to assess the likelihood of losses for future phases. We will be required to recognize additional losses for such phases if they are probable and such loss becomes evident. Lastly, we and our industry team will continue to incur advanced procurement costs (also referred to as pre-contract costs) in order to enhance our ability to achieve the schedule and certain milestones. We will monitor the recoverability of pre-contract costs, which could be impacted by the customer’s decision regarding future phases of the program.</w:t>
      </w:r>
    </w:p>
    <w:p>
      <w:pPr>
        <w:spacing w:after="0" w:line="15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have contracted with the Canadian Government for the Canadian Maritime Helicopter Program (CMHP) at our RMS business segment that provides for design, development, and production of CH-148 aircraft (the Original Equipment contract), which is a military variant of the S-92 helicopter, and for logistical support to the fleet (the In Service Support contract) over an extended time period. We are currently in discussions with the Canadian Government to potentially restructure certain contractual terms and conditions that may be beneficial to both parties. The program has experienced performance issues, including delays in the final aircraft deliveries from the original contract requirement, and the Royal Canadian Air Force’s flight hours have been significantly less than originally anticipated, which has impacted program revenues and the recovery of our costs under this program. We have incurred significant costs and recognized the related sales, of which about $970 million are currently included in contract assets on the balance sheet which could become at risk for future recovery. Such assets are recovered based on flight hours. Future sales and recovery of costs under the program are highly dependent upon achieving a certain number of flight hours, which are not entirely in our control and dependent on aircraft availability and performance, the availability of Canadian government resources, and potential restructured contract terms and conditions to better align with the current needs of the Canadian government and allow for cost recovery. As of June 30, 2024, cumulative losses remained at approximately $100 million. Future performance issues, lower than forecast flight hours, or changes in our estimates due to the outcome of restructuring discussions may further affect our ability to recover our costs, including recovery of the contract assets recognized on the balance sheet and our assessment of the reach-forward loss, which could be material to our operating results.</w:t>
      </w:r>
    </w:p>
    <w:p>
      <w:pPr>
        <w:spacing w:after="0" w:line="14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also have a number of contracts with Türkish industry for the Türkish Utility Helicopter Program (TUHP), which anticipates co-production with Türkish industry for production of T70 helicopters for use in Türkiye, as well as the related provision of Türkish goods and services under buy-back or offset obligations, to include the future sales of helicopters built in Türkiye for sale globally. In 2020, the U.S. Government imposed certain sanctions on Türkish entities and persons that have affected our ability to perform under the TUHP contracts and we have provided force majeure notices under the affected contracts. As of June 30, 2024, cumulative losses related to development work for the program remained insignificant and the program remains in a contract liability position on the balance sheet. The TUHP contracts may be negotiated to be restructured or terminated, either in whole or in part and as a result, we could be at risk of recording significant reach-forward losses in future periods. Additionally, we could elect to pursue other relief or remedies, which could result in a further reduction in sales, the imposition of penalties or assessment of damages, and increased unrecoverable costs, which could be material to our financial results.</w:t>
      </w:r>
    </w:p>
    <w:p>
      <w:pPr>
        <w:spacing w:after="0" w:line="14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Our MFC business segment was previously awarded a competitively bid classified contract, which includes a cost-reimbursable base contract for the initial phase of the program and multiple fixed price options for additional phases. The options for additional phases may be exercised over the next several years and if performed we expect they would each be at a loss. During the first quarter of 2024, we concluded it was probable that an option would be exercised based on progress made on the program and discussions with the customer. Accordingly, in the first quarter of 2024 we recognized a reach forward loss of approximately $100 million, bringing the cumulative losses recognized on the program to approximately $150 million, including charges for precontract costs recognized in prior periods. During the second quarter of 2024, there were no significant changes to the previously recognized losses. We will continue to assess the likelihood that additional options will be exercised, utilizing factors such as our performance, future requirements of the program, discussions with the customer and suppliers, customer funding, experience with other customer programs, among other factors. We will be required to recognize additional losses for the remaining options if they become probable of being exercised. The potential total loss across the additional options is up to approximately $1.3 billion. The ultimate amount of additional loss recognized, if any, will depend on how many of the additional options are exercised or become probable of being exercised and performance on those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8"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June 30, 2024, our ending backlog was $158.3 billion. We expect to recognize approximately 36% of our backlog over the next 12 months and approximately 60% over the next 24 months as revenue with the remainder recognized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ind w:right="240" w:firstLine="405"/>
        <w:spacing w:after="0" w:line="291" w:lineRule="auto"/>
        <w:rPr>
          <w:sz w:val="20"/>
          <w:szCs w:val="20"/>
          <w:color w:val="auto"/>
        </w:rPr>
      </w:pPr>
      <w:r>
        <w:rPr>
          <w:rFonts w:ascii="Arial" w:cs="Arial" w:eastAsia="Arial" w:hAnsi="Arial"/>
          <w:sz w:val="17"/>
          <w:szCs w:val="17"/>
          <w:color w:val="auto"/>
        </w:rPr>
        <w:t>Our effective income tax rates were 15.8% for the quarter and six months ended June 30, 2024 and 16.2% and 15.8% for the quarter and six months ended June 25, 2023. The rates for all periods benefited from research and development tax credits, tax deductions for foreign derived intangible income and dividends paid to our defined contribution plans with an employee stock ownership plan feature.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5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make investments in companies that we believe are advancing or developing new technologies applicable to our business. These investments are primarily in early-stage companies and may be in the form of common or preferred stock, warrants, convertible debt securities, investments in funds or equity method investments. Most of these investments are in equity securities without readily determinable fair values (privately held securities), which are measured initially at cost and are then adjusted to fair value only if there is an observable price change or reduced for impairment, if applicable. The carrying amounts of the investments were $604 million and $581 million at June 30, 2024 and December 31, 2023. Due to changes in fair value and/or sales of investments, we recorded net gains of $9 million ($7 million, or $0.03 per share, after-tax) and $14 million ($ 11 million, or $0.04 per share, after-tax) during the quarter and six months ended June 30, 2024 and net losses of $40 million ($30 million, or $0.12 per share, after-tax) and $11 million ($8 million, or $0.03 per share, after-tax) during the quarter and six months ended June 25, 2023. These gains or losses are reflected in the other non-operating income (expense), net account on our consolidated statements of earnings.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January 29, 2024, we issued a total of $2.0 billion of senior unsecured notes, consisting of $650 million aggregate principal amount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 4.50% Notes due 2029 (the “2029 Notes”), $600 million aggregate principal amount of 4.80% Notes due 2034 (the “2034 Notes”)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million aggregate principal amount of 5.20% Notes due 2064 (the “2064 Notes” and, together with the 2029 Notes and 2034 Notes,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Net proceeds of $1.98 billion were received from the offering after deducting pricing discounts and debt issuance costs,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being amortized and recorded as interest expense over the term of the Notes. We may, at our option, redeem the Notes of any series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whole or in part at any time and from time to time at a redemption price equal to the greater of 100% of the principal amount of the Notes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redeemed or an applicable make-whole amount, plus accrued and unpaid interest to the date of redemption. The Notes rank equally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of payment with all of our existing unsecured and unsubordinated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and Severance Charges</w:t>
      </w:r>
    </w:p>
    <w:p>
      <w:pPr>
        <w:spacing w:after="0" w:line="11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During the second quarter of 2024, we recorded charges totaling $87 million ($69 million, or $0.29 per share, after-tax) for trademark and fixed asset impairments as well as severance costs resulting from the strategic review of our Sikorsky business during the second quarter of 2024 due, in part, to the impacts of the U.S. Army announcement to cancel the Future Attack Reconnaissance Aircraft (FARA) program at the conclusion of fiscal year 2024, for which our Sikorsky business was competing.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RECENT ACCOUNTING PRONOUNCEMENTS</w:t>
      </w:r>
    </w:p>
    <w:p>
      <w:pPr>
        <w:spacing w:after="0" w:line="198"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March 2024, the SEC issued a final rule under SEC Release Nos. 33-11275 and 34-99678, The Enhancement and Standardization of Climate-Related Disclosures for Investors, that will require us to provide climate-related disclosures in our annual reports and registration statements beginning with our annual report for the year ending December 31, 2025. The rule requires disclosure of material climate-related risks, our governance and risk management of climate-related risks and any material climate-related targets or goals, greenhouse gas emissions as well as disclosure of the financial statement effects, such as costs and losses resulting from severe weather events and other natural conditions. In April 2024, the SEC released an order staying this final rule pending judicial review of all the petitions challenging the rule. We are in the process of analyzing the impact of the rules on our disclosures.</w:t>
      </w:r>
    </w:p>
    <w:p>
      <w:pPr>
        <w:spacing w:after="0" w:line="14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impact only our disclosures with no impacts to our results of operations, cash flows and financial condition.</w:t>
      </w:r>
    </w:p>
    <w:p>
      <w:pPr>
        <w:spacing w:after="0" w:line="14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impact only our disclosures with no impacts to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reviewed the accompanying consolidated balance sheet of Lockheed Martin Corporation (the Company) as of June 30, 2024, the related consolidated statements of earnings, comprehensive income and equity for the quarters and six months ended June 30, 2024 and June 25, 2023, and consolidated statements of cash flows for the six months ended June 30, 2024 and June 25, 2023,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2023, the related consolidated statements of earnings, comprehensive income, cash flows and equity for the year then ended, and the related notes (not presented herein); and in our report dated January 23, 2024, we expressed an unqualified audit opinion on those consolidated financial statements. In our opinion, the information set forth in the accompanying consolidated balance sheet as of December 31, 2023, is fairly stated, in all material respects, in relation to the consolidated balance sheet from which it has been derived.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July 23,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to consolidated financial statements and with our Annual Report on Form 10-K for the year ended December 31, 2023 (2023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are a global defense technology company driving innovation and advancing scientific discovery. Our all-domain mission solutions and 21st Century Security vision accelerate the delivery of transformative technologies to our customers. We are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Our main areas of focus are in defense, space, intelligence, homeland security and information technology, including cybersecurity. We serve both U.S. and international customers with products and services that have defense, civil and commercial applications, with our principal customers being agencies of the U.S. Government. During the six months ended June 30, 2024, 74% of our $35.3 billion in net sales were from the U.S. Government, either as a prime contractor or as a subcontractor (including 65% from the Department of Defense (DoD)), 25% were from international customers (including foreign military sales (FMS) contracted through the U.S. Government) and 1% were from U.S. commercial and other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Budget Environment</w:t>
      </w:r>
    </w:p>
    <w:p>
      <w:pPr>
        <w:spacing w:after="0" w:line="185" w:lineRule="exact"/>
        <w:rPr>
          <w:sz w:val="20"/>
          <w:szCs w:val="20"/>
          <w:color w:val="auto"/>
        </w:rPr>
      </w:pPr>
    </w:p>
    <w:p>
      <w:pPr>
        <w:ind w:right="520" w:firstLine="445"/>
        <w:spacing w:after="0" w:line="287" w:lineRule="auto"/>
        <w:rPr>
          <w:sz w:val="20"/>
          <w:szCs w:val="20"/>
          <w:color w:val="auto"/>
        </w:rPr>
      </w:pPr>
      <w:r>
        <w:rPr>
          <w:rFonts w:ascii="Arial" w:cs="Arial" w:eastAsia="Arial" w:hAnsi="Arial"/>
          <w:sz w:val="18"/>
          <w:szCs w:val="18"/>
          <w:color w:val="auto"/>
        </w:rPr>
        <w:t>With approximately three quarters of our sales from the U.S. Government, U.S. Government spending levels, particularly defense spending, and timely funding thereof can affect our financial performance over the short and long term.</w:t>
      </w:r>
    </w:p>
    <w:p>
      <w:pPr>
        <w:spacing w:after="0" w:line="112" w:lineRule="exact"/>
        <w:rPr>
          <w:sz w:val="20"/>
          <w:szCs w:val="20"/>
          <w:color w:val="auto"/>
        </w:rPr>
      </w:pPr>
    </w:p>
    <w:p>
      <w:pPr>
        <w:ind w:right="240" w:firstLine="445"/>
        <w:spacing w:after="0" w:line="268" w:lineRule="auto"/>
        <w:rPr>
          <w:sz w:val="20"/>
          <w:szCs w:val="20"/>
          <w:color w:val="auto"/>
        </w:rPr>
      </w:pPr>
      <w:r>
        <w:rPr>
          <w:rFonts w:ascii="Arial" w:cs="Arial" w:eastAsia="Arial" w:hAnsi="Arial"/>
          <w:sz w:val="18"/>
          <w:szCs w:val="18"/>
          <w:color w:val="auto"/>
        </w:rPr>
        <w:t>On March 22, 2024, the President signed the second Fiscal Year (FY) 2024 Consolidated Appropriations package into law, which includes the DoD funding. This legislation reflects the Fiscal Responsibility Act (FRA) spending limit of $886 billion for National Defense, of which $842 billion was for the DoD base budget.</w:t>
      </w:r>
    </w:p>
    <w:p>
      <w:pPr>
        <w:spacing w:after="0" w:line="144"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The President’s FY 2025 budget request was submitted to Congress on March 11, 2024, initiating the FY 2025 defense authorization and appropriations legislative process. The request included $895 billion for National Defense, of which $850 billion is for the DoD base budget, in keeping with the limit established by the FRA. While compression on overall requirements driven by the FRA limit is evident, the Office of the Secretary of Defense has stated the FY 2025 budget proposal meets their objectives of keeping National Defense Strategy priorities on track.</w:t>
      </w:r>
    </w:p>
    <w:p>
      <w:pPr>
        <w:spacing w:after="0" w:line="139"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The House and Senate continue the legislative process on the FY 2025 budget. On May 22, 2024, the House Armed Services Committee (HASC) approved its version of the FY25 National Defense Authorization Act. The bill authorizes $849.8 billion in funding for the DoD, which is consistent with the President’s FY25 budget request. On June 28, 2024, the FY 2025 DoD Appropriations bill H.R. 8774 passed the House. This House bill supports additional funding above the President’s FY25 budget request for several programs spread across our four business areas. On July 8, 2024, the Senate Armed Service Committee (SASC) filed their version of the FY 25 National Defense Authorization Act at a level $25 billion above the cap set by the FRA.</w:t>
      </w:r>
    </w:p>
    <w:p>
      <w:pPr>
        <w:spacing w:after="0" w:line="142"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In the coming months, Congress will need to approve or revise the President’s FY 2025 budget proposal through enactment of appropriations bills and other policy legislation, which would then require final approval from the President in order for the FY 2025 budget to become law and complete the budget process.</w:t>
      </w:r>
    </w:p>
    <w:p>
      <w:pPr>
        <w:spacing w:after="0" w:line="144"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On April 24, 2024, the President signed a bill providing a total of $95 billion in additional supplemental funding for Ukraine, Israel and Taiwan including funding for the restock of U.S. munitions capacity. Supplemental funding legislation is not subject to the FRA limits.</w:t>
      </w:r>
    </w:p>
    <w:p>
      <w:pPr>
        <w:spacing w:after="0" w:line="112"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We anticipate the federal budget will continue to be subject to debate and compromise shaped by, among other things, heightened political tensions and the 2024 elections, the global security environment, inflationary pressures, and macroeconomic conditions. The result may be shifting funding priorities, which could have material impacts on defense spending broadly and our programs.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180" w:firstLine="445"/>
        <w:spacing w:after="0" w:line="453" w:lineRule="auto"/>
        <w:rPr>
          <w:sz w:val="20"/>
          <w:szCs w:val="20"/>
          <w:color w:val="auto"/>
        </w:rPr>
      </w:pPr>
      <w:r>
        <w:rPr>
          <w:rFonts w:ascii="Arial" w:cs="Arial" w:eastAsia="Arial" w:hAnsi="Arial"/>
          <w:sz w:val="18"/>
          <w:szCs w:val="18"/>
          <w:color w:val="auto"/>
        </w:rPr>
        <w:t xml:space="preserve">See also the discussion of U.S. Government funding risks within “Item 1A, Risk Factors” included in our 2023 Form 10-K. </w:t>
      </w:r>
      <w:r>
        <w:rPr>
          <w:rFonts w:ascii="Arial" w:cs="Arial" w:eastAsia="Arial" w:hAnsi="Arial"/>
          <w:sz w:val="18"/>
          <w:szCs w:val="18"/>
          <w:b w:val="1"/>
          <w:bCs w:val="1"/>
          <w:color w:val="auto"/>
        </w:rPr>
        <w:t>Geopolitical and Economic Environment</w:t>
      </w:r>
    </w:p>
    <w:p>
      <w:pPr>
        <w:spacing w:after="0" w:line="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operate in a complex and evolving global security environment and our business is affected by geopolitical and security issues. Russia’s invasion of Ukraine, conflicts in the Middle East and heightened tension in the Pacific region have elevated global security concerns resulting in increased interest for our products and services as countries seek to improve their security posture. In this context, the U.S. Government, our largest customer, continues to align its budget with the defense priorities set forth in the 2022 National Defense Strategy. In addition, security assistance provided by the U.S. Government and its allies to Ukraine has increased U.S. Government and allied demand to replenish U.S. stockpiles, resulting in additional and potential future orders, including for the ramp-up in production capacity for certain products. We continue to expect additional orders over the next several years attributable to the global threat environment. We operate primarily in a long-cycle business and the U.S. government has been focused on increasing industry capacity to meet demand. For example, in 2024, our Missiles and Fire Control business segment expects to begin realizing higher year over year sales from the production ramp up associated with munitions replenishment. We continue to work with the U.S. Government and our supply chain to evaluate increases in capacity at our operations to anticipate potential demand and enable us to deliver critical capabilities.</w:t>
      </w:r>
    </w:p>
    <w:p>
      <w:pPr>
        <w:spacing w:after="0" w:line="155"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Our business and financial performance is also affected by general economic conditions. We continue to experience supply chain challenges, including supplier shortages and performance issues. These issues have delayed certain customer deliveries, have been a limiting factor on our ability to ramp up production in response to customer demand for certain products and have caused out-of-sequence manufacturing, which increases costs and decreases operational efficiency. In addition, elevated levels of inflation and macro-economic conditions present risks for Lockheed Martin, our suppliers and the stability of the broader defense industrial base. Certain costs, including rising labor rates and supplier costs, have increased as a result of inflation, and have adversely affected our margins on certain programs. In addition, some suppliers are reducing the duration of pricing validity of their proposals to us or seeking to reopen pricing on existing agreements, which is operationally challenging and increases the risk of cost volatility. We continue to work to mitigate challenges caused by the supply chain or current macroeconomic environment on our business, including by supporting small business and at-risk suppliers, deploying resources to work with our supply chain, securing materials and support by executing long-term contracts, enforcing existing contract terms, identifying alternative sources, collaborating with our customer to address industry-wide challenges, and optimizing our supply chain organization through digital transformation and workforce development. If we experience significant supply chain issues or high rates of inflation, and are unable to successfully mitigate the impact, our future profits, margins and cash flows, particularly for existing fixed-price contracts, may be adversely affected. Inflation and higher interest rates can also constrain the overall purchasing power of our customers for our products and services potentially impacting future orders, especially in a budget constrained environment. We remain committed to our ongoing efforts to increase the efficiency of our operations and improve the cost competitiveness and affordability of our products and services, which may, in part, offset cost increases from inflation.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risks to the company related to the geopolitical and economic environment, see “Item 1A, Risk Factors” of our 2023 Form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cycle is primarily long-term and involves many types of contracts for the design, development and manufacture of</w:t>
      </w:r>
    </w:p>
    <w:p>
      <w:pPr>
        <w:spacing w:after="0" w:line="14"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products and related activities with varying delivery schedules. Additionally, we close our books and records on the last Sunday of each month, except for the month of December, as our fiscal year ends on December 31, to align our financial closing with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processes. Because of this, the number of weeks in a reporting quarter may vary slightly during the year and for comparable prior year periods. Consequently, the results of operations of a particular year, or year-to-year comparisons of sales and profits, may not be indicative of future operating results. The following discussions of comparative results should be reviewed in this context. All per share amounts cited in these discussions are presented on a “per diluted share” basis,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results of operations were as follows (in millions, except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4"/>
                <w:szCs w:val="14"/>
                <w:color w:val="auto"/>
              </w:rPr>
            </w:pPr>
          </w:p>
        </w:tc>
        <w:tc>
          <w:tcPr>
            <w:tcW w:w="118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25,</w:t>
            </w:r>
          </w:p>
        </w:tc>
        <w:tc>
          <w:tcPr>
            <w:tcW w:w="52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4"/>
                <w:szCs w:val="14"/>
                <w:color w:val="auto"/>
              </w:rPr>
            </w:pPr>
          </w:p>
        </w:tc>
        <w:tc>
          <w:tcPr>
            <w:tcW w:w="13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4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18,122</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16,693</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35,317</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31,819</w:t>
            </w: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(15,992)</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(14,603)</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(31,194)</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(27,683)</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2,130</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2,090</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4,123</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4,136</w:t>
            </w: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45</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54</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36</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2,148</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2,135</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4,177</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4,172</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(261)</w:t>
            </w:r>
          </w:p>
        </w:tc>
        <w:tc>
          <w:tcPr>
            <w:tcW w:w="5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(223)</w:t>
            </w:r>
          </w:p>
        </w:tc>
        <w:tc>
          <w:tcPr>
            <w:tcW w:w="52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(516)</w:t>
            </w:r>
          </w:p>
        </w:tc>
        <w:tc>
          <w:tcPr>
            <w:tcW w:w="52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(425)</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FAS pension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111</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31</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221</w:t>
            </w: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46</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91</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32</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1,948</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3,783</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4,000</w:t>
            </w: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(307)</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(325)</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(597)</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(630)</w:t>
            </w:r>
          </w:p>
        </w:tc>
      </w:tr>
      <w:tr>
        <w:trPr>
          <w:trHeight w:val="223"/>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1,641</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1,681</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3,186</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3,370</w:t>
            </w:r>
          </w:p>
        </w:tc>
      </w:tr>
      <w:tr>
        <w:trPr>
          <w:trHeight w:val="216"/>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6.85</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6.63</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13.24</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13.24</w:t>
            </w:r>
          </w:p>
        </w:tc>
      </w:tr>
    </w:tbl>
    <w:p>
      <w:pPr>
        <w:spacing w:after="0" w:line="292" w:lineRule="exact"/>
        <w:rPr>
          <w:sz w:val="20"/>
          <w:szCs w:val="20"/>
          <w:color w:val="auto"/>
        </w:rPr>
      </w:pPr>
    </w:p>
    <w:p>
      <w:pPr>
        <w:jc w:val="both"/>
        <w:ind w:right="120" w:firstLine="445"/>
        <w:spacing w:after="0" w:line="268" w:lineRule="auto"/>
        <w:rPr>
          <w:sz w:val="20"/>
          <w:szCs w:val="20"/>
          <w:color w:val="auto"/>
        </w:rPr>
      </w:pPr>
      <w:r>
        <w:rPr>
          <w:rFonts w:ascii="Arial" w:cs="Arial" w:eastAsia="Arial" w:hAnsi="Arial"/>
          <w:sz w:val="18"/>
          <w:szCs w:val="18"/>
          <w:color w:val="auto"/>
        </w:rPr>
        <w:t>Certain amounts reported in other income, net, including our share of earnings or losses from equity method investees, are included in the operating profit of our business segments. Accordingly, such amounts are included in the discussion of our business segment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5" w:lineRule="exact"/>
        <w:rPr>
          <w:sz w:val="20"/>
          <w:szCs w:val="20"/>
          <w:color w:val="auto"/>
        </w:rPr>
      </w:pPr>
    </w:p>
    <w:p>
      <w:pPr>
        <w:ind w:right="1000" w:firstLine="445"/>
        <w:spacing w:after="0" w:line="287" w:lineRule="auto"/>
        <w:rPr>
          <w:sz w:val="20"/>
          <w:szCs w:val="20"/>
          <w:color w:val="auto"/>
        </w:rPr>
      </w:pPr>
      <w:r>
        <w:rPr>
          <w:rFonts w:ascii="Arial" w:cs="Arial" w:eastAsia="Arial" w:hAnsi="Arial"/>
          <w:sz w:val="18"/>
          <w:szCs w:val="18"/>
          <w:color w:val="auto"/>
        </w:rPr>
        <w:t>We generate sales from the delivery of products and services to our customers. Our consolidated net sales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Quarters Ended</w:t>
            </w:r>
          </w:p>
        </w:tc>
        <w:tc>
          <w:tcPr>
            <w:tcW w:w="3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4"/>
                <w:szCs w:val="14"/>
                <w:color w:val="auto"/>
              </w:rPr>
            </w:pPr>
          </w:p>
        </w:tc>
        <w:tc>
          <w:tcPr>
            <w:tcW w:w="138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June 25,</w:t>
            </w:r>
          </w:p>
        </w:tc>
        <w:tc>
          <w:tcPr>
            <w:tcW w:w="360" w:type="dxa"/>
            <w:vAlign w:val="bottom"/>
          </w:tcPr>
          <w:p>
            <w:pPr>
              <w:spacing w:after="0"/>
              <w:rPr>
                <w:sz w:val="14"/>
                <w:szCs w:val="14"/>
                <w:color w:val="auto"/>
              </w:rPr>
            </w:pPr>
          </w:p>
        </w:tc>
        <w:tc>
          <w:tcPr>
            <w:tcW w:w="138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4"/>
                <w:szCs w:val="14"/>
                <w:color w:val="auto"/>
              </w:rPr>
            </w:pPr>
          </w:p>
        </w:tc>
        <w:tc>
          <w:tcPr>
            <w:tcW w:w="134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4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15,109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13,758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29,305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26,284</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 of total net sales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83.4 %</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82.4 %</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83.0 %</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82.6 %</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3,013</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2,935</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6,012</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5,535</w:t>
            </w:r>
          </w:p>
        </w:tc>
      </w:tr>
      <w:tr>
        <w:trPr>
          <w:trHeight w:val="230"/>
        </w:trPr>
        <w:tc>
          <w:tcPr>
            <w:tcW w:w="4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of total net sales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16.6 %</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17.6 %</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17.0 %</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4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18,122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16,693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35,317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31,819</w:t>
            </w:r>
          </w:p>
        </w:tc>
      </w:tr>
    </w:tbl>
    <w:p>
      <w:pPr>
        <w:spacing w:after="0" w:line="25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Substantially all of our contracts are accounted for using the percentage-of-completion cost-to-cost method. Under the percentage-of-completion cost-to-cost method, we record net sales on contracts over time based upon our progress towards completion on a particular contract, as well as our estimate of the profit to be earned at completion. The following discussion of material changes in our consolidated net sales should be read in tandem with the subsequent discussion of changes in our consolidated cost of sales and our business segment results of operations because changes in our sales are typically accompanied by a corresponding change in our cost of sales due to the nature of the percentage-of-completion cost-to-cost method.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83"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Product sales increased $1.4 billion, or 10%, during the quarter ended June 30, 2024, compared to the same period in 2023. The increase was primarily attributable to higher product sales of $665 million at RMS, $330 million at MFC, and $ 325 million at Aeronautics. Higher product sales at RMS were due to new program ramp up within the laser systems portfolio and higher volume on radar, Black Hawk and CH-53K programs. Higher product sales at MFC were due to production ramp up on Guided Multiple Launch Rocket Systems (GMLRS), and Long Range Anti-Ship Missile (LRASM) programs. Higher product sales at Aeronautics were due to higher volume on F-35 production contracts.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sales increased $3.0 billion, or 11%, during the six months ended June 30, 2024, compared to the same period in 2023.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increase was primarily attributable to higher product sales of $1.1 billion at RMS, $905 million at MFC, $760 million at Aeronautics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 million at Space. Higher product sales at RMS were due to new program ramp up within the laser systems portfolio and higher volume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radar, various C6ISR (command, control, communications, computers, cyber, combat systems, intelligence, surveillance,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reconnaissance), Black Hawk and CH-53K programs. Higher product sales at MFC were due to production ramp up on GMLRS, High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Mobility Artillery Rocket System (HIMARS), Joint Air-to-Surface Standoff Missile (JASSM) and LRASM programs. Higher product sales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Aeronautics were due to higher volume on F-35 production contracts. Higher product sales at Space were due to higher volume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hypersonic development programs and higher volume on Fleet Ballistic Missile (FBM), transport layer and other space exploration programs,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lower volume on classified and Orion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Sales</w:t>
      </w:r>
    </w:p>
    <w:p>
      <w:pPr>
        <w:spacing w:after="0" w:line="183"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Service sales increased $78 million, or 3%, during the quarter ended June 30, 2024, compared to the same period in 2023. The increase was primarily attributable to higher service sales of approximately $75 million at Aeronautics due to higher volume on F-35 and C-130 sustainment contracts.</w:t>
      </w:r>
    </w:p>
    <w:p>
      <w:pPr>
        <w:spacing w:after="0" w:line="130"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Service sales increased $477 million, or 9%, during the six months ended June 30, 2024, compared to the same period in 2023. The increase was primarily attributable to higher service sales of approximately $215 million at Aeronautics, $115 million at RMS, and $ 100 million at Space. Higher service sales at Aeronautics were due to higher volume on C-130 and F-35 sustainment contracts. Higher service sales at RMS were due to higher volume on various C6ISR programs. Higher service sales at Space were due to higher volume on national security space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85" w:lineRule="exact"/>
        <w:rPr>
          <w:sz w:val="20"/>
          <w:szCs w:val="20"/>
          <w:color w:val="auto"/>
        </w:rPr>
      </w:pPr>
    </w:p>
    <w:p>
      <w:pPr>
        <w:ind w:right="420" w:firstLine="445"/>
        <w:spacing w:after="0" w:line="262" w:lineRule="auto"/>
        <w:rPr>
          <w:sz w:val="20"/>
          <w:szCs w:val="20"/>
          <w:color w:val="auto"/>
        </w:rPr>
      </w:pPr>
      <w:r>
        <w:rPr>
          <w:rFonts w:ascii="Arial" w:cs="Arial" w:eastAsia="Arial" w:hAnsi="Arial"/>
          <w:sz w:val="18"/>
          <w:szCs w:val="18"/>
          <w:color w:val="auto"/>
        </w:rPr>
        <w:t>Cost of sales,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cost of sales were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Quarters Ended</w:t>
            </w:r>
          </w:p>
        </w:tc>
        <w:tc>
          <w:tcPr>
            <w:tcW w:w="5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3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5"/>
                <w:szCs w:val="15"/>
                <w:color w:val="auto"/>
              </w:rPr>
            </w:pPr>
          </w:p>
        </w:tc>
        <w:tc>
          <w:tcPr>
            <w:tcW w:w="1280" w:type="dxa"/>
            <w:vAlign w:val="bottom"/>
          </w:tcPr>
          <w:p>
            <w:pPr>
              <w:jc w:val="right"/>
              <w:ind w:right="250"/>
              <w:spacing w:after="0" w:line="177" w:lineRule="exact"/>
              <w:rPr>
                <w:sz w:val="20"/>
                <w:szCs w:val="20"/>
                <w:color w:val="auto"/>
              </w:rPr>
            </w:pPr>
            <w:r>
              <w:rPr>
                <w:rFonts w:ascii="Arial" w:cs="Arial" w:eastAsia="Arial" w:hAnsi="Arial"/>
                <w:sz w:val="18"/>
                <w:szCs w:val="18"/>
                <w:b w:val="1"/>
                <w:bCs w:val="1"/>
                <w:color w:val="auto"/>
              </w:rPr>
              <w:t>June 25,</w:t>
            </w:r>
          </w:p>
        </w:tc>
        <w:tc>
          <w:tcPr>
            <w:tcW w:w="560" w:type="dxa"/>
            <w:vAlign w:val="bottom"/>
          </w:tcPr>
          <w:p>
            <w:pPr>
              <w:spacing w:after="0"/>
              <w:rPr>
                <w:sz w:val="15"/>
                <w:szCs w:val="15"/>
                <w:color w:val="auto"/>
              </w:rPr>
            </w:pPr>
          </w:p>
        </w:tc>
        <w:tc>
          <w:tcPr>
            <w:tcW w:w="130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5"/>
                <w:szCs w:val="15"/>
                <w:color w:val="auto"/>
              </w:rPr>
            </w:pPr>
          </w:p>
        </w:tc>
        <w:tc>
          <w:tcPr>
            <w:tcW w:w="1440" w:type="dxa"/>
            <w:vAlign w:val="bottom"/>
          </w:tcPr>
          <w:p>
            <w:pPr>
              <w:jc w:val="right"/>
              <w:ind w:right="430"/>
              <w:spacing w:after="0" w:line="177" w:lineRule="exact"/>
              <w:rPr>
                <w:sz w:val="20"/>
                <w:szCs w:val="20"/>
                <w:color w:val="auto"/>
              </w:rPr>
            </w:pPr>
            <w:r>
              <w:rPr>
                <w:rFonts w:ascii="Arial" w:cs="Arial" w:eastAsia="Arial" w:hAnsi="Arial"/>
                <w:sz w:val="18"/>
                <w:szCs w:val="18"/>
                <w:b w:val="1"/>
                <w:bCs w:val="1"/>
                <w:color w:val="auto"/>
              </w:rPr>
              <w:t>June 25,</w:t>
            </w:r>
          </w:p>
        </w:tc>
      </w:tr>
      <w:tr>
        <w:trPr>
          <w:trHeight w:val="235"/>
        </w:trPr>
        <w:tc>
          <w:tcPr>
            <w:tcW w:w="3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(13,520)</w:t>
            </w: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(12,238)</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(26,404)</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(23,389)</w:t>
            </w:r>
          </w:p>
        </w:tc>
      </w:tr>
      <w:tr>
        <w:trPr>
          <w:trHeight w:val="229"/>
        </w:trPr>
        <w:tc>
          <w:tcPr>
            <w:tcW w:w="3980" w:type="dxa"/>
            <w:vAlign w:val="bottom"/>
          </w:tcPr>
          <w:p>
            <w:pPr>
              <w:ind w:left="36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89.5 %</w:t>
            </w:r>
          </w:p>
        </w:tc>
        <w:tc>
          <w:tcPr>
            <w:tcW w:w="54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89.0 %</w:t>
            </w:r>
          </w:p>
        </w:tc>
        <w:tc>
          <w:tcPr>
            <w:tcW w:w="56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90.1 %</w:t>
            </w:r>
          </w:p>
        </w:tc>
        <w:tc>
          <w:tcPr>
            <w:tcW w:w="56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89.0 %</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 services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(2,582)</w:t>
            </w: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(2,642)</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(5,185)</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(4,926)</w:t>
            </w: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 of service sales</w:t>
            </w:r>
          </w:p>
        </w:tc>
        <w:tc>
          <w:tcPr>
            <w:tcW w:w="28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85.7 %</w:t>
            </w:r>
          </w:p>
        </w:tc>
        <w:tc>
          <w:tcPr>
            <w:tcW w:w="54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90.0 %</w:t>
            </w:r>
          </w:p>
        </w:tc>
        <w:tc>
          <w:tcPr>
            <w:tcW w:w="56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86.2 %</w:t>
            </w:r>
          </w:p>
        </w:tc>
        <w:tc>
          <w:tcPr>
            <w:tcW w:w="56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89.0 %</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severance charges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(87)</w:t>
            </w: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(87)</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r>
      <w:tr>
        <w:trPr>
          <w:trHeight w:val="22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unallocated, net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197</w:t>
            </w: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277</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482</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632</w:t>
            </w:r>
          </w:p>
        </w:tc>
      </w:tr>
      <w:tr>
        <w:trPr>
          <w:trHeight w:val="230"/>
        </w:trPr>
        <w:tc>
          <w:tcPr>
            <w:tcW w:w="39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(15,992)</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(14,603)</w:t>
            </w: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(31,194)</w:t>
            </w: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(27,683)</w:t>
            </w:r>
          </w:p>
        </w:tc>
      </w:tr>
    </w:tbl>
    <w:p>
      <w:pPr>
        <w:spacing w:after="0" w:line="251"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The following discussion of material changes in our consolidated cost of sales for products and services should be read in tandem with the preceding discussion of changes in our consolidated net sales and our business segment results of operations. Except for potential impacts to our programs resulting from supply chain disruptions and inflation, we have</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not identified any additional developing trends in cost of sales for products and services that would have a material impact on our future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Costs</w:t>
      </w:r>
    </w:p>
    <w:p>
      <w:pPr>
        <w:spacing w:after="0" w:line="183" w:lineRule="exact"/>
        <w:rPr>
          <w:sz w:val="20"/>
          <w:szCs w:val="20"/>
          <w:color w:val="auto"/>
        </w:rPr>
      </w:pPr>
    </w:p>
    <w:p>
      <w:pPr>
        <w:jc w:val="both"/>
        <w:ind w:right="500" w:firstLine="445"/>
        <w:spacing w:after="0" w:line="268" w:lineRule="auto"/>
        <w:rPr>
          <w:sz w:val="20"/>
          <w:szCs w:val="20"/>
          <w:color w:val="auto"/>
        </w:rPr>
      </w:pPr>
      <w:r>
        <w:rPr>
          <w:rFonts w:ascii="Arial" w:cs="Arial" w:eastAsia="Arial" w:hAnsi="Arial"/>
          <w:sz w:val="18"/>
          <w:szCs w:val="18"/>
          <w:color w:val="auto"/>
        </w:rPr>
        <w:t>Product costs increased $1.3 billion, or 10%, during the quarter ended June 30, 2024, compared to the same period in 2023. The increase was primarily attributable to higher product costs of approximately $685 million at RMS, $305 million at Aeronautics, and $275 million at MFC due to higher volume and production ramp up as described above in “Product Sales”.</w:t>
      </w:r>
    </w:p>
    <w:p>
      <w:pPr>
        <w:spacing w:after="0" w:line="144" w:lineRule="exact"/>
        <w:rPr>
          <w:sz w:val="20"/>
          <w:szCs w:val="20"/>
          <w:color w:val="auto"/>
        </w:rPr>
      </w:pPr>
    </w:p>
    <w:p>
      <w:pPr>
        <w:ind w:right="240" w:firstLine="445"/>
        <w:spacing w:after="0" w:line="268" w:lineRule="auto"/>
        <w:rPr>
          <w:sz w:val="20"/>
          <w:szCs w:val="20"/>
          <w:color w:val="auto"/>
        </w:rPr>
      </w:pPr>
      <w:r>
        <w:rPr>
          <w:rFonts w:ascii="Arial" w:cs="Arial" w:eastAsia="Arial" w:hAnsi="Arial"/>
          <w:sz w:val="18"/>
          <w:szCs w:val="18"/>
          <w:color w:val="auto"/>
        </w:rPr>
        <w:t>Product costs increased $3.0 billion, or 13%, during the six months ended June 30, 2024, compared to the same period in 2023. The increase was primarily attributable to higher product costs of approximately $1.1 billion at RMS, $925 million at MFC, $765 million at Aeronautics and $240 million at Space due to production ramp up and higher volume as described above in “Product Sales”.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Costs</w:t>
      </w:r>
    </w:p>
    <w:p>
      <w:pPr>
        <w:spacing w:after="0" w:line="18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Service costs decreased $60 million, or 2%, during the quarter ended June 30, 2024, compared to the same period in 2023. The decrease was primarily attributable to lower service costs of $85 million at RMS and $ 35 million at Space partially offset by higher service costs of $60 million at Aeronautics. Lower service costs at RMS were primarily due to an unfavorable profit adjustment on the Canadian Maritime Helicopter Program (CMHP) in the second quarter of 2023 that did not recur in the second quarter of 2024. Higher service costs at Aeronautics were due to higher volume as described above in “Service Sales”.</w:t>
      </w:r>
    </w:p>
    <w:p>
      <w:pPr>
        <w:spacing w:after="0" w:line="152" w:lineRule="exact"/>
        <w:rPr>
          <w:sz w:val="20"/>
          <w:szCs w:val="20"/>
          <w:color w:val="auto"/>
        </w:rPr>
      </w:pPr>
    </w:p>
    <w:p>
      <w:pPr>
        <w:jc w:val="both"/>
        <w:ind w:right="220" w:firstLine="445"/>
        <w:spacing w:after="0" w:line="268" w:lineRule="auto"/>
        <w:rPr>
          <w:sz w:val="20"/>
          <w:szCs w:val="20"/>
          <w:color w:val="auto"/>
        </w:rPr>
      </w:pPr>
      <w:r>
        <w:rPr>
          <w:rFonts w:ascii="Arial" w:cs="Arial" w:eastAsia="Arial" w:hAnsi="Arial"/>
          <w:sz w:val="18"/>
          <w:szCs w:val="18"/>
          <w:color w:val="auto"/>
        </w:rPr>
        <w:t>Service costs increased $259 million, or 5%, during the six months ended June 30, 2024, compared to the same period in 2023. The increase was primarily attributable to higher service costs of $180 million at Aeronautics, and $45 million at Space due to higher volume as described above in “Service Sales”.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Severance Charges</w:t>
      </w:r>
    </w:p>
    <w:p>
      <w:pPr>
        <w:spacing w:after="0" w:line="183" w:lineRule="exact"/>
        <w:rPr>
          <w:sz w:val="20"/>
          <w:szCs w:val="20"/>
          <w:color w:val="auto"/>
        </w:rPr>
      </w:pPr>
    </w:p>
    <w:p>
      <w:pPr>
        <w:ind w:right="460" w:firstLine="445"/>
        <w:spacing w:after="0" w:line="287" w:lineRule="auto"/>
        <w:rPr>
          <w:sz w:val="20"/>
          <w:szCs w:val="20"/>
          <w:color w:val="auto"/>
        </w:rPr>
      </w:pPr>
      <w:r>
        <w:rPr>
          <w:rFonts w:ascii="Arial" w:cs="Arial" w:eastAsia="Arial" w:hAnsi="Arial"/>
          <w:sz w:val="18"/>
          <w:szCs w:val="18"/>
          <w:color w:val="auto"/>
        </w:rPr>
        <w:t>During the second quarter of 2024, we recorded charges totaling $87 million ($69 million, or $0.29 per share, after-tax). See “Note 10 - Other” included in our Notes to Consolidated Financial Statements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Unallocated, Net</w:t>
      </w:r>
    </w:p>
    <w:p>
      <w:pPr>
        <w:spacing w:after="0" w:line="18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Other unallocated, net primarily includes the FAS/CAS pension operating adjustment (which represents the difference between total CAS pension cost recorded in our business segments’ results of operations and the service cost component of Financial Accounting Standards (FAS) pension income (expense)), stock-based compensation expense, changes in the fair value of assets and liabilities for deferred compensation plans, intangible asset amortization expense and other corporate costs. These items are not allocated to the business segments and, therefore, are not allocated to cost of sales for products or services. Other unallocated, net reduced cost of sales by $197 million and $482 million during the quarter and six months ended June 30, 2024, compared to $277 million and $632 million during the quarter and six months ended June 25, 2023. The decrease in other unallocated, net was primarily due to lower gains from the changes in the fair value of assets and liabilities related to deferred compensation plans during the quarter and six months ended June 30, 2024 compared to the same periods in 2023 and fluctuations in costs associated with various corporate items, none of which were individually significant.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9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Other income, net, primarily includes earnings generated by equity method investees. Other income, net was $ 18 million and $ 54 million during the quarter and six months ended June 30, 2024, compared to $45 million and $36 million during the quarter and six months ended June 25, 2023. Other income, net during the quarter ended June 30, 2024 reflects lower earnings generated by certain of our equity method investments, including ULA. Other income, net during the six months ended June 30, 2024 includes higher earnings generated by our equity method investment in ULA due to higher launch volume.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5" w:lineRule="exact"/>
        <w:rPr>
          <w:sz w:val="20"/>
          <w:szCs w:val="20"/>
          <w:color w:val="auto"/>
        </w:rPr>
      </w:pPr>
    </w:p>
    <w:p>
      <w:pPr>
        <w:ind w:right="200" w:firstLine="405"/>
        <w:spacing w:after="0" w:line="268" w:lineRule="auto"/>
        <w:rPr>
          <w:sz w:val="20"/>
          <w:szCs w:val="20"/>
          <w:color w:val="auto"/>
        </w:rPr>
      </w:pPr>
      <w:r>
        <w:rPr>
          <w:rFonts w:ascii="Arial" w:cs="Arial" w:eastAsia="Arial" w:hAnsi="Arial"/>
          <w:sz w:val="18"/>
          <w:szCs w:val="18"/>
          <w:color w:val="auto"/>
        </w:rPr>
        <w:t>Interest expense was $261 million and $ 516 million and $ 223 million and $425 million during the quarters and six months ended June 30, 2024 and June 25, 2023. The increase in interest expense in 2024 resulted primarily from the issuance of senior unsecured notes in January 2024 and May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Non-Service FAS Pension Income</w:t>
      </w:r>
    </w:p>
    <w:p>
      <w:pPr>
        <w:spacing w:after="0" w:line="23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Non-service FAS pension income was $15 million and $ 31 million and $ 111 million and $221 million during the quarters and six months ended June 30, 2024 and June 25, 2023. The decrease was primarily due to a lower prior service credit amortization and a reduced asset base as detailed in “Note 6 - Postretirement Benefit Plans” included in our Notes to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5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Other non-operating income (expense), net primarily includes gains or losses related to changes in the fair value of early-stage company investments or gains or losses upon sale of these investments. Other non-operating income, net was $46 million and $91 million during the quarter and six months ended June 30, 2024, compared to other non-operating expense of $17 million and other non-operating income of $32 million during the quarter and six months ended June 25, 2023. See “Note 10 - Other” included in our Notes to Consolidated Financial Statements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5"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Our effective income tax rates were 15.8% for both the quarter and six months ended June 30, 2024 and 16.2% and 15.8% for the quarter and six months ended June 25, 2023. The rates for all periods benefited from research and development tax credits, tax deductions for foreign derived intangible income and dividends paid to our defined contribution plans with an employee stock ownership plan feature.</w:t>
      </w:r>
    </w:p>
    <w:p>
      <w:pPr>
        <w:spacing w:after="0" w:line="130"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color w:val="auto"/>
        </w:rPr>
        <w:t>Changes in U.S. (federal or state) or foreign tax laws and regulations, or their interpretation and application (including those with retroactive effect), such as the amortization for research and development expenditures, could significantly impact our provision for income taxes, the amount of taxes payable, our deferred tax asset and liability balances, and stockholders’ equity. In addition to future changes in tax laws, the amount of net deferred tax assets will change periodically based on several factors, including the measurement of our postretirement benefit plan obligations, actual cash contributions to our postretirement benefit plans and the change in the amount or reevaluation of uncertain tax positions.</w:t>
      </w:r>
    </w:p>
    <w:p>
      <w:pPr>
        <w:spacing w:after="0" w:line="134" w:lineRule="exact"/>
        <w:rPr>
          <w:sz w:val="20"/>
          <w:szCs w:val="20"/>
          <w:color w:val="auto"/>
        </w:rPr>
      </w:pPr>
    </w:p>
    <w:p>
      <w:pPr>
        <w:ind w:right="380" w:firstLine="405"/>
        <w:spacing w:after="0" w:line="245" w:lineRule="auto"/>
        <w:rPr>
          <w:sz w:val="20"/>
          <w:szCs w:val="20"/>
          <w:color w:val="auto"/>
        </w:rPr>
      </w:pPr>
      <w:r>
        <w:rPr>
          <w:rFonts w:ascii="Arial" w:cs="Arial" w:eastAsia="Arial" w:hAnsi="Arial"/>
          <w:sz w:val="18"/>
          <w:szCs w:val="18"/>
          <w:color w:val="auto"/>
        </w:rPr>
        <w:t>Beginning in 2022, The Tax Cuts and Jobs Act of 2017 eliminated the option to deduct research and development expenditures immediately in the year incurred and requires taxpayers to amortize such expenditures over five years for tax purposes. This provision is</w:t>
      </w:r>
    </w:p>
    <w:p>
      <w:pPr>
        <w:ind w:right="240"/>
        <w:spacing w:after="0" w:line="226" w:lineRule="auto"/>
        <w:rPr>
          <w:sz w:val="20"/>
          <w:szCs w:val="20"/>
          <w:color w:val="auto"/>
        </w:rPr>
      </w:pPr>
      <w:r>
        <w:rPr>
          <w:rFonts w:ascii="Arial" w:cs="Arial" w:eastAsia="Arial" w:hAnsi="Arial"/>
          <w:sz w:val="18"/>
          <w:szCs w:val="18"/>
          <w:color w:val="auto"/>
        </w:rPr>
        <w:t>expected to increase our 2024 cash tax liability by approximately $350 million and our net deferred tax assets will increase by a similar amount. The actual impact on 2024 cash tax liability will depend on the amount of research and development expenses paid or incurred in</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2024 among other factors. The cash tax impact will continue over the five-year amortization period but will decrease over the period and be immaterial by 2027.</w:t>
      </w:r>
    </w:p>
    <w:p>
      <w:pPr>
        <w:spacing w:after="0" w:line="199"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auto"/>
        </w:rPr>
        <w:t>We are regularly under audit or examination by tax authorities, including foreign tax authorities (Australia, Canada, India, Italy, Japan, Poland, the United Kingdom, and other countries). The final determination of tax audits and any related litigation could similarly result in unanticipated increases in our tax expense and affect profitability and cash flows.</w:t>
      </w:r>
    </w:p>
    <w:p>
      <w:pPr>
        <w:spacing w:after="0" w:line="196" w:lineRule="exact"/>
        <w:rPr>
          <w:sz w:val="20"/>
          <w:szCs w:val="20"/>
          <w:color w:val="auto"/>
        </w:rPr>
      </w:pPr>
    </w:p>
    <w:p>
      <w:pPr>
        <w:ind w:right="60" w:firstLine="405"/>
        <w:spacing w:after="0" w:line="242" w:lineRule="auto"/>
        <w:rPr>
          <w:sz w:val="20"/>
          <w:szCs w:val="20"/>
          <w:color w:val="auto"/>
        </w:rPr>
      </w:pPr>
      <w:r>
        <w:rPr>
          <w:rFonts w:ascii="Arial" w:cs="Arial" w:eastAsia="Arial" w:hAnsi="Arial"/>
          <w:sz w:val="18"/>
          <w:szCs w:val="18"/>
          <w:color w:val="auto"/>
        </w:rPr>
        <w:t>The Organisation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We do not expect Pillar 2 to have a material impact on our effective tax rate or our consolidated results of operation, financial position, and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85" w:lineRule="exact"/>
        <w:rPr>
          <w:sz w:val="20"/>
          <w:szCs w:val="20"/>
          <w:color w:val="auto"/>
        </w:rPr>
      </w:pPr>
    </w:p>
    <w:p>
      <w:pPr>
        <w:jc w:val="both"/>
        <w:ind w:right="120" w:firstLine="445"/>
        <w:spacing w:after="0" w:line="268" w:lineRule="auto"/>
        <w:rPr>
          <w:sz w:val="20"/>
          <w:szCs w:val="20"/>
          <w:color w:val="auto"/>
        </w:rPr>
      </w:pPr>
      <w:r>
        <w:rPr>
          <w:rFonts w:ascii="Arial" w:cs="Arial" w:eastAsia="Arial" w:hAnsi="Arial"/>
          <w:sz w:val="18"/>
          <w:szCs w:val="18"/>
          <w:color w:val="auto"/>
        </w:rPr>
        <w:t>We reported net earnings of $1.6 billion ($6.85 per share) and $3.2 billion ($13.24 per share) during the quarter and six months ended June 30, 2024, compared to $1.7 billion ($6.63 per share) and $3.4 billion ($13.24 per share) during the quarter and six months ended June 25, 2023. Net earnings and earnings per share for the quarter and six months ended</w:t>
      </w:r>
    </w:p>
    <w:p>
      <w:pPr>
        <w:sectPr>
          <w:pgSz w:w="11900" w:h="16838" w:orient="portrait"/>
          <w:cols w:equalWidth="0" w:num="1">
            <w:col w:w="11220"/>
          </w:cols>
          <w:pgMar w:left="320" w:top="2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June 30, 2024 were affected by the factors mentioned above. Earnings per share also benefited from a net decrease of approximately 14.0 million weighted average common shares outstanding during both the quarter and six months ended June 30, 2024, compared to the same periods in 2023. The reduction in weighted average common shares was a result of share repurchases, partially offset by share issuance under our stock-based awards and certain defined contribution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OF OPERATIONS</w:t>
      </w:r>
    </w:p>
    <w:p>
      <w:pPr>
        <w:spacing w:after="0" w:line="18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We operate in four business segments: Aeronautics, MFC, RMS and Space. We organize our business segments based on the nature of products and services offered.</w:t>
      </w:r>
    </w:p>
    <w:p>
      <w:pPr>
        <w:spacing w:after="0" w:line="126"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Net sales and operating profit of our business segments exclude intersegment sales, cost of sales and profit as these activities are eliminated in consolidation and thus are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spacing w:after="0" w:line="136"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Business segment operating profit excludes the FAS/CAS pension operating adjustment described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See “Note 3 - Information on Business Segments – unallocated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operating profit for each of our business segments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5"/>
                <w:szCs w:val="15"/>
                <w:color w:val="auto"/>
              </w:rPr>
            </w:pPr>
          </w:p>
        </w:tc>
        <w:tc>
          <w:tcPr>
            <w:tcW w:w="114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June 25,</w:t>
            </w:r>
          </w:p>
        </w:tc>
        <w:tc>
          <w:tcPr>
            <w:tcW w:w="520" w:type="dxa"/>
            <w:vAlign w:val="bottom"/>
          </w:tcPr>
          <w:p>
            <w:pPr>
              <w:spacing w:after="0"/>
              <w:rPr>
                <w:sz w:val="15"/>
                <w:szCs w:val="15"/>
                <w:color w:val="auto"/>
              </w:rPr>
            </w:pPr>
          </w:p>
        </w:tc>
        <w:tc>
          <w:tcPr>
            <w:tcW w:w="116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5"/>
                <w:szCs w:val="15"/>
                <w:color w:val="auto"/>
              </w:rPr>
            </w:pPr>
          </w:p>
        </w:tc>
        <w:tc>
          <w:tcPr>
            <w:tcW w:w="130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25,</w:t>
            </w:r>
          </w:p>
        </w:tc>
      </w:tr>
      <w:tr>
        <w:trPr>
          <w:trHeight w:val="235"/>
        </w:trPr>
        <w:tc>
          <w:tcPr>
            <w:tcW w:w="4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7,277</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6,875</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14,122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13,144</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3,102</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2,755</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6,095</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5,143</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4,548</w:t>
            </w:r>
          </w:p>
        </w:tc>
        <w:tc>
          <w:tcPr>
            <w:tcW w:w="5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3,897</w:t>
            </w:r>
          </w:p>
        </w:tc>
        <w:tc>
          <w:tcPr>
            <w:tcW w:w="5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8,636</w:t>
            </w:r>
          </w:p>
        </w:tc>
        <w:tc>
          <w:tcPr>
            <w:tcW w:w="54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7,407</w:t>
            </w:r>
          </w:p>
        </w:tc>
      </w:tr>
      <w:tr>
        <w:trPr>
          <w:trHeight w:val="22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3,195</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3,166</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6,464</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6,125</w:t>
            </w:r>
          </w:p>
        </w:tc>
      </w:tr>
      <w:tr>
        <w:trPr>
          <w:trHeight w:val="223"/>
        </w:trPr>
        <w:tc>
          <w:tcPr>
            <w:tcW w:w="4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18,122</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16,693</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35,317</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31,819</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751</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718</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1,430</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1,393</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450</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371</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761</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748</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495</w:t>
            </w:r>
          </w:p>
        </w:tc>
        <w:tc>
          <w:tcPr>
            <w:tcW w:w="5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454</w:t>
            </w:r>
          </w:p>
        </w:tc>
        <w:tc>
          <w:tcPr>
            <w:tcW w:w="5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925</w:t>
            </w:r>
          </w:p>
        </w:tc>
        <w:tc>
          <w:tcPr>
            <w:tcW w:w="54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804</w:t>
            </w:r>
          </w:p>
        </w:tc>
      </w:tr>
      <w:tr>
        <w:trPr>
          <w:trHeight w:val="22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346</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312</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671</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592</w:t>
            </w:r>
          </w:p>
        </w:tc>
      </w:tr>
      <w:tr>
        <w:trPr>
          <w:trHeight w:val="223"/>
        </w:trPr>
        <w:tc>
          <w:tcPr>
            <w:tcW w:w="4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business segment operating profit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2,042</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1,855</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3,787</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3,537</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Unallocated items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FAS/CAS pension operating adjustment</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406</w:t>
            </w:r>
          </w:p>
        </w:tc>
        <w:tc>
          <w:tcPr>
            <w:tcW w:w="5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416</w:t>
            </w:r>
          </w:p>
        </w:tc>
        <w:tc>
          <w:tcPr>
            <w:tcW w:w="5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812</w:t>
            </w:r>
          </w:p>
        </w:tc>
        <w:tc>
          <w:tcPr>
            <w:tcW w:w="54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831</w:t>
            </w:r>
          </w:p>
        </w:tc>
      </w:tr>
      <w:tr>
        <w:trPr>
          <w:trHeight w:val="230"/>
        </w:trPr>
        <w:tc>
          <w:tcPr>
            <w:tcW w:w="46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Impairment and severance charges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(87)</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(87)</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(61)</w:t>
            </w:r>
          </w:p>
        </w:tc>
        <w:tc>
          <w:tcPr>
            <w:tcW w:w="5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(122)</w:t>
            </w:r>
          </w:p>
        </w:tc>
        <w:tc>
          <w:tcPr>
            <w:tcW w:w="54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(124)</w:t>
            </w:r>
          </w:p>
        </w:tc>
      </w:tr>
      <w:tr>
        <w:trPr>
          <w:trHeight w:val="230"/>
        </w:trPr>
        <w:tc>
          <w:tcPr>
            <w:tcW w:w="4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(152)</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(74)</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(213)</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w:t>
            </w:r>
          </w:p>
        </w:tc>
      </w:tr>
      <w:tr>
        <w:trPr>
          <w:trHeight w:val="223"/>
        </w:trPr>
        <w:tc>
          <w:tcPr>
            <w:tcW w:w="4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unallocated items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106</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280</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390</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635</w:t>
            </w:r>
          </w:p>
        </w:tc>
      </w:tr>
      <w:tr>
        <w:trPr>
          <w:trHeight w:val="230"/>
        </w:trPr>
        <w:tc>
          <w:tcPr>
            <w:tcW w:w="4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consolidated operating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2,148</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2,135</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4,177</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4,172</w:t>
            </w:r>
          </w:p>
        </w:tc>
      </w:tr>
    </w:tbl>
    <w:p>
      <w:pPr>
        <w:spacing w:after="0" w:line="8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See “Note 10 - Other” included in our Notes to Consolidated Financial Statements for additional information.</w:t>
      </w:r>
    </w:p>
    <w:p>
      <w:pPr>
        <w:spacing w:after="0" w:line="165"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Our business segments’ results of operations include pension expense only as calculated under U.S. Government Cost Accounting Standards (CAS), which we refer to as CAS pension cost. 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Financial Accounting Standards (FAS) requirements under U.S. GAAP. The operating portion of the total FAS/CAS pension adjustment represents the difference between the service cost component of FAS pension income (expense) and total CAS pension cost. The non-service FAS pension income components are included in non-service FAS pension income in our consolidated statements of earnings. As a result, to the extent that CAS pension cost exceeds the service cost component of FAS pension income (expense) we have a favorable FAS/CAS pension operating adjustment.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80" w:firstLine="405"/>
        <w:spacing w:after="0" w:line="287" w:lineRule="auto"/>
        <w:rPr>
          <w:sz w:val="20"/>
          <w:szCs w:val="20"/>
          <w:color w:val="auto"/>
        </w:rPr>
      </w:pPr>
      <w:r>
        <w:rPr>
          <w:rFonts w:ascii="Arial" w:cs="Arial" w:eastAsia="Arial" w:hAnsi="Arial"/>
          <w:sz w:val="18"/>
          <w:szCs w:val="18"/>
          <w:color w:val="auto"/>
        </w:rPr>
        <w:t>The total FAS/CAS pension adjustments, including the service and non-service cost components of FAS pension income for our qualified defined benefit pension plans,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rPr>
              <w:t>Quarters Ended</w:t>
            </w:r>
          </w:p>
        </w:tc>
        <w:tc>
          <w:tcPr>
            <w:tcW w:w="5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91"/>
              <w:spacing w:after="0" w:line="169"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4"/>
                <w:szCs w:val="14"/>
                <w:color w:val="auto"/>
              </w:rPr>
            </w:pPr>
          </w:p>
        </w:tc>
        <w:tc>
          <w:tcPr>
            <w:tcW w:w="1140" w:type="dxa"/>
            <w:vAlign w:val="bottom"/>
          </w:tcPr>
          <w:p>
            <w:pPr>
              <w:jc w:val="right"/>
              <w:ind w:right="171"/>
              <w:spacing w:after="0" w:line="169" w:lineRule="exact"/>
              <w:rPr>
                <w:sz w:val="20"/>
                <w:szCs w:val="20"/>
                <w:color w:val="auto"/>
              </w:rPr>
            </w:pPr>
            <w:r>
              <w:rPr>
                <w:rFonts w:ascii="Arial" w:cs="Arial" w:eastAsia="Arial" w:hAnsi="Arial"/>
                <w:sz w:val="18"/>
                <w:szCs w:val="18"/>
                <w:b w:val="1"/>
                <w:bCs w:val="1"/>
                <w:color w:val="auto"/>
              </w:rPr>
              <w:t>June 25,</w:t>
            </w:r>
          </w:p>
        </w:tc>
        <w:tc>
          <w:tcPr>
            <w:tcW w:w="540" w:type="dxa"/>
            <w:vAlign w:val="bottom"/>
          </w:tcPr>
          <w:p>
            <w:pPr>
              <w:spacing w:after="0"/>
              <w:rPr>
                <w:sz w:val="14"/>
                <w:szCs w:val="14"/>
                <w:color w:val="auto"/>
              </w:rPr>
            </w:pPr>
          </w:p>
        </w:tc>
        <w:tc>
          <w:tcPr>
            <w:tcW w:w="1140" w:type="dxa"/>
            <w:vAlign w:val="bottom"/>
          </w:tcPr>
          <w:p>
            <w:pPr>
              <w:jc w:val="right"/>
              <w:ind w:right="191"/>
              <w:spacing w:after="0" w:line="169" w:lineRule="exact"/>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4"/>
                <w:szCs w:val="14"/>
                <w:color w:val="auto"/>
              </w:rPr>
            </w:pPr>
          </w:p>
        </w:tc>
        <w:tc>
          <w:tcPr>
            <w:tcW w:w="1300" w:type="dxa"/>
            <w:vAlign w:val="bottom"/>
          </w:tcPr>
          <w:p>
            <w:pPr>
              <w:jc w:val="right"/>
              <w:ind w:right="351"/>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4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2023</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FAS income and CAS cost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560" w:type="dxa"/>
            <w:vAlign w:val="bottom"/>
          </w:tcPr>
          <w:p>
            <w:pPr>
              <w:ind w:left="220"/>
              <w:spacing w:after="0"/>
              <w:rPr>
                <w:sz w:val="20"/>
                <w:szCs w:val="20"/>
                <w:color w:val="auto"/>
              </w:rPr>
            </w:pPr>
            <w:r>
              <w:rPr>
                <w:rFonts w:ascii="Arial" w:cs="Arial" w:eastAsia="Arial" w:hAnsi="Arial"/>
                <w:sz w:val="17"/>
                <w:szCs w:val="17"/>
                <w:color w:val="auto"/>
              </w:rPr>
              <w:t>FAS pension income</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1"/>
              <w:spacing w:after="0"/>
              <w:rPr>
                <w:sz w:val="20"/>
                <w:szCs w:val="20"/>
                <w:color w:val="auto"/>
              </w:rPr>
            </w:pPr>
            <w:r>
              <w:rPr>
                <w:rFonts w:ascii="Arial" w:cs="Arial" w:eastAsia="Arial" w:hAnsi="Arial"/>
                <w:sz w:val="18"/>
                <w:szCs w:val="18"/>
                <w:color w:val="auto"/>
              </w:rPr>
              <w:t>95</w:t>
            </w:r>
          </w:p>
        </w:tc>
        <w:tc>
          <w:tcPr>
            <w:tcW w:w="5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31"/>
              <w:spacing w:after="0"/>
              <w:rPr>
                <w:sz w:val="20"/>
                <w:szCs w:val="20"/>
                <w:color w:val="auto"/>
              </w:rPr>
            </w:pPr>
            <w:r>
              <w:rPr>
                <w:rFonts w:ascii="Arial" w:cs="Arial" w:eastAsia="Arial" w:hAnsi="Arial"/>
                <w:sz w:val="18"/>
                <w:szCs w:val="18"/>
                <w:b w:val="1"/>
                <w:bCs w:val="1"/>
                <w:color w:val="auto"/>
              </w:rPr>
              <w:t>1</w:t>
            </w:r>
          </w:p>
        </w:tc>
        <w:tc>
          <w:tcPr>
            <w:tcW w:w="5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1"/>
              <w:spacing w:after="0"/>
              <w:rPr>
                <w:sz w:val="20"/>
                <w:szCs w:val="20"/>
                <w:color w:val="auto"/>
              </w:rPr>
            </w:pPr>
            <w:r>
              <w:rPr>
                <w:rFonts w:ascii="Arial" w:cs="Arial" w:eastAsia="Arial" w:hAnsi="Arial"/>
                <w:sz w:val="18"/>
                <w:szCs w:val="18"/>
                <w:color w:val="auto"/>
              </w:rPr>
              <w:t>189</w:t>
            </w:r>
          </w:p>
        </w:tc>
      </w:tr>
      <w:tr>
        <w:trPr>
          <w:trHeight w:val="229"/>
        </w:trPr>
        <w:tc>
          <w:tcPr>
            <w:tcW w:w="4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Less: CAS pension cost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421</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432</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842</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863</w:t>
            </w:r>
          </w:p>
        </w:tc>
      </w:tr>
      <w:tr>
        <w:trPr>
          <w:trHeight w:val="223"/>
        </w:trPr>
        <w:tc>
          <w:tcPr>
            <w:tcW w:w="456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Total FAS/CAS pension adjustment</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421</w:t>
            </w: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843</w:t>
            </w: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1,052</w:t>
            </w:r>
          </w:p>
        </w:tc>
      </w:tr>
      <w:tr>
        <w:trPr>
          <w:trHeight w:val="236"/>
        </w:trPr>
        <w:tc>
          <w:tcPr>
            <w:tcW w:w="4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7"/>
                <w:szCs w:val="17"/>
                <w:b w:val="1"/>
                <w:bCs w:val="1"/>
                <w:color w:val="auto"/>
              </w:rPr>
              <w:t>Service and non-service cost reconciliation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FAS pension service cost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(15)</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(30)</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(32)</w:t>
            </w:r>
          </w:p>
        </w:tc>
      </w:tr>
      <w:tr>
        <w:trPr>
          <w:trHeight w:val="230"/>
        </w:trPr>
        <w:tc>
          <w:tcPr>
            <w:tcW w:w="4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CAS pension cost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7"/>
                <w:szCs w:val="17"/>
                <w:b w:val="1"/>
                <w:bCs w:val="1"/>
                <w:color w:val="auto"/>
              </w:rPr>
              <w:t>421</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7"/>
                <w:szCs w:val="17"/>
                <w:color w:val="auto"/>
              </w:rPr>
              <w:t>432</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7"/>
                <w:szCs w:val="17"/>
                <w:b w:val="1"/>
                <w:bCs w:val="1"/>
                <w:color w:val="auto"/>
              </w:rPr>
              <w:t>842</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7"/>
                <w:szCs w:val="17"/>
                <w:color w:val="auto"/>
              </w:rPr>
              <w:t>863</w:t>
            </w:r>
          </w:p>
        </w:tc>
      </w:tr>
      <w:tr>
        <w:trPr>
          <w:trHeight w:val="223"/>
        </w:trPr>
        <w:tc>
          <w:tcPr>
            <w:tcW w:w="45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FAS/CAS pension operating adjustment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406</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416</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812</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831</w:t>
            </w:r>
          </w:p>
        </w:tc>
      </w:tr>
      <w:tr>
        <w:trPr>
          <w:trHeight w:val="230"/>
        </w:trPr>
        <w:tc>
          <w:tcPr>
            <w:tcW w:w="4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Non-service FAS pension income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15</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111</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31</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221</w:t>
            </w:r>
          </w:p>
        </w:tc>
      </w:tr>
      <w:tr>
        <w:trPr>
          <w:trHeight w:val="230"/>
        </w:trPr>
        <w:tc>
          <w:tcPr>
            <w:tcW w:w="4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Total FAS/CAS pension adjustment</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7"/>
                <w:szCs w:val="17"/>
                <w:b w:val="1"/>
                <w:bCs w:val="1"/>
                <w:color w:val="auto"/>
              </w:rPr>
              <w:t>421</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7"/>
                <w:szCs w:val="17"/>
                <w:color w:val="auto"/>
              </w:rPr>
              <w:t>527</w:t>
            </w:r>
          </w:p>
        </w:tc>
        <w:tc>
          <w:tcPr>
            <w:tcW w:w="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7"/>
                <w:szCs w:val="17"/>
                <w:b w:val="1"/>
                <w:bCs w:val="1"/>
                <w:color w:val="auto"/>
              </w:rPr>
              <w:t>843</w:t>
            </w:r>
          </w:p>
        </w:tc>
        <w:tc>
          <w:tcPr>
            <w:tcW w:w="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7"/>
                <w:szCs w:val="17"/>
                <w:color w:val="auto"/>
              </w:rPr>
              <w:t>1,052</w:t>
            </w:r>
          </w:p>
        </w:tc>
      </w:tr>
    </w:tbl>
    <w:p>
      <w:pPr>
        <w:spacing w:after="0" w:line="238" w:lineRule="exact"/>
        <w:rPr>
          <w:sz w:val="20"/>
          <w:szCs w:val="20"/>
          <w:color w:val="auto"/>
        </w:rPr>
      </w:pPr>
    </w:p>
    <w:p>
      <w:pPr>
        <w:ind w:right="240" w:firstLine="405"/>
        <w:spacing w:after="0" w:line="244" w:lineRule="auto"/>
        <w:rPr>
          <w:sz w:val="20"/>
          <w:szCs w:val="20"/>
          <w:color w:val="auto"/>
        </w:rPr>
      </w:pPr>
      <w:r>
        <w:rPr>
          <w:rFonts w:ascii="Arial" w:cs="Arial" w:eastAsia="Arial" w:hAnsi="Arial"/>
          <w:sz w:val="18"/>
          <w:szCs w:val="18"/>
          <w:color w:val="auto"/>
        </w:rPr>
        <w:t>Management evaluates performance on our contracts by focusing on net sales and operating profit and not by type or amount of operating expense. Consequently, our discussion of business segment performance focuses on net sales and operating profit, consistent with our approach for managing the business. This approach is consistent throughout the life cycle of our contracts, as management assesses the bidding of each contract by focusing on net sales and operating profit and monitors performance on our contracts in a similar manner through their completion.</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regularly provide customers with reports of our costs as the contract progresses. The cost information in the reports is accumulated</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 a manner specified by the requirements of each contract. For example, cost data provided to a customer for a product would typically align to the subcomponents of that product (such as a wing-box on an aircraft) and for services would align to the type of work being performed</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 -term supply contracts for certain materials or components to coincide with the production schedule of certain products and to ensure their availability at known unit prices.</w:t>
      </w:r>
    </w:p>
    <w:p>
      <w:pPr>
        <w:spacing w:after="0" w:line="207" w:lineRule="exact"/>
        <w:rPr>
          <w:sz w:val="20"/>
          <w:szCs w:val="20"/>
          <w:color w:val="auto"/>
        </w:rPr>
      </w:pPr>
    </w:p>
    <w:p>
      <w:pPr>
        <w:jc w:val="both"/>
        <w:ind w:right="120" w:firstLine="405"/>
        <w:spacing w:after="0" w:line="253" w:lineRule="auto"/>
        <w:rPr>
          <w:sz w:val="20"/>
          <w:szCs w:val="20"/>
          <w:color w:val="auto"/>
        </w:rPr>
      </w:pPr>
      <w:r>
        <w:rPr>
          <w:rFonts w:ascii="Arial" w:cs="Arial" w:eastAsia="Arial" w:hAnsi="Arial"/>
          <w:sz w:val="18"/>
          <w:szCs w:val="18"/>
          <w:color w:val="auto"/>
        </w:rPr>
        <w:t>We have a number of programs that are designated as classified by the U.S. Government which cannot be specifically described. The operating results of these classified programs are included in our consolidated and business segment results and are subjected to the same oversight and internal controls as our other programs.</w:t>
      </w:r>
    </w:p>
    <w:p>
      <w:pPr>
        <w:spacing w:after="0" w:line="196" w:lineRule="exact"/>
        <w:rPr>
          <w:sz w:val="20"/>
          <w:szCs w:val="20"/>
          <w:color w:val="auto"/>
        </w:rPr>
      </w:pPr>
    </w:p>
    <w:p>
      <w:pPr>
        <w:ind w:firstLine="405"/>
        <w:spacing w:after="0" w:line="245" w:lineRule="auto"/>
        <w:rPr>
          <w:sz w:val="20"/>
          <w:szCs w:val="20"/>
          <w:color w:val="auto"/>
        </w:rPr>
      </w:pPr>
      <w:r>
        <w:rPr>
          <w:rFonts w:ascii="Arial" w:cs="Arial" w:eastAsia="Arial" w:hAnsi="Arial"/>
          <w:sz w:val="18"/>
          <w:szCs w:val="18"/>
          <w:color w:val="auto"/>
        </w:rPr>
        <w:t>Our net sales are primarily derived from long-term contracts for products and services provided to the U.S. Government as well as FMS contracted through the U.S. Government. We recognize revenue as performance obligations are satisfied and the customer obtains control of</w:t>
      </w:r>
    </w:p>
    <w:p>
      <w:pPr>
        <w:ind w:right="80"/>
        <w:spacing w:after="0" w:line="226" w:lineRule="auto"/>
        <w:rPr>
          <w:sz w:val="20"/>
          <w:szCs w:val="20"/>
          <w:color w:val="auto"/>
        </w:rPr>
      </w:pPr>
      <w:r>
        <w:rPr>
          <w:rFonts w:ascii="Arial" w:cs="Arial" w:eastAsia="Arial" w:hAnsi="Arial"/>
          <w:sz w:val="18"/>
          <w:szCs w:val="18"/>
          <w:color w:val="auto"/>
        </w:rPr>
        <w:t>the products and services. For performance obligations to deliver products with continuous transfer of control to the customer, revenue is recognized based on the extent of progress towards completion of the performance obligation, generally using the percentage-of-completion</w:t>
      </w:r>
    </w:p>
    <w:p>
      <w:pPr>
        <w:spacing w:after="0" w:line="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spacing w:after="0" w:line="206" w:lineRule="exact"/>
        <w:rPr>
          <w:sz w:val="20"/>
          <w:szCs w:val="20"/>
          <w:color w:val="auto"/>
        </w:rPr>
      </w:pPr>
    </w:p>
    <w:p>
      <w:pPr>
        <w:ind w:firstLine="405"/>
        <w:spacing w:after="0" w:line="239" w:lineRule="auto"/>
        <w:rPr>
          <w:sz w:val="20"/>
          <w:szCs w:val="20"/>
          <w:color w:val="auto"/>
        </w:rPr>
      </w:pPr>
      <w:r>
        <w:rPr>
          <w:rFonts w:ascii="Arial" w:cs="Arial" w:eastAsia="Arial" w:hAnsi="Arial"/>
          <w:sz w:val="18"/>
          <w:szCs w:val="18"/>
          <w:color w:val="auto"/>
        </w:rPr>
        <w:t>Many of our contracts span several years and include highly complex technical requirements. At the outset of a contract accounted for under the percentage-of-completion cost-to-cost method, we identify and monitor risks to the achievement of the technical, schedule and cost aspects of the contract and assess the effects of those risks on our estimates of sales and total costs to complete the contract, as well as our ability to earn variable consideration. The estimates consider the technical requirements (e.g., a newly-developed product versus a mature product), the schedule and associated tasks (e.g., the number and type of milestone events) and costs (e.g., material, labor, subcontractor, overhead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and variable considerations. Profit booking rates may increase during</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performance of the contract if we successfully retire risks related to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The profit booking rate may also be adjusted if the total estimated value of the contract changes or there is a contract modification. All of the estimates are subject to change during the performance of the contract and may affect the profit booking rate. For further discussion on fixed-price contracts, see “Note 10 - Other” included in our Notes to Consolidated Financial Statements.</w:t>
      </w:r>
    </w:p>
    <w:p>
      <w:pPr>
        <w:spacing w:after="0" w:line="21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7"/>
          <w:szCs w:val="17"/>
          <w:color w:val="auto"/>
        </w:rPr>
        <w:t>Changes in net sales and operating profit generally are expressed in terms of volume, contract mix, and/or performance (referred to as profit booking rate adjustments). Changes in volume refer to increases or decreases in sales or operating profit resulting from varying production activity levels, deliveries or service levels on individual contracts. Volume changes in segment operating profit are typically based</w:t>
      </w:r>
    </w:p>
    <w:p>
      <w:pPr>
        <w:spacing w:after="0" w:line="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on the current profit booking rate for a particular contract. Contract mix refers to changes in the ratio of contract type or life cycle (e.g., cost-type, fixed-price, development, production and/or sustainment).</w:t>
      </w:r>
    </w:p>
    <w:p>
      <w:pPr>
        <w:spacing w:after="0" w:line="208" w:lineRule="exact"/>
        <w:rPr>
          <w:sz w:val="20"/>
          <w:szCs w:val="20"/>
          <w:color w:val="auto"/>
        </w:rPr>
      </w:pPr>
    </w:p>
    <w:p>
      <w:pPr>
        <w:ind w:right="20" w:firstLine="405"/>
        <w:spacing w:after="0" w:line="236" w:lineRule="auto"/>
        <w:rPr>
          <w:sz w:val="20"/>
          <w:szCs w:val="20"/>
          <w:color w:val="auto"/>
        </w:rPr>
      </w:pPr>
      <w:r>
        <w:rPr>
          <w:rFonts w:ascii="Arial" w:cs="Arial" w:eastAsia="Arial" w:hAnsi="Arial"/>
          <w:sz w:val="18"/>
          <w:szCs w:val="18"/>
          <w:color w:val="auto"/>
        </w:rPr>
        <w:t>Comparability of our segment sales, operating profit and operating margin may be impacted favorably or unfavorably by changes in profit booking rates on our contracts. Increases in the profit booking rates, typically referred to as favorable profit booking rate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booking rate adjustments. Increases or decreases in profit booking rates are recognized in the current period they are determined and reflect the inception-to-date effect of such changes. Segment operating profit and margin can be impacted favorably or unfavorably by, for example, certain items listed below, which may or may not impact sales. Favorable items include the positive resolution of contractual matters, cost recoveries on severance and restructuring, insurance recoveries and gains on sales of assets. Unfavorable items include the adverse resolution of contractual matters; supply chain disruptions; restructuring charges (except for significant severance actions, which are excluded from segment operating results); reserves for disputes; certain asset impairments; and losses on sales of certain assets. Our consolidated net</w:t>
      </w:r>
    </w:p>
    <w:p>
      <w:pPr>
        <w:spacing w:after="0" w:line="7"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profit booking rate adjustments increased segment operating profit by approximately $420 million and $615 million during the quarter and six months ended June 30, 2024 and $365 million and $780 million during the quarter and six months ended June 25, 2023. The impact to the</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six months ended June 30, 2024 segment operating profit includes a reach-forward loss of $100 million recognized in the first quarter of 2024 on a classified program at our MFC business segment. The impact to the quarter and six months ended June 25, 2023 included an unfavorable profit adjustment of $100 million on the Canadian Maritime Helicopter Program (CMHP) and a $65 million favorable profit adjustment as a result of a positive resolution of a contractual matter on an international surveillance and control program at our RMS business segment. See the discussions under “Contract Estimates” in Note 10 - Other included in our Notes to Consolidated Financial Statements (pages 23-24).</w:t>
      </w:r>
    </w:p>
    <w:p>
      <w:pPr>
        <w:spacing w:after="0" w:line="154"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We periodically experience performance issues and record losses for certain programs. For further discussion on programs, see “Note 10 - Other” included in our 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Aeronautics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Summary operating results for our Aeronautics business segment were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Quarters Ended</w:t>
            </w:r>
          </w:p>
        </w:tc>
        <w:tc>
          <w:tcPr>
            <w:tcW w:w="5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25,</w:t>
            </w:r>
          </w:p>
        </w:tc>
        <w:tc>
          <w:tcPr>
            <w:tcW w:w="58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3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7,277</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6,875</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14,122</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13,144</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751</w:t>
            </w:r>
          </w:p>
        </w:tc>
        <w:tc>
          <w:tcPr>
            <w:tcW w:w="58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718</w:t>
            </w:r>
          </w:p>
        </w:tc>
        <w:tc>
          <w:tcPr>
            <w:tcW w:w="58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1,430</w:t>
            </w:r>
          </w:p>
        </w:tc>
        <w:tc>
          <w:tcPr>
            <w:tcW w:w="6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1,393</w:t>
            </w:r>
          </w:p>
        </w:tc>
      </w:tr>
      <w:tr>
        <w:trPr>
          <w:trHeight w:val="23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10.3 %</w:t>
            </w:r>
          </w:p>
        </w:tc>
        <w:tc>
          <w:tcPr>
            <w:tcW w:w="5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10.4 %</w:t>
            </w:r>
          </w:p>
        </w:tc>
        <w:tc>
          <w:tcPr>
            <w:tcW w:w="5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10.1 %</w:t>
            </w:r>
          </w:p>
        </w:tc>
        <w:tc>
          <w:tcPr>
            <w:tcW w:w="6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10.6 %</w:t>
            </w:r>
          </w:p>
        </w:tc>
      </w:tr>
    </w:tbl>
    <w:p>
      <w:pPr>
        <w:spacing w:after="0" w:line="238" w:lineRule="exact"/>
        <w:rPr>
          <w:sz w:val="20"/>
          <w:szCs w:val="20"/>
          <w:color w:val="auto"/>
        </w:rPr>
      </w:pPr>
    </w:p>
    <w:p>
      <w:pPr>
        <w:ind w:right="280" w:firstLine="445"/>
        <w:spacing w:after="0" w:line="253" w:lineRule="auto"/>
        <w:rPr>
          <w:sz w:val="20"/>
          <w:szCs w:val="20"/>
          <w:color w:val="auto"/>
        </w:rPr>
      </w:pPr>
      <w:r>
        <w:rPr>
          <w:rFonts w:ascii="Arial" w:cs="Arial" w:eastAsia="Arial" w:hAnsi="Arial"/>
          <w:sz w:val="18"/>
          <w:szCs w:val="18"/>
          <w:color w:val="auto"/>
        </w:rPr>
        <w:t>Aeronautics’ net sales during the quarter ended June 30, 2024 increased $ 402 million, or 6%, compared to the same period in 2023. The increase was primarily attributable to higher net sales of $335 million on the F-35 program due to higher volume on sustainment, development and production contracts; and $105 million on the F-16 program due to the ramp up on production.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80" w:firstLine="445"/>
        <w:spacing w:after="0" w:line="245" w:lineRule="auto"/>
        <w:rPr>
          <w:sz w:val="20"/>
          <w:szCs w:val="20"/>
          <w:color w:val="auto"/>
        </w:rPr>
      </w:pPr>
      <w:r>
        <w:rPr>
          <w:rFonts w:ascii="Arial" w:cs="Arial" w:eastAsia="Arial" w:hAnsi="Arial"/>
          <w:sz w:val="18"/>
          <w:szCs w:val="18"/>
          <w:color w:val="auto"/>
        </w:rPr>
        <w:t>Aeronautics’ operating profit during the quarter ended June 30, 2024 increased $33 million, or 5%, compared to the same period in 2023. The increase in operating profit was attributable to $35 million from higher volume and program ramp up described above and $25</w:t>
      </w:r>
    </w:p>
    <w:p>
      <w:pPr>
        <w:ind w:right="180"/>
        <w:spacing w:after="0" w:line="226" w:lineRule="auto"/>
        <w:rPr>
          <w:sz w:val="20"/>
          <w:szCs w:val="20"/>
          <w:color w:val="auto"/>
        </w:rPr>
      </w:pPr>
      <w:r>
        <w:rPr>
          <w:rFonts w:ascii="Arial" w:cs="Arial" w:eastAsia="Arial" w:hAnsi="Arial"/>
          <w:sz w:val="18"/>
          <w:szCs w:val="18"/>
          <w:color w:val="auto"/>
        </w:rPr>
        <w:t>million from favorable contract mix across the portfolio, partially offset by $25 million of lower profit booking rate adjustments. The decrease in profit booking rate adjustments was due to a $45 million unfavorable profit adjustment on a classified program because of higher than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anticipated costs to maintain program objectives, partially offset by higher net favorable profit adjustments across the portfolio.</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Aeronautics’ net sales during the six months ended June 30, 2024 increased $978 million, or 7%, compared to the same period 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2023. The increase was primarily attributable to higher net sales of $640 million on the F-35 program due to higher volume on development, sustainment and production contracts; $165 million on the F-16 program due to the ramp up on production; and $150 million on classified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programs driven by higher volume.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Aeronautics’ operating profit during the six months ended June 30, 2024 increased $37 million, or 3%, compared to the same period in</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2023. The increase in operating profit was attributable to $90 million from higher volume and program ramp up described above, partially offset by $65 million of lower profit booking rate adjustments. The decrease in profit booking rate adjustments was due to higher than</w:t>
      </w:r>
    </w:p>
    <w:p>
      <w:pPr>
        <w:spacing w:after="0" w:line="1"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color w:val="auto"/>
        </w:rPr>
        <w:t>anticipated material costs on F-35 production contracts and $ 65 million of unfavorable profit adjustments on a classified program because of higher than anticipated costs to maintain program objectives; partially offset by lower unfavorable profit adjustments on F-16 contracts due to lower levels of labor cost growth.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Missiles and Fire Control</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our MFC business segment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c>
          <w:tcPr>
            <w:tcW w:w="5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25,</w:t>
            </w:r>
          </w:p>
        </w:tc>
        <w:tc>
          <w:tcPr>
            <w:tcW w:w="58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3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3,102</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2,755</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6,095</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5,143</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450</w:t>
            </w:r>
          </w:p>
        </w:tc>
        <w:tc>
          <w:tcPr>
            <w:tcW w:w="5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371</w:t>
            </w:r>
          </w:p>
        </w:tc>
        <w:tc>
          <w:tcPr>
            <w:tcW w:w="58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761</w:t>
            </w:r>
          </w:p>
        </w:tc>
        <w:tc>
          <w:tcPr>
            <w:tcW w:w="58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748</w:t>
            </w:r>
          </w:p>
        </w:tc>
      </w:tr>
      <w:tr>
        <w:trPr>
          <w:trHeight w:val="23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14.5 %</w:t>
            </w:r>
          </w:p>
        </w:tc>
        <w:tc>
          <w:tcPr>
            <w:tcW w:w="5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13.5 %</w:t>
            </w:r>
          </w:p>
        </w:tc>
        <w:tc>
          <w:tcPr>
            <w:tcW w:w="5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12.5 %</w:t>
            </w:r>
          </w:p>
        </w:tc>
        <w:tc>
          <w:tcPr>
            <w:tcW w:w="5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14.5 %</w:t>
            </w:r>
          </w:p>
        </w:tc>
      </w:tr>
    </w:tbl>
    <w:p>
      <w:pPr>
        <w:spacing w:after="0" w:line="238" w:lineRule="exact"/>
        <w:rPr>
          <w:sz w:val="20"/>
          <w:szCs w:val="20"/>
          <w:color w:val="auto"/>
        </w:rPr>
      </w:pPr>
    </w:p>
    <w:p>
      <w:pPr>
        <w:jc w:val="both"/>
        <w:ind w:right="280" w:firstLine="445"/>
        <w:spacing w:after="0" w:line="253" w:lineRule="auto"/>
        <w:rPr>
          <w:sz w:val="20"/>
          <w:szCs w:val="20"/>
          <w:color w:val="auto"/>
        </w:rPr>
      </w:pPr>
      <w:r>
        <w:rPr>
          <w:rFonts w:ascii="Arial" w:cs="Arial" w:eastAsia="Arial" w:hAnsi="Arial"/>
          <w:sz w:val="18"/>
          <w:szCs w:val="18"/>
          <w:color w:val="auto"/>
        </w:rPr>
        <w:t>MFC’s net sales during the quarter ended June 30, 2024 increased $347 million, or 13%, compared to the same period in 2023. The increase was primarily attributable to higher net sales of $320 million for tactical and strike missile programs due to production ramp up on Guided Multiple Launch Rocket Systems (GMLRS) and Long Range Anti-Ship Missile (LRASM) programs.</w:t>
      </w:r>
    </w:p>
    <w:p>
      <w:pPr>
        <w:spacing w:after="0" w:line="128" w:lineRule="exact"/>
        <w:rPr>
          <w:sz w:val="20"/>
          <w:szCs w:val="20"/>
          <w:color w:val="auto"/>
        </w:rPr>
      </w:pPr>
    </w:p>
    <w:p>
      <w:pPr>
        <w:ind w:right="20" w:firstLine="445"/>
        <w:spacing w:after="0" w:line="247" w:lineRule="auto"/>
        <w:rPr>
          <w:sz w:val="20"/>
          <w:szCs w:val="20"/>
          <w:color w:val="auto"/>
        </w:rPr>
      </w:pPr>
      <w:r>
        <w:rPr>
          <w:rFonts w:ascii="Arial" w:cs="Arial" w:eastAsia="Arial" w:hAnsi="Arial"/>
          <w:sz w:val="18"/>
          <w:szCs w:val="18"/>
          <w:color w:val="auto"/>
        </w:rPr>
        <w:t>MFC’s operating profit during the quarter ended June 30, 2024 increased $79 million, or 21%, compared to the same period in 2023, due to $80 million of higher profit booking rate adjustments which primarily reflects higher favorable profit booking rate adjustments on PAC-3 and Apache due to better than anticipated cost performance. Additionally, operating profit increased $30 million from production ramp up described above, offset by $30 million decrease from contract mix.</w:t>
      </w:r>
    </w:p>
    <w:p>
      <w:pPr>
        <w:spacing w:after="0" w:line="133"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MFC’s net sales during the six months ended June 30, 2024 increased $952 million, or 19%, compared to the same period in 2023. The increase was primarily attributable to higher net sales of $780 million for tactical and strike missile programs due to production ramp up on GMLRS, LRASM and Javelin programs.</w:t>
      </w:r>
    </w:p>
    <w:p>
      <w:pPr>
        <w:spacing w:after="0" w:line="128" w:lineRule="exact"/>
        <w:rPr>
          <w:sz w:val="20"/>
          <w:szCs w:val="20"/>
          <w:color w:val="auto"/>
        </w:rPr>
      </w:pPr>
    </w:p>
    <w:p>
      <w:pPr>
        <w:ind w:firstLine="445"/>
        <w:spacing w:after="0" w:line="244" w:lineRule="auto"/>
        <w:rPr>
          <w:sz w:val="20"/>
          <w:szCs w:val="20"/>
          <w:color w:val="auto"/>
        </w:rPr>
      </w:pPr>
      <w:r>
        <w:rPr>
          <w:rFonts w:ascii="Arial" w:cs="Arial" w:eastAsia="Arial" w:hAnsi="Arial"/>
          <w:sz w:val="18"/>
          <w:szCs w:val="18"/>
          <w:color w:val="auto"/>
        </w:rPr>
        <w:t>MFC’s operating profit during the six months ended June 30, 2024 increased $13 million, or 2%, compared to the same period in 2023. The increase in operating profit was attributable to $110 million from the production ramp up described above, partially offset by $ 40 million of lower profit booking rate adjustments and $55 million from contract mix. The decrease in profit booking rate adjustments was due to a $100 million reach-forward loss recognized in the first quarter of 2024 for an option on a classified program, partially offset by higher favorable profit booking rate adjustments on PAC-3 and Apache as described above.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20" w:type="dxa"/>
            <w:vAlign w:val="bottom"/>
          </w:tcPr>
          <w:p>
            <w:pPr>
              <w:spacing w:after="0"/>
              <w:rPr>
                <w:sz w:val="20"/>
                <w:szCs w:val="20"/>
                <w:color w:val="auto"/>
              </w:rPr>
            </w:pPr>
            <w:r>
              <w:rPr>
                <w:rFonts w:ascii="Arial" w:cs="Arial" w:eastAsia="Arial" w:hAnsi="Arial"/>
                <w:sz w:val="18"/>
                <w:szCs w:val="18"/>
                <w:b w:val="1"/>
                <w:bCs w:val="1"/>
                <w:color w:val="auto"/>
              </w:rPr>
              <w:t>Rotary and Mission Systems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70"/>
        </w:trPr>
        <w:tc>
          <w:tcPr>
            <w:tcW w:w="7520" w:type="dxa"/>
            <w:vAlign w:val="bottom"/>
            <w:gridSpan w:val="5"/>
          </w:tcPr>
          <w:p>
            <w:pPr>
              <w:jc w:val="right"/>
              <w:ind w:right="10"/>
              <w:spacing w:after="0"/>
              <w:rPr>
                <w:sz w:val="20"/>
                <w:szCs w:val="20"/>
                <w:color w:val="auto"/>
              </w:rPr>
            </w:pPr>
            <w:r>
              <w:rPr>
                <w:rFonts w:ascii="Arial" w:cs="Arial" w:eastAsia="Arial" w:hAnsi="Arial"/>
                <w:sz w:val="18"/>
                <w:szCs w:val="18"/>
                <w:color w:val="auto"/>
              </w:rPr>
              <w:t>Summary operating results for our RMS business segment were as follows (in millions):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2"/>
        </w:trPr>
        <w:tc>
          <w:tcPr>
            <w:tcW w:w="3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Quarters Ended</w:t>
            </w:r>
          </w:p>
        </w:tc>
        <w:tc>
          <w:tcPr>
            <w:tcW w:w="4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25,</w:t>
            </w:r>
          </w:p>
        </w:tc>
        <w:tc>
          <w:tcPr>
            <w:tcW w:w="42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3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4,548</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3,897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8,636</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7,407</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495</w:t>
            </w:r>
          </w:p>
        </w:tc>
        <w:tc>
          <w:tcPr>
            <w:tcW w:w="56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454</w:t>
            </w:r>
          </w:p>
        </w:tc>
        <w:tc>
          <w:tcPr>
            <w:tcW w:w="4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925</w:t>
            </w:r>
          </w:p>
        </w:tc>
        <w:tc>
          <w:tcPr>
            <w:tcW w:w="58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804</w:t>
            </w:r>
          </w:p>
        </w:tc>
      </w:tr>
      <w:tr>
        <w:trPr>
          <w:trHeight w:val="23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10.9 %</w:t>
            </w:r>
          </w:p>
        </w:tc>
        <w:tc>
          <w:tcPr>
            <w:tcW w:w="5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11.6 %</w:t>
            </w: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10.7 %</w:t>
            </w:r>
          </w:p>
        </w:tc>
        <w:tc>
          <w:tcPr>
            <w:tcW w:w="5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10.9 %</w:t>
            </w:r>
          </w:p>
        </w:tc>
      </w:tr>
    </w:tbl>
    <w:p>
      <w:pPr>
        <w:spacing w:after="0" w:line="238"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RMS’ net sales during the quarter ended June 30, 2024 increased $ 651 million, or 17%, compared to the same period in 2023. The increase was primarily attributable to higher net sales of $420 million on integrated warfare systems and sensors (IWSS) programs due to higher volume on radar programs and the Canadian Surface Combatant (CSC) program, and new program ramp up within the laser systems portfolio; and $160 million for Sikorsky helicopter programs due to higher production volume on Black Hawk and CH-53K programs.</w:t>
      </w:r>
    </w:p>
    <w:p>
      <w:pPr>
        <w:spacing w:after="0" w:line="133"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RMS’ operating profit during the quarter ended June 30, 2024 increased $41 million, or 9%, compared to the same period in 2023. The increase in operating profit was attributable to $70 million from higher volume described above, partially offset by $20 million of lower profit booking rate adjustments. The decrease in profit booking rate adjustments was due to unfavorable profit adjustments on Seahawk and Black Hawk production programs as a result of increased costs, partially offset by the net impact in the second quarter of 2023 of both a $ 65 million favorable profit adjustment on an international surveillance and control program and a $ 100 million unfavorable profit adjustment on the Canadian Maritime Helicopter Program (CMHP) that did not recur in the second quarter of 2024.</w:t>
      </w:r>
    </w:p>
    <w:p>
      <w:pPr>
        <w:spacing w:after="0" w:line="138" w:lineRule="exact"/>
        <w:rPr>
          <w:sz w:val="20"/>
          <w:szCs w:val="20"/>
          <w:color w:val="auto"/>
        </w:rPr>
      </w:pPr>
    </w:p>
    <w:p>
      <w:pPr>
        <w:ind w:right="300" w:firstLine="324"/>
        <w:spacing w:after="0" w:line="266" w:lineRule="auto"/>
        <w:rPr>
          <w:sz w:val="20"/>
          <w:szCs w:val="20"/>
          <w:color w:val="auto"/>
        </w:rPr>
      </w:pPr>
      <w:r>
        <w:rPr>
          <w:rFonts w:ascii="Arial" w:cs="Arial" w:eastAsia="Arial" w:hAnsi="Arial"/>
          <w:sz w:val="17"/>
          <w:szCs w:val="17"/>
          <w:color w:val="auto"/>
        </w:rPr>
        <w:t>RMS’ net sales during the six months ended June 30, 2024 increased $1.2 billion, or 17%, compared to the same period in 2023. The increase was primarily attributable to higher net sales of $ 715 million on IWSS programs due to higher volume on radar programs and the CSC program, and new program ramp up within the laser systems portfolio; $260 million for Sikorsky helicopter programs due to higher production volume on CH-53K, Black Hawk and Seahawk programs; and $235 million for various C6ISR programs due to higher volume.</w:t>
      </w:r>
    </w:p>
    <w:p>
      <w:pPr>
        <w:spacing w:after="0" w:line="119"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RMS’ operating profit during the six months ended June 30, 2024 increased $121 million, or 15%, compared to the same period in 2023. The increase in operating profit was attributable to $130 million from higher volume and program ramp up described above and $ 20 million from favorable contract mix, partially offset by $50 million of lower profit booking rate adjustments. The decrease in profit booking rate</w:t>
      </w:r>
    </w:p>
    <w:p>
      <w:pPr>
        <w:spacing w:after="0" w:line="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adjustments was due to unfavorable profit adjustments on Seahawk and Black Hawk production programs, partially offset by the net impact in 2023 of various profit adjustments that did not recur in 2024 as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our Space business segment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c>
          <w:tcPr>
            <w:tcW w:w="6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3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5"/>
                <w:szCs w:val="15"/>
                <w:color w:val="auto"/>
              </w:rPr>
            </w:pPr>
          </w:p>
        </w:tc>
        <w:tc>
          <w:tcPr>
            <w:tcW w:w="12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June 25,</w:t>
            </w:r>
          </w:p>
        </w:tc>
        <w:tc>
          <w:tcPr>
            <w:tcW w:w="600" w:type="dxa"/>
            <w:vAlign w:val="bottom"/>
          </w:tcPr>
          <w:p>
            <w:pPr>
              <w:spacing w:after="0"/>
              <w:rPr>
                <w:sz w:val="15"/>
                <w:szCs w:val="15"/>
                <w:color w:val="auto"/>
              </w:rPr>
            </w:pPr>
          </w:p>
        </w:tc>
        <w:tc>
          <w:tcPr>
            <w:tcW w:w="12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5"/>
                <w:szCs w:val="15"/>
                <w:color w:val="auto"/>
              </w:rPr>
            </w:pPr>
          </w:p>
        </w:tc>
        <w:tc>
          <w:tcPr>
            <w:tcW w:w="1440" w:type="dxa"/>
            <w:vAlign w:val="bottom"/>
          </w:tcPr>
          <w:p>
            <w:pPr>
              <w:jc w:val="right"/>
              <w:ind w:right="430"/>
              <w:spacing w:after="0" w:line="177" w:lineRule="exact"/>
              <w:rPr>
                <w:sz w:val="20"/>
                <w:szCs w:val="20"/>
                <w:color w:val="auto"/>
              </w:rPr>
            </w:pPr>
            <w:r>
              <w:rPr>
                <w:rFonts w:ascii="Arial" w:cs="Arial" w:eastAsia="Arial" w:hAnsi="Arial"/>
                <w:sz w:val="18"/>
                <w:szCs w:val="18"/>
                <w:b w:val="1"/>
                <w:bCs w:val="1"/>
                <w:color w:val="auto"/>
              </w:rPr>
              <w:t>June 25,</w:t>
            </w:r>
          </w:p>
        </w:tc>
      </w:tr>
      <w:tr>
        <w:trPr>
          <w:trHeight w:val="235"/>
        </w:trPr>
        <w:tc>
          <w:tcPr>
            <w:tcW w:w="3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3,195</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3,166</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6,464</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6,125</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346</w:t>
            </w:r>
          </w:p>
        </w:tc>
        <w:tc>
          <w:tcPr>
            <w:tcW w:w="58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671</w:t>
            </w:r>
          </w:p>
        </w:tc>
        <w:tc>
          <w:tcPr>
            <w:tcW w:w="600" w:type="dxa"/>
            <w:vAlign w:val="bottom"/>
          </w:tcPr>
          <w:p>
            <w:pPr>
              <w:spacing w:after="0"/>
              <w:rPr>
                <w:sz w:val="19"/>
                <w:szCs w:val="19"/>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592</w:t>
            </w:r>
          </w:p>
        </w:tc>
      </w:tr>
      <w:tr>
        <w:trPr>
          <w:trHeight w:val="236"/>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10.8 %</w:t>
            </w:r>
          </w:p>
        </w:tc>
        <w:tc>
          <w:tcPr>
            <w:tcW w:w="5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9.9 %</w:t>
            </w:r>
          </w:p>
        </w:tc>
        <w:tc>
          <w:tcPr>
            <w:tcW w:w="6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10.4 %</w:t>
            </w:r>
          </w:p>
        </w:tc>
        <w:tc>
          <w:tcPr>
            <w:tcW w:w="6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9.7 %</w:t>
            </w:r>
          </w:p>
        </w:tc>
      </w:tr>
    </w:tbl>
    <w:p>
      <w:pPr>
        <w:spacing w:after="0" w:line="25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Space’s net sales during the quarter ended June 30, 2024 increased $29 million, or 1%, compared to the same period in 2023. The increase was primarily attributable to higher net sales of $110 million for strategic and missile defense programs due to higher volume on the hypersonics and Fleet Ballistic Missile (FBM) programs; partially offset by lower net sales of $50 million for national security space due to lower volume on classified programs and $45 million for commercial civil space due to lower volume on the Orion program.</w:t>
      </w:r>
    </w:p>
    <w:p>
      <w:pPr>
        <w:spacing w:after="0" w:line="14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Space’s operating profit during the quarter ended June 30, 2024 increased $34 million, or 11%, compared to the same period in 2023. The increase in operating profit was attributable to $20 million from favorable contract mix across the portfolio and $20 million of higher profit booking rate adjustments. The increase in profit booking rate adjustments was due to higher favorable profit adjustments on the FBM program.</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Space’s net sales during the six months ended June 30, 2024 increased $339 million, or 6%, compared to the same period in 2023. The increase was primarily attributable to higher net sales of $245 million for strategic and missile defense programs due to higher volume on the hypersonics and FBM programs; and higher net sales of $65 million for national security space programs due to higher volume on GPS III and Transport Layer programs and ramp up on the Tracking Layer, partially offset by lower volume on classified programs. Net sales for commercial civil space were comparable as lower volume and the impact of lower favorable profit adjustments on the Orion program was offset by higher volume on other space exploration programs.</w:t>
      </w:r>
    </w:p>
    <w:p>
      <w:pPr>
        <w:spacing w:after="0" w:line="14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Space’s operating profit during the six months ended June 30, 2024 increased $79 million, or 13%, compared to the same period in 2023. The increase was primarily attributable to $45 million from favorable contract mix across the portfolio, $25 million from higher volume described above and $25 million of higher equity earnings driven by higher launch volume from our investment in United Launch Alliance (ULA), partially offset by $10 million of lower profit booking rate adjustments. The decrease in profit booking rate adjustments reflects lower net favorable profit adjustments on the Orion program.</w:t>
      </w:r>
    </w:p>
    <w:p>
      <w:pPr>
        <w:spacing w:after="0" w:line="13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Total equity earnings/(losses) (primarily ULA) represented approximately $10 million, or 3%, and $ 25 million, or 4%, of Space's operating profit during the quarter and six months ended June 30, 2024, compared to approximately $20 million, or 6%, and $5 million, or 1% for the same periods in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At June 30, 2024, we had cash and cash equivalents of $2.5 billion that was generally available to fund ordinary business operations without significant legal, regulatory or other restrictions. Our principal source of liquidity is our cash from operations. However, we also have access to credit markets, if needed, for liquidity or general corporate purposes. This access includes our $3.0 billion revolving credit facility or the ability to issue commercial paper. There were no borrowings outstanding under the revolving credit facility and commercial paper at both June 30, 2024 and December 31, 2023. As of June 30, 2024, we were in compliance with all covenants contained in our debt and credit agreements.</w:t>
      </w:r>
    </w:p>
    <w:p>
      <w:pPr>
        <w:spacing w:after="0" w:line="155"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We believe our cash and cash equivalents, our expected cash flow generated from operations and our access to credit markets will be sufficient to meet our cash requirements and cash deployment plans over the next twelve months and beyond based on our current business plans.</w:t>
      </w:r>
    </w:p>
    <w:p>
      <w:pPr>
        <w:spacing w:after="0" w:line="130"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Cash received from customers is our primary source of cash from operations. However, from time to time, we fund customer programs ourselves pending government appropriations. If we incur costs in excess of funds obligated on the contract or in advance of a contract award, this negatively affects our cash flows and we may be at risk for reimbursement of the excess costs.</w:t>
      </w:r>
    </w:p>
    <w:p>
      <w:pPr>
        <w:spacing w:after="0" w:line="13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Billing timetables and payment terms on our contracts vary based on a number of factors, including the contract type. We generally bill and collect cash more frequently under cost-reimbursable contracts, which represented approximately 41% of the sales we recorded during the quarter ended June 30, 2024, as we are authorized to bill as the costs are incurred. A number of our fixed-price contracts may provide for performance-based payments, which allow us to bill and collect cash as we perform on the contract. The amount of performance-based payments and the related milestones are encompassed in the negotiation of each contract. The timing of such payments may differ from the timing of the costs incurred related to our contract performance, thereby affecting our cash flows.</w:t>
      </w:r>
    </w:p>
    <w:p>
      <w:pPr>
        <w:spacing w:after="0" w:line="155"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and are invoiced regularly as costs are incurred. Our cash flows may be affected if the U.S. Government changes its payment policies. The U.S. Government from time to time withholds payments on certain of our billings based on contract terms or regulatory provisions. Ultimately, the impact of policy changes or withholding payments may delay the receipt of cash, but the total amount of cash collected during the life of the contract should not vary.</w:t>
      </w:r>
    </w:p>
    <w:p>
      <w:pPr>
        <w:spacing w:after="0" w:line="142"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color w:val="auto"/>
        </w:rPr>
        <w:t>We have a disciplined and dynamic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w:t>
      </w:r>
    </w:p>
    <w:p>
      <w:pPr>
        <w:sectPr>
          <w:pgSz w:w="11900" w:h="16838" w:orient="portrait"/>
          <w:cols w:equalWidth="0" w:num="1">
            <w:col w:w="11220"/>
          </w:cols>
          <w:pgMar w:left="320" w:top="2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color w:val="auto"/>
        </w:rPr>
        <w:t>and technologies through capital expenditures, independent research and development, and selective business acquisitions and investments.</w:t>
      </w:r>
    </w:p>
    <w:p>
      <w:pPr>
        <w:spacing w:after="0" w:line="126"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We continue to return cash to stockholders through dividends and share repurchases. As of June 30, 2024, the total remaining authorization for future common share repurchases under our program was $ 8.2 billion. The stock repurchase program does not have an expiration date and may be amended or terminated by the Board of Directors at any time. The amount of shares ultimately purchased and the timing of purchases are at the discretion of management and subject to compliance with applicable law and regulation.</w:t>
      </w:r>
    </w:p>
    <w:p>
      <w:pPr>
        <w:spacing w:after="0" w:line="136"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We continue to actively manage our debt levels, including maturities and interest rates. We actively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for our cash and operational needs.</w:t>
      </w:r>
    </w:p>
    <w:p>
      <w:pPr>
        <w:spacing w:after="0" w:line="136"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also actively manage our pension obligations and expect to continue to opportunistically manage our pension liabilities through the purchase of group annuity contracts or other actions for portions of our outstanding defined benefit pension obligations using assets from the pension trust. Future pension risk transfer transactions could be significant and result in us making additional contributions to the pension trust. The required funding of our qualified defined benefit pension plans is determined in accordance with the Employee Retirement Income Security Act of 1974 (ERISA), as amended, and Cost Accounting Standards (CAS). We could be required to make pension contributions earlier and/or in excess than planned if our return on pension assets is less than our assumptions, which would reduce our free cash flow. We may also make additional contributions at our discretion.</w:t>
      </w:r>
    </w:p>
    <w:p>
      <w:pPr>
        <w:spacing w:after="0" w:line="156"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There were no material changes during the quarter or six months ended June 30, 2024 to our contractual commitments as presented in “Management’s Discussion and Analysis of Financial Condition and Results of Operations” of our 2023 Form 10-K that were outside the ordinary course of our business, except for, the $2.0 billion of senior unsecured notes issued on January 29, 2024. See “Note 10 - Other” included in our Notes to Consolidated Financial Statements for additional information.</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cash flow information followed by a discussion of the key elements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7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4"/>
                <w:szCs w:val="14"/>
                <w:color w:val="auto"/>
              </w:rPr>
            </w:pPr>
          </w:p>
        </w:tc>
        <w:tc>
          <w:tcPr>
            <w:tcW w:w="132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7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1,442</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2,547</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3,186</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3,370</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806</w:t>
            </w:r>
          </w:p>
        </w:tc>
        <w:tc>
          <w:tcPr>
            <w:tcW w:w="52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571</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working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(444)</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(929)</w:t>
            </w:r>
          </w:p>
        </w:tc>
      </w:tr>
      <w:tr>
        <w:trPr>
          <w:trHeight w:val="230"/>
        </w:trPr>
        <w:tc>
          <w:tcPr>
            <w:tcW w:w="7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(37)</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(348)</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3,511</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2,664</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(744)</w:t>
            </w:r>
          </w:p>
        </w:tc>
        <w:tc>
          <w:tcPr>
            <w:tcW w:w="52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(593)</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(1,686)</w:t>
            </w: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(945)</w:t>
            </w:r>
          </w:p>
        </w:tc>
      </w:tr>
      <w:tr>
        <w:trPr>
          <w:trHeight w:val="223"/>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1,081</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1,126</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2,523</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3,673</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3"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Net cash provided by operating activities during the six months ended June 30, 2024 increased $847 million compared to the same period in 2023. The increase was primarily due to improvements in working capital (defined as receivables, contract assets, and inventories less accounts payable and contract liabilities) and the timing of federal tax payments. Improvements in working capital were driven by liquidation of inventories (primarily at our RMS business segment), timing of production and billing cycles impacting receivables (primarily F-35 at Aeronautics and Integrated Air and Missile Defense at MFC, partially offset by IWSS at RMS) and contract liabilities (primarily at Aeronautics, MFC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Space business segments). These improvements were partially offset by the timing of cash payments related to accounts payable (primarily Aeronautics).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 - Free Cash Flow</w:t>
      </w:r>
    </w:p>
    <w:p>
      <w:pPr>
        <w:spacing w:after="0" w:line="18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as well as a performance goal in our annual and long-term incentive plans. We believe free cash flow is a useful measure for investors because it represents the amount of cash generated from operations after reinvesting in the business and that may be available to return to stockholders and creditors (through dividends, stock repurchases and debt repayments) or available to fund acquisitions and other investments. The entire amount of free cash flow is not necessarily available for discretionary expenditures, however, because it does not account for certain mandatory expenditures, such as the repayment of maturing debt and future pension contributions. While management believes that free cash flow as a non-GAAP financial measure may be useful in evaluating our financial performance, it should be considered supplemental to, and not a substitute for, financial information prepared in accordance with GAAP and may not be comparable to similarly titled measures used by other companies.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cash provided by operating activities to free cash flow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7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4"/>
                <w:szCs w:val="14"/>
                <w:color w:val="auto"/>
              </w:rPr>
            </w:pPr>
          </w:p>
        </w:tc>
        <w:tc>
          <w:tcPr>
            <w:tcW w:w="132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25,</w:t>
            </w:r>
          </w:p>
        </w:tc>
      </w:tr>
      <w:tr>
        <w:trPr>
          <w:trHeight w:val="243"/>
        </w:trPr>
        <w:tc>
          <w:tcPr>
            <w:tcW w:w="7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2023</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3,511</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2,664</w:t>
            </w:r>
          </w:p>
        </w:tc>
      </w:tr>
      <w:tr>
        <w:trPr>
          <w:trHeight w:val="229"/>
        </w:trPr>
        <w:tc>
          <w:tcPr>
            <w:tcW w:w="7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(748)</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(623)</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2,763</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rPr>
              <w:t>2,041</w:t>
            </w:r>
          </w:p>
        </w:tc>
      </w:tr>
    </w:tbl>
    <w:p>
      <w:pPr>
        <w:spacing w:after="0" w:line="251" w:lineRule="exact"/>
        <w:rPr>
          <w:sz w:val="20"/>
          <w:szCs w:val="20"/>
          <w:color w:val="auto"/>
        </w:rPr>
      </w:pPr>
    </w:p>
    <w:p>
      <w:pPr>
        <w:jc w:val="both"/>
        <w:ind w:right="40" w:firstLine="445"/>
        <w:spacing w:after="0" w:line="287" w:lineRule="auto"/>
        <w:rPr>
          <w:sz w:val="20"/>
          <w:szCs w:val="20"/>
          <w:color w:val="auto"/>
        </w:rPr>
      </w:pPr>
      <w:r>
        <w:rPr>
          <w:rFonts w:ascii="Arial" w:cs="Arial" w:eastAsia="Arial" w:hAnsi="Arial"/>
          <w:sz w:val="18"/>
          <w:szCs w:val="18"/>
          <w:color w:val="auto"/>
        </w:rPr>
        <w:t>Free cash flow increased $722 million compared to the same period in 2023 primarily due to the increase in cash provided by operating activities described above, partially offset by higher capital expenditures.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Net cash used for investing activities during the six months ended June 30, 2024 increased $151 million compared to the same period in 2023. Capital expenditures totaled $748 million and $623 million during the six months ended June 30, 2024 and June 25, 2023. The majority of our capital expenditures are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3"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Net cash used for financing activities during the six months ended June 30, 2024 increased $741 million compared to the same period in 2023.</w:t>
      </w:r>
    </w:p>
    <w:p>
      <w:pPr>
        <w:spacing w:after="0" w:line="126"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During the six months ended June 30, 2024 and June 25, 2023, we paid dividends totaling $1.5 billion ($6.30 per share) and $1.5 billion ($6.00 per share).</w:t>
      </w:r>
    </w:p>
    <w:p>
      <w:pPr>
        <w:spacing w:after="0" w:line="112"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During the six months ended June 30, 2024, we paid $1.9 billion to repurchase 4.2 million shares of our common stock. See “Note 9 - Stockholders’ Equity” included in our Notes to Consolidated Financial Statements for additional information. During the six months ended June 25, 2023, we paid $1.3 billion to repurchase 4.2 million shares of our common stock.</w:t>
      </w:r>
    </w:p>
    <w:p>
      <w:pPr>
        <w:spacing w:after="0" w:line="130"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During the six months ended June 30, 2024 and June 25, 2023, we received net proceeds of $ 2.0 billion from issuance of senior unsecured notes. See “Note 10 - Other” included in our Notes to Consolidated Financial Statements for additional information.</w:t>
      </w:r>
    </w:p>
    <w:p>
      <w:pPr>
        <w:spacing w:after="0" w:line="126"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During the six months ended June 30, 2024, we repaid $168 million of long-term notes with a fixed interest rate of 8.375% according to their scheduled maturities.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F-35 Program</w:t>
      </w:r>
    </w:p>
    <w:p>
      <w:pPr>
        <w:spacing w:after="0" w:line="185"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The F-35 program primarily consists of production contracts, sustainment activities, and new development efforts. Production of the aircraft is expected to continue for many years given the U.S. Government’s objective of 2,456 aircraft for the U.S. Air Force, U.S. Marine Corps, and U.S. Navy; commitments from our seven international partner countries and ten Foreign Military Sales (FMS) customers; as well as interest from other countries.</w:t>
      </w:r>
    </w:p>
    <w:p>
      <w:pPr>
        <w:spacing w:after="0" w:line="149"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We continue to see strong international demand for the F-35. In December 2023, the Republic of Korea announced it signed a follow-on Letter of offer and acceptance (LOA) for 20 additional F-35s, increasing its program of record from 40 to 60. In January 2024, the Czech Republic signed a LOA to procure 24 F-35s and the U.S. Department of State approved a potential Foreign Military Sale to Greece for up to 40 F-35s. In February 2024, Singapore announced its intent to purchase eight F-35As to complement the 12 F-35Bs to which it has previously committed.</w:t>
      </w:r>
    </w:p>
    <w:p>
      <w:pPr>
        <w:spacing w:after="0" w:line="139"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Since program inception through June 30, 2024, we have delivered 992 production F-35 aircraft, including 710 F-35A variants, 197 F-35B variants and 85 F-35C variants, demonstrating the F-35 program’s continued progress and longevity. Our backlog as of June 30, 2024 was 373 aircraft; however, we had no customer deliveries of aircraft in the first half of 2024. We began deliveries of the first Technology Refresh 3 (“TR-3”) configured F-35 aircraft in July 2024. Our expectation remains that we will continue with a production rate of 156 aircraft per year and deliver between 75 and 110 aircraft in the second half of this year, primarily in the TR-3 configuration. We are working with the JPO on the terms and conditions related to the timing of the final payments for TR-3 configured aircraft and a phased approach to delivery. We continue to focus on advancing TR-3 and Block 4 capabilities to support our customers’ mission requirements.</w:t>
      </w:r>
    </w:p>
    <w:p>
      <w:pPr>
        <w:spacing w:after="0" w:line="142" w:lineRule="exact"/>
        <w:rPr>
          <w:sz w:val="20"/>
          <w:szCs w:val="20"/>
          <w:color w:val="auto"/>
        </w:rPr>
      </w:pPr>
    </w:p>
    <w:p>
      <w:pPr>
        <w:ind w:right="220" w:firstLine="445"/>
        <w:spacing w:after="0" w:line="262" w:lineRule="auto"/>
        <w:rPr>
          <w:sz w:val="20"/>
          <w:szCs w:val="20"/>
          <w:color w:val="auto"/>
        </w:rPr>
      </w:pPr>
      <w:r>
        <w:rPr>
          <w:rFonts w:ascii="Arial" w:cs="Arial" w:eastAsia="Arial" w:hAnsi="Arial"/>
          <w:sz w:val="18"/>
          <w:szCs w:val="18"/>
          <w:color w:val="auto"/>
        </w:rPr>
        <w:t>We remain in negotiations with the U.S. Government on the Lot 18-19 production contracts. Without additional contractual direction from the U.S. Government, we will exceed the current contractual authorization and funding on the Lot 18-19 advance acquisition contract during the third quarter of 2024. If this materializes, it could negatively impact our results of operations, cash flows, and financial condition. We continue to engage with the U.S. Government to reach a mutually agreeable solution.</w:t>
      </w:r>
    </w:p>
    <w:p>
      <w:pPr>
        <w:spacing w:after="0" w:line="149"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Given the size and complexity of the F-35 program, we anticipate continual reviews on aircraft performance, program and delivery schedule, cost and requirements as part of the DoD, Congressional and international countries’ oversight and budgeting processes. Areas of focus include Lockheed Martin’s and our suppliers’ performance, software development (including, in particular, software maturation related to TR-3 capability), and flight test execution and related findings. Additional areas of focus include the level of cost associated with life cycle operations, sustainment and potential contractual obligations, inflation-related cost pressures, and the ability to increase affordability.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5"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See “Note 7 - Legal Proceedings and Contingencies” included in our Notes to Consolidated Financial Statements for information regarding our contingent obligations, including off-balance sheet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2023 Form 10-K, except for, as set forth below, trademark impairment as a result of the impacts of the U.S. Army announcement to cancel the Future Attack Reconnaissance Aircraft (FARA) program at the conclusion of fiscal year 2024.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8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carrying value of our goodwill balance was $10.8 billion at June 30, 2024 and December 31, 2023, including $2.7 billion of goodwill at our Sikorsky reporting unit. The carrying value of our Sikorsky reporting unit also included an indefinite-lived trademark intangible asset of $837 million and $887 million as of June 30, 2024 and December 31, 2023.</w:t>
      </w:r>
    </w:p>
    <w:p>
      <w:pPr>
        <w:spacing w:after="0" w:line="14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fair values of our goodwill and indefinite-lived trademark intangible asset at our Sikorsky reporting unit can be significantly impacted by its performance, the amount and timing of expected future cash flows, contract terminations, changes in expected future orders, general market pressures, including U.S. Government budgetary constraints, discount rates, long term growth rates, and changes in U.S. (federal or state) or foreign tax laws and regulations, or their interpretation and application, including those with retroactive effect, along with other significant judgments. During the</w:t>
      </w:r>
    </w:p>
    <w:p>
      <w:pPr>
        <w:sectPr>
          <w:pgSz w:w="11900" w:h="16838" w:orient="portrait"/>
          <w:cols w:equalWidth="0" w:num="1">
            <w:col w:w="11200"/>
          </w:cols>
          <w:pgMar w:left="320" w:top="29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second quarter of 2024, we recorded a charge of $50 million ($40 million, or $0.16 per share, after-tax) for trademark impairment resulting from the strategic review of our Sikorsky business during the second quarter of 2024 due, in part, to the impacts of the U.S. Army announcement to cancel the Future Attack Reconnaissance Aircraft (FARA) program at the conclusion of fiscal year 2024, for which our Sikorsky business was competing. Additionally, we reevaluated the carrying value of our goodwill balance and concluded that no impairment existed.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6"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As disclosed in “Item 7A, Quantitative and Qualitative Disclosures About Market Risk” of our 2023 Form 10-K, we transact business globally and are subject to risks associated with changing foreign currency exchange rates. We enter into foreign currency hedges such as forward and option contracts that change in value as foreign currency exchange rates change. Our exposures to market risk have not changed materially since December 31, 2023. See “Note 8 - Fair Value Measurements” included in our Notes to Consolidated Financial Statements for additional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We performed an evaluation of the effectiveness of our disclosure controls and procedures as of June 30, 2024.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operating and effective as of June 30, 2024.</w:t>
      </w:r>
    </w:p>
    <w:p>
      <w:pPr>
        <w:spacing w:after="0" w:line="136"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2024 that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This Form 10 -Q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pacing w:after="0" w:line="179" w:lineRule="exact"/>
        <w:rPr>
          <w:sz w:val="20"/>
          <w:szCs w:val="20"/>
          <w:color w:val="auto"/>
        </w:rPr>
      </w:pPr>
    </w:p>
    <w:p>
      <w:pPr>
        <w:ind w:left="460" w:right="500" w:hanging="331"/>
        <w:spacing w:after="0" w:line="245"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contracts with the U.S. Government, which are dependent on U.S. Government funding and can be terminated for convenience, and our ability to negotiate favorable contract terms;</w:t>
      </w:r>
    </w:p>
    <w:p>
      <w:pPr>
        <w:ind w:left="460" w:right="16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budget uncertainty, the risk of future budget cuts, the impact of continuing resolution funding mechanisms and the debt ceiling and the potential for government shutdowns and changing funding and acquisition priorities;</w:t>
      </w:r>
    </w:p>
    <w:p>
      <w:pPr>
        <w:ind w:left="460" w:right="114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development, production, sustainment, performance, schedule, cost and requirements of complex and technologically advanced programs, including the F-35 program;</w:t>
      </w:r>
    </w:p>
    <w:p>
      <w:pPr>
        <w:ind w:left="460" w:right="46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planned production rates and orders for significant programs, compliance with stringent performance and reliability standards, and materials availability, including government furnished equipment;</w:t>
      </w:r>
    </w:p>
    <w:p>
      <w:pPr>
        <w:ind w:left="460" w:right="34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contract awards or delays in contract definitization as well as the timing and customer acceptance of product deliveries and performance milestones;</w:t>
      </w: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recover costs under U.S. Government contracts and the mix of fixed-price and cost-reimbursable contracts;</w:t>
      </w:r>
    </w:p>
    <w:p>
      <w:pPr>
        <w:spacing w:after="0" w:line="9" w:lineRule="exact"/>
        <w:rPr>
          <w:rFonts w:ascii="Arial" w:cs="Arial" w:eastAsia="Arial" w:hAnsi="Arial"/>
          <w:sz w:val="18"/>
          <w:szCs w:val="18"/>
          <w:color w:val="auto"/>
        </w:rPr>
      </w:pPr>
    </w:p>
    <w:p>
      <w:pPr>
        <w:ind w:left="460" w:right="18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procurement policies that shift risk to contractors, including competitively bid programs with fixed-price development work or follow-on production options or other financial risks; and the impact of investments, cost overruns or other cost pressures and performance issues on fixed price contracts;</w:t>
      </w:r>
    </w:p>
    <w:p>
      <w:pPr>
        <w:spacing w:after="0" w:line="1" w:lineRule="exact"/>
        <w:rPr>
          <w:rFonts w:ascii="Arial" w:cs="Arial" w:eastAsia="Arial" w:hAnsi="Arial"/>
          <w:sz w:val="18"/>
          <w:szCs w:val="18"/>
          <w:color w:val="auto"/>
        </w:rPr>
      </w:pPr>
    </w:p>
    <w:p>
      <w:pPr>
        <w:ind w:left="460" w:right="22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procurement and other regulations and policies affecting our industry, export of our products, cost allowability or recovery, preferred contract type, and performance and progress payments policy;</w:t>
      </w:r>
    </w:p>
    <w:p>
      <w:pPr>
        <w:ind w:left="46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and financial viability of key suppliers, teammates, joint ventures (including United Launch Alliance), joint venture partners, subcontractors and customers;</w:t>
      </w: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industry, business and political conditions including their effects on governmental policy;</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inflation and other cost pressures;</w:t>
      </w:r>
    </w:p>
    <w:p>
      <w:pPr>
        <w:spacing w:after="0" w:line="9" w:lineRule="exact"/>
        <w:rPr>
          <w:rFonts w:ascii="Arial" w:cs="Arial" w:eastAsia="Arial" w:hAnsi="Arial"/>
          <w:sz w:val="18"/>
          <w:szCs w:val="18"/>
          <w:color w:val="auto"/>
        </w:rPr>
      </w:pPr>
    </w:p>
    <w:p>
      <w:pPr>
        <w:ind w:left="460" w:right="8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pandemics and epidemics on our business and financial results, including supply chain disruptions and delays, employee absences, and program delays;</w:t>
      </w:r>
    </w:p>
    <w:p>
      <w:pPr>
        <w:ind w:left="460" w:right="24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actions that prevent the sale or delivery of our products (such as delays in approvals for exports requiring Congressional notification);</w:t>
      </w:r>
    </w:p>
    <w:p>
      <w:pPr>
        <w:ind w:left="460" w:right="12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policies or sanctions (including Chinese sanctions on us or our suppliers, teammates or partners, U.S. Government sanctions on Türkish entities and persons, and indirect effects of sanctions on Russia to our supply chain;</w:t>
      </w: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expanding into and doing business in adjacent markets and internationally and the risks posed by international sales;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right="160" w:hanging="331"/>
        <w:spacing w:after="0" w:line="26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national priorities and foreign government budgets and planned orders, including potential effects from fluctuations in currency exchange rates;</w:t>
      </w:r>
    </w:p>
    <w:p>
      <w:pPr>
        <w:spacing w:after="0" w:line="1"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environment for our products and services, including competition from startups and non-traditional defense contractors;</w:t>
      </w:r>
    </w:p>
    <w:p>
      <w:pPr>
        <w:spacing w:after="0" w:line="9" w:lineRule="exact"/>
        <w:rPr>
          <w:rFonts w:ascii="Arial" w:cs="Arial" w:eastAsia="Arial" w:hAnsi="Arial"/>
          <w:sz w:val="18"/>
          <w:szCs w:val="18"/>
          <w:color w:val="auto"/>
        </w:rPr>
      </w:pPr>
    </w:p>
    <w:p>
      <w:pPr>
        <w:ind w:left="460" w:right="4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commercialize new technologies and products, including emerging digital and network technologies and capabilities;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benefit fully from or adequately protect our intellectual property rights;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a highly skilled workforce, the impact of work stoppages or other labor disruptions;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 or other security threats or other disruptions faced by us or our suppliers;</w:t>
      </w:r>
    </w:p>
    <w:p>
      <w:pPr>
        <w:spacing w:after="0" w:line="9" w:lineRule="exact"/>
        <w:rPr>
          <w:rFonts w:ascii="Arial" w:cs="Arial" w:eastAsia="Arial" w:hAnsi="Arial"/>
          <w:sz w:val="18"/>
          <w:szCs w:val="18"/>
          <w:color w:val="auto"/>
        </w:rPr>
      </w:pPr>
    </w:p>
    <w:p>
      <w:pPr>
        <w:ind w:left="460" w:right="62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and continue, and the timing and impact of, capitalization changes such as share repurchases, dividend payments and financing transactions;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estimates and projections;</w:t>
      </w:r>
    </w:p>
    <w:p>
      <w:pPr>
        <w:spacing w:after="0" w:line="9" w:lineRule="exact"/>
        <w:rPr>
          <w:rFonts w:ascii="Arial" w:cs="Arial" w:eastAsia="Arial" w:hAnsi="Arial"/>
          <w:sz w:val="18"/>
          <w:szCs w:val="18"/>
          <w:color w:val="auto"/>
        </w:rPr>
      </w:pPr>
    </w:p>
    <w:p>
      <w:pPr>
        <w:ind w:left="460" w:right="10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pension plan assumptions and actual returns on pension assets; cash funding requirements and pension risk transfers and associated settlement charges;</w:t>
      </w:r>
    </w:p>
    <w:p>
      <w:pPr>
        <w:ind w:left="460" w:right="8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realizing the anticipated benefits of acquisitions or divestitures, investments, joint ventures, teaming arrangements or internal reorganizations, and market volatility affecting the fair value of investments that are marked to market;</w:t>
      </w:r>
    </w:p>
    <w:p>
      <w:pPr>
        <w:ind w:left="460" w:right="44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increase the efficiency of our operations and improve the affordability of our products and services, including through digital transformation and cost reduction initiatives;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an impairment of our assets, including the potential impairment of goodwill and intangibles;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adequacy of our insurance and indemnities;</w:t>
      </w:r>
    </w:p>
    <w:p>
      <w:pPr>
        <w:spacing w:after="0" w:line="9" w:lineRule="exact"/>
        <w:rPr>
          <w:rFonts w:ascii="Arial" w:cs="Arial" w:eastAsia="Arial" w:hAnsi="Arial"/>
          <w:sz w:val="18"/>
          <w:szCs w:val="18"/>
          <w:color w:val="auto"/>
        </w:rPr>
      </w:pPr>
    </w:p>
    <w:p>
      <w:pPr>
        <w:ind w:left="460" w:right="18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impacts of climate change and compliance with laws, regulations, policies, and customer requirements in response to climate change concerns;</w:t>
      </w:r>
    </w:p>
    <w:p>
      <w:pPr>
        <w:ind w:left="460" w:right="34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U.S. or foreign tax, export or other laws, regulations, and policies and their interpretation or application, and changes in the amount or reevaluation of uncertain tax positions; and</w:t>
      </w:r>
    </w:p>
    <w:p>
      <w:pPr>
        <w:ind w:left="460" w:hanging="331"/>
        <w:spacing w:after="0" w:line="258"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bid protests, environmental remediation efforts, audits, government investigations or government allegations that we has failed to comply with law, other contingencies and U.S. Government identification of deficiencies in our business systems.</w:t>
      </w:r>
    </w:p>
    <w:p>
      <w:pPr>
        <w:spacing w:after="0" w:line="15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 xml:space="preserve">These are only some of the factors that may affect the forward-looking statements contained in this Form 10-Q. For a discussion identifying additional important factors that could cause actual results to differ materially from those anticipated in the forward-looking statements, see our filings with the U.S. Securities and Exchange Commission (SEC) including, but not limited to, “Management’s Discussion and Analysis of Financial Condition and Results of Operations” and “Risk Factors” in our Annual Report on Form 10-K for the year ended December 31, 2023 and subsequent Quarterly Reports on Form 10-Q. Our filings may be accessed through the Investor Relations page of our website, </w:t>
      </w:r>
      <w:r>
        <w:rPr>
          <w:rFonts w:ascii="Arial" w:cs="Arial" w:eastAsia="Arial" w:hAnsi="Arial"/>
          <w:sz w:val="18"/>
          <w:szCs w:val="18"/>
          <w:u w:val="single" w:color="auto"/>
          <w:color w:val="0000FF"/>
        </w:rPr>
        <w:t>www.lockheedmartin.com/investor</w:t>
      </w:r>
      <w:r>
        <w:rPr>
          <w:rFonts w:ascii="Arial" w:cs="Arial" w:eastAsia="Arial" w:hAnsi="Arial"/>
          <w:sz w:val="18"/>
          <w:szCs w:val="18"/>
          <w:color w:val="auto"/>
        </w:rPr>
        <w:t xml:space="preserve">, or through the website maintained by the SEC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142"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Form 10-Q speak only as of the date of our filing. Except where required by applicable law, we expressly disclaim a duty to provide updates to forward-looking statements after the date of this Form 10-Q to reflect subsequent events, changed circumstances, changes in expectations, or the estimates and assumptions associated with them. The forward-looking statements in this Form 10-Q are intended to be subject to the safe harbor protection provided by the federal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will have a material adverse effect on the company as a whole, notwithstanding that the unfavorable resolution of any matter may have a material effect on our net earnings and cash flows in any particular interim reporting period. We cannot predict the outcome of legal or other proceedings with certainty.</w:t>
      </w:r>
    </w:p>
    <w:p>
      <w:pPr>
        <w:spacing w:after="0" w:line="128"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We are subject to federal, state, local and foreign requirements for the protection of the environment, including those for discharge of hazardous materials and remediation of contaminated sites. Due in part to the complexity and</w:t>
      </w:r>
    </w:p>
    <w:p>
      <w:pPr>
        <w:sectPr>
          <w:pgSz w:w="11900" w:h="16838" w:orient="portrait"/>
          <w:cols w:equalWidth="0" w:num="1">
            <w:col w:w="11220"/>
          </w:cols>
          <w:pgMar w:left="320" w:top="2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pervasiveness of these requirements, we are a party to or have property subject to various lawsuits, proceedings and remediation obligations. The extent of our financial exposure cannot in all cases be reasonably estimated at this time.</w:t>
      </w:r>
    </w:p>
    <w:p>
      <w:pPr>
        <w:spacing w:after="0" w:line="166" w:lineRule="exact"/>
        <w:rPr>
          <w:sz w:val="20"/>
          <w:szCs w:val="20"/>
          <w:color w:val="auto"/>
        </w:rPr>
      </w:pPr>
    </w:p>
    <w:p>
      <w:pPr>
        <w:ind w:right="100" w:firstLine="445"/>
        <w:spacing w:after="0" w:line="228" w:lineRule="auto"/>
        <w:rPr>
          <w:sz w:val="20"/>
          <w:szCs w:val="20"/>
          <w:color w:val="auto"/>
        </w:rPr>
      </w:pPr>
      <w:r>
        <w:rPr>
          <w:rFonts w:ascii="Arial" w:cs="Arial" w:eastAsia="Arial" w:hAnsi="Arial"/>
          <w:sz w:val="18"/>
          <w:szCs w:val="18"/>
          <w:color w:val="auto"/>
        </w:rPr>
        <w:t>For information regarding the matters discussed above, including current estimates of the amounts that we believe are required for remediation or clean-up to the extent estimable, see “Note 7 - Legal Proceedings and Contingencies —Legal Proceedings and Environmental Matters” included in our Notes to Consolidated Financial Statements in this Form 10-Q, which is hereby incorporated by reference. For additional information and a description of previously reported matters, see also “Critical Accounting Policies – Environmental</w:t>
      </w:r>
    </w:p>
    <w:p>
      <w:pPr>
        <w:spacing w:after="0" w:line="1"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Matters” in “Management’s Discussion and Analysis of Financial Condition and Results of Operations” and “Note 14 – Legal Proceedings, Commitments and Contingencies,” in our Annual Report on Form 10-K for the year ended December 31, 2023 filed with the U.S.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jc w:val="both"/>
        <w:ind w:right="180" w:firstLine="445"/>
        <w:spacing w:after="0" w:line="259" w:lineRule="auto"/>
        <w:rPr>
          <w:sz w:val="20"/>
          <w:szCs w:val="20"/>
          <w:color w:val="auto"/>
        </w:rPr>
      </w:pPr>
      <w:r>
        <w:rPr>
          <w:rFonts w:ascii="Arial" w:cs="Arial" w:eastAsia="Arial" w:hAnsi="Arial"/>
          <w:sz w:val="18"/>
          <w:szCs w:val="18"/>
          <w:color w:val="auto"/>
        </w:rPr>
        <w:t>There have been no material changes to the risk factors disclosed in “Item 1A, Risk Factors” of our 2023 Form 10-K. These risks and uncertainties described in our risk factors have the potential to materially affect our business, results of operations, financial condition, cash flows, projected results and future prospects. These risks are not exclusive and additional risks to which we are subject include the factors mentioned under “Forward-Looking Statements” and the risks described in “Management’s Discussion and Analysis of Financial Condition and Results of Operations” in this Quarterly Report on Form 10-Q.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equity securities during the quarter ended June 30, 2024.</w:t>
      </w:r>
    </w:p>
    <w:p>
      <w:pPr>
        <w:spacing w:after="0" w:line="185" w:lineRule="exact"/>
        <w:rPr>
          <w:sz w:val="20"/>
          <w:szCs w:val="20"/>
          <w:color w:val="auto"/>
        </w:rPr>
      </w:pPr>
    </w:p>
    <w:p>
      <w:pPr>
        <w:ind w:right="320" w:firstLine="445"/>
        <w:spacing w:after="0" w:line="273" w:lineRule="auto"/>
        <w:rPr>
          <w:sz w:val="20"/>
          <w:szCs w:val="20"/>
          <w:color w:val="auto"/>
        </w:rPr>
      </w:pPr>
      <w:r>
        <w:rPr>
          <w:rFonts w:ascii="Arial" w:cs="Arial" w:eastAsia="Arial" w:hAnsi="Arial"/>
          <w:sz w:val="18"/>
          <w:szCs w:val="18"/>
          <w:color w:val="auto"/>
        </w:rPr>
        <w:t>The following table provides information about our repurchases of our common stock that is registered pursuant to Section 12 of the Securities Exchange Act of 1934 during the quarter ended June 30, 2024.</w:t>
      </w: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2"/>
          </w:tcPr>
          <w:p>
            <w:pPr>
              <w:jc w:val="center"/>
              <w:ind w:left="10"/>
              <w:spacing w:after="0" w:line="182" w:lineRule="exact"/>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5"/>
                <w:szCs w:val="15"/>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300" w:type="dxa"/>
            <w:vAlign w:val="bottom"/>
          </w:tcPr>
          <w:p>
            <w:pPr>
              <w:spacing w:after="0"/>
              <w:rPr>
                <w:sz w:val="16"/>
                <w:szCs w:val="16"/>
                <w:color w:val="auto"/>
              </w:rPr>
            </w:pPr>
          </w:p>
        </w:tc>
        <w:tc>
          <w:tcPr>
            <w:tcW w:w="12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8"/>
              </w:rPr>
              <w:t>Average</w:t>
            </w:r>
          </w:p>
        </w:tc>
        <w:tc>
          <w:tcPr>
            <w:tcW w:w="1840" w:type="dxa"/>
            <w:vAlign w:val="bottom"/>
            <w:gridSpan w:val="2"/>
          </w:tcPr>
          <w:p>
            <w:pPr>
              <w:jc w:val="center"/>
              <w:ind w:left="10"/>
              <w:spacing w:after="0" w:line="189" w:lineRule="exact"/>
              <w:rPr>
                <w:sz w:val="20"/>
                <w:szCs w:val="20"/>
                <w:color w:val="auto"/>
              </w:rPr>
            </w:pPr>
            <w:r>
              <w:rPr>
                <w:rFonts w:ascii="Arial" w:cs="Arial" w:eastAsia="Arial" w:hAnsi="Arial"/>
                <w:sz w:val="18"/>
                <w:szCs w:val="18"/>
                <w:b w:val="1"/>
                <w:bCs w:val="1"/>
                <w:color w:val="auto"/>
              </w:rPr>
              <w:t>Purchased as</w:t>
            </w:r>
          </w:p>
        </w:tc>
        <w:tc>
          <w:tcPr>
            <w:tcW w:w="220" w:type="dxa"/>
            <w:vAlign w:val="bottom"/>
          </w:tcPr>
          <w:p>
            <w:pPr>
              <w:spacing w:after="0"/>
              <w:rPr>
                <w:sz w:val="16"/>
                <w:szCs w:val="16"/>
                <w:color w:val="auto"/>
              </w:rPr>
            </w:pPr>
          </w:p>
        </w:tc>
        <w:tc>
          <w:tcPr>
            <w:tcW w:w="206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84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w w:val="99"/>
              </w:rPr>
              <w:t>Part of Publicly</w:t>
            </w:r>
          </w:p>
        </w:tc>
        <w:tc>
          <w:tcPr>
            <w:tcW w:w="22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May Yet be Purchased</w:t>
            </w:r>
          </w:p>
        </w:tc>
        <w:tc>
          <w:tcPr>
            <w:tcW w:w="0" w:type="dxa"/>
            <w:vAlign w:val="bottom"/>
          </w:tcPr>
          <w:p>
            <w:pPr>
              <w:spacing w:after="0"/>
              <w:rPr>
                <w:sz w:val="1"/>
                <w:szCs w:val="1"/>
                <w:color w:val="auto"/>
              </w:rPr>
            </w:pPr>
          </w:p>
        </w:tc>
      </w:tr>
      <w:tr>
        <w:trPr>
          <w:trHeight w:val="176"/>
        </w:trPr>
        <w:tc>
          <w:tcPr>
            <w:tcW w:w="41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xml:space="preserve">Period </w:t>
            </w:r>
            <w:r>
              <w:rPr>
                <w:rFonts w:ascii="Arial" w:cs="Arial" w:eastAsia="Arial" w:hAnsi="Arial"/>
                <w:sz w:val="23"/>
                <w:szCs w:val="23"/>
                <w:color w:val="auto"/>
                <w:vertAlign w:val="superscript"/>
              </w:rPr>
              <w:t>(a)</w:t>
            </w:r>
          </w:p>
        </w:tc>
        <w:tc>
          <w:tcPr>
            <w:tcW w:w="14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300" w:type="dxa"/>
            <w:vAlign w:val="bottom"/>
          </w:tcPr>
          <w:p>
            <w:pPr>
              <w:spacing w:after="0"/>
              <w:rPr>
                <w:sz w:val="15"/>
                <w:szCs w:val="15"/>
                <w:color w:val="auto"/>
              </w:rPr>
            </w:pPr>
          </w:p>
        </w:tc>
        <w:tc>
          <w:tcPr>
            <w:tcW w:w="12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8"/>
              </w:rPr>
              <w:t>Price Paid</w:t>
            </w:r>
          </w:p>
        </w:tc>
        <w:tc>
          <w:tcPr>
            <w:tcW w:w="18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220" w:type="dxa"/>
            <w:vAlign w:val="bottom"/>
          </w:tcPr>
          <w:p>
            <w:pPr>
              <w:spacing w:after="0"/>
              <w:rPr>
                <w:sz w:val="15"/>
                <w:szCs w:val="15"/>
                <w:color w:val="auto"/>
              </w:rPr>
            </w:pPr>
          </w:p>
        </w:tc>
        <w:tc>
          <w:tcPr>
            <w:tcW w:w="20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9"/>
              </w:rPr>
              <w:t>Purchased</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 Share</w:t>
            </w:r>
          </w:p>
        </w:tc>
        <w:tc>
          <w:tcPr>
            <w:tcW w:w="1840" w:type="dxa"/>
            <w:vAlign w:val="bottom"/>
            <w:tcBorders>
              <w:bottom w:val="single" w:sz="8" w:color="auto"/>
            </w:tcBorders>
            <w:gridSpan w:val="2"/>
          </w:tcPr>
          <w:p>
            <w:pPr>
              <w:jc w:val="center"/>
              <w:ind w:left="10"/>
              <w:spacing w:after="0" w:line="243"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3"/>
                <w:szCs w:val="23"/>
                <w:color w:val="auto"/>
                <w:w w:val="96"/>
                <w:vertAlign w:val="superscript"/>
              </w:rPr>
              <w:t>(b)</w:t>
            </w: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30"/>
              <w:spacing w:after="0" w:line="243"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color w:val="auto"/>
                <w:w w:val="94"/>
                <w:vertAlign w:val="superscript"/>
              </w:rPr>
              <w:t>(b)</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April 1, 2024 – April 28, 2024</w:t>
            </w:r>
          </w:p>
        </w:tc>
        <w:tc>
          <w:tcPr>
            <w:tcW w:w="1260" w:type="dxa"/>
            <w:vAlign w:val="bottom"/>
          </w:tcPr>
          <w:p>
            <w:pPr>
              <w:jc w:val="right"/>
              <w:spacing w:after="0"/>
              <w:rPr>
                <w:sz w:val="20"/>
                <w:szCs w:val="20"/>
                <w:color w:val="auto"/>
              </w:rPr>
            </w:pPr>
            <w:r>
              <w:rPr>
                <w:rFonts w:ascii="Arial" w:cs="Arial" w:eastAsia="Arial" w:hAnsi="Arial"/>
                <w:sz w:val="18"/>
                <w:szCs w:val="18"/>
                <w:color w:val="auto"/>
              </w:rPr>
              <w:t>58,858</w:t>
            </w:r>
          </w:p>
        </w:tc>
        <w:tc>
          <w:tcPr>
            <w:tcW w:w="200" w:type="dxa"/>
            <w:vAlign w:val="bottom"/>
          </w:tcPr>
          <w:p>
            <w:pPr>
              <w:spacing w:after="0"/>
              <w:rPr>
                <w:sz w:val="23"/>
                <w:szCs w:val="23"/>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461.85</w:t>
            </w:r>
          </w:p>
        </w:tc>
        <w:tc>
          <w:tcPr>
            <w:tcW w:w="1380" w:type="dxa"/>
            <w:vAlign w:val="bottom"/>
          </w:tcPr>
          <w:p>
            <w:pPr>
              <w:jc w:val="right"/>
              <w:spacing w:after="0"/>
              <w:rPr>
                <w:sz w:val="20"/>
                <w:szCs w:val="20"/>
                <w:color w:val="auto"/>
              </w:rPr>
            </w:pPr>
            <w:r>
              <w:rPr>
                <w:rFonts w:ascii="Arial" w:cs="Arial" w:eastAsia="Arial" w:hAnsi="Arial"/>
                <w:sz w:val="18"/>
                <w:szCs w:val="18"/>
                <w:color w:val="auto"/>
              </w:rPr>
              <w:t>58,000</w:t>
            </w:r>
          </w:p>
        </w:tc>
        <w:tc>
          <w:tcPr>
            <w:tcW w:w="4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43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29, 2024 – May 26, 2024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970,272</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465.71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970,153</w:t>
            </w:r>
          </w:p>
        </w:tc>
        <w:tc>
          <w:tcPr>
            <w:tcW w:w="46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May 27, 2024 – June 30, 2024 </w:t>
            </w:r>
            <w:r>
              <w:rPr>
                <w:rFonts w:ascii="Arial" w:cs="Arial" w:eastAsia="Arial" w:hAnsi="Arial"/>
                <w:sz w:val="23"/>
                <w:szCs w:val="23"/>
                <w:color w:val="auto"/>
                <w:vertAlign w:val="superscript"/>
              </w:rPr>
              <w:t>(c)</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807,210</w:t>
            </w:r>
          </w:p>
        </w:tc>
        <w:tc>
          <w:tcPr>
            <w:tcW w:w="2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460.11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807,206</w:t>
            </w:r>
          </w:p>
        </w:tc>
        <w:tc>
          <w:tcPr>
            <w:tcW w:w="46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tcPr>
          <w:p>
            <w:pPr>
              <w:jc w:val="right"/>
              <w:ind w:right="430"/>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CEEFF"/>
          </w:tcPr>
          <w:p>
            <w:pPr>
              <w:ind w:left="68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(c)</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1,836,340</w:t>
            </w:r>
          </w:p>
        </w:tc>
        <w:tc>
          <w:tcPr>
            <w:tcW w:w="2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463.12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1,835,359</w:t>
            </w:r>
          </w:p>
        </w:tc>
        <w:tc>
          <w:tcPr>
            <w:tcW w:w="4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420" w:right="200" w:hanging="412"/>
        <w:spacing w:after="0" w:line="238" w:lineRule="auto"/>
        <w:tabs>
          <w:tab w:leader="none" w:pos="41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May 26, 2024 was the last day of our May 2024 fiscal month.</w:t>
      </w:r>
    </w:p>
    <w:p>
      <w:pPr>
        <w:spacing w:after="0" w:line="30" w:lineRule="exact"/>
        <w:rPr>
          <w:rFonts w:ascii="Arial" w:cs="Arial" w:eastAsia="Arial" w:hAnsi="Arial"/>
          <w:sz w:val="21"/>
          <w:szCs w:val="21"/>
          <w:color w:val="auto"/>
          <w:vertAlign w:val="superscript"/>
        </w:rPr>
      </w:pPr>
    </w:p>
    <w:p>
      <w:pPr>
        <w:ind w:left="420" w:right="120" w:hanging="412"/>
        <w:spacing w:after="0" w:line="246" w:lineRule="auto"/>
        <w:tabs>
          <w:tab w:leader="none" w:pos="41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The total remaining authorization for future common share repurchases under our share repurchase program was $8.2 billion as of June 30, 2024.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w:t>
      </w:r>
    </w:p>
    <w:p>
      <w:pPr>
        <w:spacing w:after="0" w:line="24" w:lineRule="exact"/>
        <w:rPr>
          <w:rFonts w:ascii="Arial" w:cs="Arial" w:eastAsia="Arial" w:hAnsi="Arial"/>
          <w:sz w:val="21"/>
          <w:szCs w:val="21"/>
          <w:color w:val="auto"/>
          <w:vertAlign w:val="superscript"/>
        </w:rPr>
      </w:pPr>
    </w:p>
    <w:p>
      <w:pPr>
        <w:ind w:left="420" w:right="380" w:hanging="412"/>
        <w:spacing w:after="0" w:line="238" w:lineRule="auto"/>
        <w:tabs>
          <w:tab w:leader="none" w:pos="40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During the quarter ended June 30, 2024, the total number of shares purchased included 981 shares that were transferred to us by employees in satisfaction of tax withholding obligations associated with the vesting of restricted stock units. These purchases were made pursuant to a separate authorization by our Board of Directors and are not included within the program.</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None of our directors or executive officers adopted or terminated a Rule 10b5-1 trading arrangement or adopted or terminated a non-Rule 10b5-1 trading arrangement (as defined in Item 408(c) of Regulation S-K) during the quarter ended June 30, 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4" w:lineRule="exact"/>
        <w:rPr>
          <w:sz w:val="20"/>
          <w:szCs w:val="20"/>
          <w:color w:val="auto"/>
        </w:rPr>
      </w:pPr>
    </w:p>
    <w:p>
      <w:pPr>
        <w:ind w:left="1380" w:hanging="135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FF"/>
        </w:rPr>
        <w:t>Acknowledgment of Independent Registered Public Accounting Firm</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31.1</w:t>
            </w:r>
          </w:p>
        </w:tc>
        <w:tc>
          <w:tcPr>
            <w:tcW w:w="72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James D. Taiclet pursuant to Section 302 of the Sarbanes-Oxley Act of 2002</w:t>
            </w:r>
          </w:p>
        </w:tc>
      </w:tr>
      <w:tr>
        <w:trPr>
          <w:trHeight w:val="264"/>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31.2</w:t>
            </w:r>
          </w:p>
        </w:tc>
        <w:tc>
          <w:tcPr>
            <w:tcW w:w="7280" w:type="dxa"/>
            <w:vAlign w:val="bottom"/>
            <w:gridSpan w:val="2"/>
          </w:tcPr>
          <w:p>
            <w:pPr>
              <w:spacing w:after="0"/>
              <w:rPr>
                <w:sz w:val="20"/>
                <w:szCs w:val="20"/>
                <w:color w:val="auto"/>
              </w:rPr>
            </w:pPr>
            <w:r>
              <w:rPr>
                <w:rFonts w:ascii="Arial" w:cs="Arial" w:eastAsia="Arial" w:hAnsi="Arial"/>
                <w:sz w:val="18"/>
                <w:szCs w:val="18"/>
                <w:color w:val="0000FF"/>
              </w:rPr>
              <w:t>Certification of Jesus Malave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7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76" w:lineRule="exact"/>
        <w:rPr>
          <w:sz w:val="20"/>
          <w:szCs w:val="20"/>
          <w:color w:val="auto"/>
        </w:rPr>
      </w:pPr>
    </w:p>
    <w:p>
      <w:pPr>
        <w:ind w:left="1380" w:right="900" w:hanging="135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Certification of James D. Taiclet and Jesus Malave pursuant to 18 U.S.C. Section 1350, as adopted pursuant to Section 906 of the Sarbanes-Oxley Act of 2002</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tcPr>
          <w:p>
            <w:pPr>
              <w:ind w:left="30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39"/>
        </w:trPr>
        <w:tc>
          <w:tcPr>
            <w:tcW w:w="1060" w:type="dxa"/>
            <w:vAlign w:val="bottom"/>
          </w:tcPr>
          <w:p>
            <w:pPr>
              <w:spacing w:after="0"/>
              <w:rPr>
                <w:sz w:val="20"/>
                <w:szCs w:val="20"/>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embedded within the Inline XBRL document</w:t>
            </w:r>
          </w:p>
        </w:tc>
      </w:tr>
      <w:tr>
        <w:trPr>
          <w:trHeight w:val="292"/>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5" w:lineRule="exact"/>
        <w:rPr>
          <w:sz w:val="20"/>
          <w:szCs w:val="20"/>
          <w:color w:val="auto"/>
        </w:rPr>
      </w:pPr>
    </w:p>
    <w:p>
      <w:pPr>
        <w:ind w:left="1380" w:hanging="135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Lockheed Martin Corporation</w:t>
            </w:r>
          </w:p>
        </w:tc>
      </w:tr>
      <w:tr>
        <w:trPr>
          <w:trHeight w:val="254"/>
        </w:trPr>
        <w:tc>
          <w:tcPr>
            <w:tcW w:w="5700" w:type="dxa"/>
            <w:vAlign w:val="bottom"/>
          </w:tcPr>
          <w:p>
            <w:pPr>
              <w:spacing w:after="0"/>
              <w:rPr>
                <w:sz w:val="22"/>
                <w:szCs w:val="22"/>
                <w:color w:val="auto"/>
              </w:rPr>
            </w:pPr>
          </w:p>
        </w:tc>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1980" w:type="dxa"/>
            <w:vAlign w:val="bottom"/>
          </w:tcPr>
          <w:p>
            <w:pPr>
              <w:spacing w:after="0"/>
              <w:rPr>
                <w:sz w:val="22"/>
                <w:szCs w:val="22"/>
                <w:color w:val="auto"/>
              </w:rPr>
            </w:pPr>
          </w:p>
        </w:tc>
      </w:tr>
      <w:tr>
        <w:trPr>
          <w:trHeight w:val="455"/>
        </w:trPr>
        <w:tc>
          <w:tcPr>
            <w:tcW w:w="5700" w:type="dxa"/>
            <w:vAlign w:val="bottom"/>
          </w:tcPr>
          <w:p>
            <w:pPr>
              <w:spacing w:after="0"/>
              <w:rPr>
                <w:sz w:val="20"/>
                <w:szCs w:val="20"/>
                <w:color w:val="auto"/>
              </w:rPr>
            </w:pPr>
            <w:r>
              <w:rPr>
                <w:rFonts w:ascii="Arial" w:cs="Arial" w:eastAsia="Arial" w:hAnsi="Arial"/>
                <w:sz w:val="18"/>
                <w:szCs w:val="18"/>
                <w:color w:val="auto"/>
              </w:rPr>
              <w:t>Date: July 23, 2024</w:t>
            </w:r>
          </w:p>
        </w:tc>
        <w:tc>
          <w:tcPr>
            <w:tcW w:w="4300" w:type="dxa"/>
            <w:vAlign w:val="bottom"/>
            <w:gridSpan w:val="3"/>
          </w:tcPr>
          <w:p>
            <w:pPr>
              <w:spacing w:after="0"/>
              <w:rPr>
                <w:sz w:val="20"/>
                <w:szCs w:val="20"/>
                <w:color w:val="auto"/>
              </w:rPr>
            </w:pPr>
            <w:r>
              <w:rPr>
                <w:rFonts w:ascii="Arial" w:cs="Arial" w:eastAsia="Arial" w:hAnsi="Arial"/>
                <w:sz w:val="18"/>
                <w:szCs w:val="18"/>
                <w:color w:val="auto"/>
              </w:rPr>
              <w:t>By: /s/ H. Edward Paul III</w:t>
            </w:r>
          </w:p>
        </w:tc>
      </w:tr>
      <w:tr>
        <w:trPr>
          <w:trHeight w:val="245"/>
        </w:trPr>
        <w:tc>
          <w:tcPr>
            <w:tcW w:w="5700" w:type="dxa"/>
            <w:vAlign w:val="bottom"/>
          </w:tcPr>
          <w:p>
            <w:pPr>
              <w:spacing w:after="0"/>
              <w:rPr>
                <w:sz w:val="21"/>
                <w:szCs w:val="21"/>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Edward Paul III</w:t>
            </w:r>
          </w:p>
        </w:tc>
        <w:tc>
          <w:tcPr>
            <w:tcW w:w="2300" w:type="dxa"/>
            <w:vAlign w:val="bottom"/>
            <w:gridSpan w:val="2"/>
          </w:tcPr>
          <w:p>
            <w:pPr>
              <w:spacing w:after="0"/>
              <w:rPr>
                <w:sz w:val="21"/>
                <w:szCs w:val="21"/>
                <w:color w:val="auto"/>
              </w:rPr>
            </w:pPr>
          </w:p>
        </w:tc>
      </w:tr>
      <w:tr>
        <w:trPr>
          <w:trHeight w:val="229"/>
        </w:trPr>
        <w:tc>
          <w:tcPr>
            <w:tcW w:w="570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Vice President and Controller</w:t>
            </w:r>
          </w:p>
        </w:tc>
      </w:tr>
      <w:tr>
        <w:trPr>
          <w:trHeight w:val="239"/>
        </w:trPr>
        <w:tc>
          <w:tcPr>
            <w:tcW w:w="5700" w:type="dxa"/>
            <w:vAlign w:val="bottom"/>
          </w:tcPr>
          <w:p>
            <w:pPr>
              <w:spacing w:after="0"/>
              <w:rPr>
                <w:sz w:val="20"/>
                <w:szCs w:val="20"/>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w w:val="99"/>
              </w:rPr>
              <w:t>(Duly Authorized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80"/>
          </w:cols>
          <w:pgMar w:left="320" w:top="296" w:right="7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are aware of the incorporation by reference of our report dated July 23, 2024, relating to the unaudited consolidated interim financial statements of Lockheed Martin Corporation that is included in its Form 10-Q for the quarter ended June 30, 2024, in the following Registration Statements of Lockheed Martin Corporation:</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333-92363 on Form S-8, dated December 8, 1999;</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333-115357 on Form S-8, dated May 10, 2004;</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333-155687 on Form S-8, dated November 25, 2008;</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333-188118 on Form S-8, dated April 25, 2013;</w:t>
      </w:r>
    </w:p>
    <w:p>
      <w:pPr>
        <w:ind w:left="660" w:right="240" w:hanging="328"/>
        <w:spacing w:after="0" w:line="24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333-195466 on Form S-8, dated April 24, 2014, July 23, 2014 (Post-Effective Amendment No.1) and April 24, 2020 (Post-Effective Amendment No. 2);</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333-237829, 333-237831, and 333-237832 on Form S-8, each dated April 24, 2020;</w:t>
      </w: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333-271323 on Form S-8, dated April 18, 2023;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333-271325 on Form S-3, dated April 18,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July 23, 2024</w:t>
      </w:r>
    </w:p>
    <w:p>
      <w:pPr>
        <w:sectPr>
          <w:pgSz w:w="11900" w:h="16838" w:orient="portrait"/>
          <w:cols w:equalWidth="0" w:num="1">
            <w:col w:w="11240"/>
          </w:cols>
          <w:pgMar w:left="320" w:top="93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5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JAMES D. TAICLET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D. Taiclet, certify that:</w:t>
      </w:r>
    </w:p>
    <w:p>
      <w:pPr>
        <w:spacing w:after="0" w:line="22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324"/>
        <w:spacing w:after="0" w:line="268" w:lineRule="auto"/>
        <w:tabs>
          <w:tab w:leader="none" w:pos="9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87" w:lineRule="auto"/>
        <w:tabs>
          <w:tab w:leader="none" w:pos="9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17780</wp:posOffset>
            </wp:positionV>
            <wp:extent cx="19627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July 23, 2024</w:t>
      </w:r>
    </w:p>
    <w:p>
      <w:pPr>
        <w:sectPr>
          <w:pgSz w:w="11900" w:h="16838" w:orient="portrait"/>
          <w:cols w:equalWidth="0" w:num="1">
            <w:col w:w="11240"/>
          </w:cols>
          <w:pgMar w:left="320" w:top="93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JESUS MALAVE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Jesus Malave,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87"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Jesus Malave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Jesus Malave</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July 23, 2024</w:t>
      </w:r>
    </w:p>
    <w:p>
      <w:pPr>
        <w:sectPr>
          <w:pgSz w:w="11900" w:h="16838" w:orient="portrait"/>
          <w:cols w:equalWidth="0" w:num="1">
            <w:col w:w="11240"/>
          </w:cols>
          <w:pgMar w:left="320" w:top="931" w:right="339" w:bottom="1440" w:gutter="0" w:footer="0" w:header="0"/>
        </w:sectPr>
      </w:pPr>
    </w:p>
    <w:bookmarkStart w:id="52" w:name="page53"/>
    <w:bookmarkEnd w:id="52"/>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ind w:left="340" w:right="80"/>
        <w:spacing w:after="0" w:line="296" w:lineRule="auto"/>
        <w:rPr>
          <w:sz w:val="20"/>
          <w:szCs w:val="20"/>
          <w:color w:val="auto"/>
        </w:rPr>
      </w:pPr>
      <w:r>
        <w:rPr>
          <w:rFonts w:ascii="Arial" w:cs="Arial" w:eastAsia="Arial" w:hAnsi="Arial"/>
          <w:sz w:val="18"/>
          <w:szCs w:val="18"/>
          <w:b w:val="1"/>
          <w:bCs w:val="1"/>
          <w:color w:val="auto"/>
        </w:rPr>
        <w:t>CERTIFICATION OF JAMES D. TAICLET AND JESUS MALAVE PURSUANT TO 18 U.S.C. SECTION 1350, AS ADOPTED PURSUANT TO SECTION 906 OF THE SARBANES-OXLEY ACT OF 2002</w:t>
      </w:r>
    </w:p>
    <w:p>
      <w:pPr>
        <w:spacing w:after="0" w:line="13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 Quarterly Report of Lockheed Martin Corporation (the “Corporation”) on Form 10-Q for the period ended June 30, 2024, as filed with the U.S. Securities and Exchange Commission on the date hereof (the “Report”), I, James D. Taiclet, Chief Executive Officer of the Corporation, and I, Jesus Malave, Chief Financial Officer of the Corporation, each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980" w:hanging="486"/>
        <w:spacing w:after="0" w:line="266" w:lineRule="auto"/>
        <w:tabs>
          <w:tab w:leader="none" w:pos="9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3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8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Jesus Malave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Jesus Malave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2024</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5"/>
    </w:lvl>
  </w:abstractNum>
  <w:abstractNum w:abstractNumId="11">
    <w:nsid w:val="7FDCC233"/>
    <w:multiLevelType w:val="hybridMultilevel"/>
    <w:lvl w:ilvl="0">
      <w:lvlJc w:val="left"/>
      <w:lvlText w:val="%1"/>
      <w:numFmt w:val="decimal"/>
      <w:start w:val="32"/>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2024-07-23T15:35:22Z</dcterms:created>
  <dcterms:modified xsi:type="dcterms:W3CDTF">2024-07-23T15:35:22Z</dcterms:modified>
</cp:coreProperties>
</file>