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4877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87743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Hollub Vicki A.</w:t>
              </w:r>
            </w:hyperlink>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60" w:type="dxa"/>
            <w:vAlign w:val="bottom"/>
            <w:gridSpan w:val="7"/>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LOCKHEED MARTIN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140"/>
              <w:spacing w:after="0" w:line="145"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460" w:type="dxa"/>
            <w:vAlign w:val="bottom"/>
            <w:gridSpan w:val="4"/>
          </w:tcPr>
          <w:p>
            <w:pPr>
              <w:ind w:left="20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760" w:type="dxa"/>
            <w:vAlign w:val="bottom"/>
            <w:tcBorders>
              <w:top w:val="single" w:sz="8" w:color="2C2C2C"/>
            </w:tcBorders>
            <w:gridSpan w:val="6"/>
          </w:tcPr>
          <w:p>
            <w:pPr>
              <w:spacing w:after="0" w:line="145" w:lineRule="exact"/>
              <w:rPr>
                <w:sz w:val="20"/>
                <w:szCs w:val="20"/>
                <w:color w:val="auto"/>
              </w:rPr>
            </w:pPr>
            <w:r>
              <w:rPr>
                <w:rFonts w:ascii="Arial" w:cs="Arial" w:eastAsia="Arial" w:hAnsi="Arial"/>
                <w:sz w:val="13"/>
                <w:szCs w:val="13"/>
                <w:color w:val="auto"/>
                <w:w w:val="97"/>
              </w:rPr>
              <w:t>3. Date of Earliest Transaction (Month/Day/Year)</w:t>
            </w:r>
          </w:p>
        </w:tc>
        <w:tc>
          <w:tcPr>
            <w:tcW w:w="500" w:type="dxa"/>
            <w:vAlign w:val="bottom"/>
            <w:tcBorders>
              <w:top w:val="single" w:sz="8" w:color="2C2C2C"/>
            </w:tcBorders>
          </w:tcPr>
          <w:p>
            <w:pPr>
              <w:spacing w:after="0"/>
              <w:rPr>
                <w:sz w:val="12"/>
                <w:szCs w:val="12"/>
                <w:color w:val="auto"/>
              </w:rPr>
            </w:pPr>
          </w:p>
        </w:tc>
        <w:tc>
          <w:tcPr>
            <w:tcW w:w="340" w:type="dxa"/>
            <w:vAlign w:val="bottom"/>
            <w:tcBorders>
              <w:top w:val="single" w:sz="8" w:color="2C2C2C"/>
            </w:tcBorders>
          </w:tcPr>
          <w:p>
            <w:pPr>
              <w:spacing w:after="0"/>
              <w:rPr>
                <w:sz w:val="12"/>
                <w:szCs w:val="12"/>
                <w:color w:val="auto"/>
              </w:rPr>
            </w:pPr>
          </w:p>
        </w:tc>
        <w:tc>
          <w:tcPr>
            <w:tcW w:w="16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ind w:left="20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6"/>
                <w:szCs w:val="16"/>
                <w:color w:val="0000FF"/>
              </w:rPr>
              <w:t>04/01/2026</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6801 ROCKLEDGE DRIVE</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260" w:type="dxa"/>
            <w:vAlign w:val="bottom"/>
            <w:gridSpan w:val="7"/>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34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26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BETHESDA</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MD</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20817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7"/>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2740" w:type="dxa"/>
            <w:vAlign w:val="bottom"/>
            <w:gridSpan w:val="8"/>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6"/>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6"/>
                <w:szCs w:val="16"/>
                <w:color w:val="0000FF"/>
              </w:rPr>
              <w:t>04/01/2026</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1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6"/>
                <w:szCs w:val="16"/>
                <w:color w:val="0000FF"/>
              </w:rPr>
              <w:t>415.602</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tcBorders>
              <w:bottom w:val="single" w:sz="8" w:color="2C2C2C"/>
            </w:tcBorders>
            <w:gridSpan w:val="2"/>
          </w:tcPr>
          <w:p>
            <w:pPr>
              <w:jc w:val="right"/>
              <w:ind w:right="37"/>
              <w:spacing w:after="0" w:line="301"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415.602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7"/>
          </w:tcPr>
          <w:p>
            <w:pPr>
              <w:jc w:val="center"/>
              <w:ind w:right="1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0" w:type="dxa"/>
            <w:vAlign w:val="bottom"/>
            <w:gridSpan w:val="16"/>
          </w:tcPr>
          <w:p>
            <w:pPr>
              <w:jc w:val="center"/>
              <w:ind w:left="37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center"/>
              <w:ind w:right="224"/>
              <w:spacing w:after="0"/>
              <w:rPr>
                <w:sz w:val="20"/>
                <w:szCs w:val="20"/>
                <w:color w:val="auto"/>
              </w:rPr>
            </w:pPr>
            <w:r>
              <w:rPr>
                <w:rFonts w:ascii="Times New Roman" w:cs="Times New Roman" w:eastAsia="Times New Roman" w:hAnsi="Times New Roman"/>
                <w:sz w:val="10"/>
                <w:szCs w:val="10"/>
                <w:color w:val="008000"/>
              </w:rPr>
              <w:t>(1)</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280" w:type="dxa"/>
            <w:vAlign w:val="bottom"/>
          </w:tcPr>
          <w:p>
            <w:pPr>
              <w:spacing w:after="0"/>
              <w:rPr>
                <w:sz w:val="5"/>
                <w:szCs w:val="5"/>
                <w:color w:val="auto"/>
              </w:rPr>
            </w:pPr>
          </w:p>
        </w:tc>
        <w:tc>
          <w:tcPr>
            <w:tcW w:w="50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415.602</w:t>
            </w:r>
          </w:p>
        </w:tc>
        <w:tc>
          <w:tcPr>
            <w:tcW w:w="60" w:type="dxa"/>
            <w:vAlign w:val="bottom"/>
          </w:tcPr>
          <w:p>
            <w:pPr>
              <w:spacing w:after="0"/>
              <w:rPr>
                <w:sz w:val="5"/>
                <w:szCs w:val="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vMerge w:val="restart"/>
          </w:tcPr>
          <w:p>
            <w:pPr>
              <w:ind w:left="40"/>
              <w:spacing w:after="0" w:line="201" w:lineRule="exact"/>
              <w:rPr>
                <w:sz w:val="20"/>
                <w:szCs w:val="20"/>
                <w:color w:val="auto"/>
              </w:rPr>
            </w:pPr>
            <w:r>
              <w:rPr>
                <w:rFonts w:ascii="Times New Roman" w:cs="Times New Roman" w:eastAsia="Times New Roman" w:hAnsi="Times New Roman"/>
                <w:sz w:val="13"/>
                <w:szCs w:val="13"/>
                <w:color w:val="0000FF"/>
              </w:rPr>
              <w:t>3,504.0492</w:t>
            </w:r>
            <w:r>
              <w:rPr>
                <w:rFonts w:ascii="Times New Roman" w:cs="Times New Roman" w:eastAsia="Times New Roman" w:hAnsi="Times New Roman"/>
                <w:sz w:val="20"/>
                <w:szCs w:val="20"/>
                <w:color w:val="008000"/>
                <w:vertAlign w:val="superscript"/>
              </w:rPr>
              <w:t>(3)</w:t>
            </w:r>
          </w:p>
        </w:tc>
        <w:tc>
          <w:tcPr>
            <w:tcW w:w="640" w:type="dxa"/>
            <w:vAlign w:val="bottom"/>
          </w:tcPr>
          <w:p>
            <w:pPr>
              <w:spacing w:after="0"/>
              <w:rPr>
                <w:sz w:val="5"/>
                <w:szCs w:val="5"/>
                <w:color w:val="auto"/>
              </w:rPr>
            </w:pPr>
          </w:p>
        </w:tc>
        <w:tc>
          <w:tcPr>
            <w:tcW w:w="820" w:type="dxa"/>
            <w:vAlign w:val="bottom"/>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04/01/2026</w:t>
            </w: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4"/>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415.602</w:t>
            </w: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9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Directors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Equity Plan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Phantom</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center"/>
              <w:ind w:right="224"/>
              <w:spacing w:after="0"/>
              <w:rPr>
                <w:sz w:val="20"/>
                <w:szCs w:val="20"/>
                <w:color w:val="auto"/>
              </w:rPr>
            </w:pPr>
            <w:r>
              <w:rPr>
                <w:rFonts w:ascii="Times New Roman" w:cs="Times New Roman" w:eastAsia="Times New Roman" w:hAnsi="Times New Roman"/>
                <w:sz w:val="10"/>
                <w:szCs w:val="10"/>
                <w:color w:val="008000"/>
              </w:rPr>
              <w:t>(4)</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2,525.3261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2,525.3261</w:t>
            </w:r>
            <w:r>
              <w:rPr>
                <w:rFonts w:ascii="Times New Roman" w:cs="Times New Roman" w:eastAsia="Times New Roman" w:hAnsi="Times New Roman"/>
                <w:sz w:val="20"/>
                <w:szCs w:val="20"/>
                <w:color w:val="008000"/>
                <w:vertAlign w:val="superscript"/>
              </w:rPr>
              <w:t>(3)</w:t>
            </w:r>
          </w:p>
        </w:tc>
        <w:tc>
          <w:tcPr>
            <w:tcW w:w="640" w:type="dxa"/>
            <w:vAlign w:val="bottom"/>
          </w:tcPr>
          <w:p>
            <w:pPr>
              <w:spacing w:after="0"/>
              <w:rPr>
                <w:sz w:val="11"/>
                <w:szCs w:val="11"/>
                <w:color w:val="auto"/>
              </w:rPr>
            </w:pPr>
          </w:p>
        </w:tc>
        <w:tc>
          <w:tcPr>
            <w:tcW w:w="820" w:type="dxa"/>
            <w:vAlign w:val="bottom"/>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Directors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color w:val="0000FF"/>
              </w:rPr>
              <w:t>Stock</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Deferred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jc w:val="right"/>
        <w:ind w:right="100"/>
        <w:spacing w:after="0"/>
        <w:rPr>
          <w:sz w:val="20"/>
          <w:szCs w:val="20"/>
          <w:color w:val="auto"/>
        </w:rPr>
      </w:pPr>
      <w:r>
        <w:rPr>
          <w:rFonts w:ascii="Times New Roman" w:cs="Times New Roman" w:eastAsia="Times New Roman" w:hAnsi="Times New Roman"/>
          <w:sz w:val="13"/>
          <w:szCs w:val="13"/>
          <w:color w:val="0000FF"/>
        </w:rPr>
        <w:t>Comp Plan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 distribution of 415.602015 shares of LMT stock in accordance with an election under the Lockheed Martin Corporation Amended and Restated Directors Equity Plan, in settlement of an equal number of phantom stock units held under the Plan. A fractional share of the Reporting Person's phantom stock units (0.602015) was settled in cash.</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stock units convert to common stock on a one-for-one basis.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38" w:lineRule="exact"/>
        <w:rPr>
          <w:rFonts w:ascii="Times New Roman" w:cs="Times New Roman" w:eastAsia="Times New Roman" w:hAnsi="Times New Roman"/>
          <w:sz w:val="13"/>
          <w:szCs w:val="13"/>
          <w:color w:val="008000"/>
        </w:rPr>
      </w:pPr>
    </w:p>
    <w:p>
      <w:pPr>
        <w:ind w:left="40" w:right="5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pertains to previously acquired phantom stock units under the Lockheed Martin Corporation Directors Deferred Compensation Plan exempt under Section 16(b) which will be settled upon the Reporting Person's retirement or termination of service.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Vicki Hollub, by Lynda M.</w:t>
            </w:r>
          </w:p>
        </w:tc>
        <w:tc>
          <w:tcPr>
            <w:tcW w:w="24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04/06/2026</w:t>
            </w:r>
          </w:p>
        </w:tc>
        <w:tc>
          <w:tcPr>
            <w:tcW w:w="0" w:type="dxa"/>
            <w:vAlign w:val="bottom"/>
          </w:tcPr>
          <w:p>
            <w:pPr>
              <w:spacing w:after="0"/>
              <w:rPr>
                <w:sz w:val="1"/>
                <w:szCs w:val="1"/>
                <w:color w:val="auto"/>
              </w:rPr>
            </w:pPr>
          </w:p>
        </w:tc>
      </w:tr>
      <w:tr>
        <w:trPr>
          <w:trHeight w:val="80"/>
        </w:trPr>
        <w:tc>
          <w:tcPr>
            <w:tcW w:w="20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Noggle, Attorney-in-fact</w:t>
            </w: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8752"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2026-04-06T16:10:06Z</dcterms:created>
  <dcterms:modified xsi:type="dcterms:W3CDTF">2026-04-06T16:10:06Z</dcterms:modified>
</cp:coreProperties>
</file>